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footer18.xml" ContentType="application/vnd.openxmlformats-officedocument.wordprocessingml.footer+xml"/>
  <Override PartName="/word/header15.xml" ContentType="application/vnd.openxmlformats-officedocument.wordprocessingml.header+xml"/>
  <Override PartName="/word/footer19.xml" ContentType="application/vnd.openxmlformats-officedocument.wordprocessingml.footer+xml"/>
  <Override PartName="/word/header1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7.xml" ContentType="application/vnd.openxmlformats-officedocument.wordprocessingml.header+xml"/>
  <Override PartName="/word/footer25.xml" ContentType="application/vnd.openxmlformats-officedocument.wordprocessingml.footer+xml"/>
  <Override PartName="/word/header18.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9.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21.xml" ContentType="application/vnd.openxmlformats-officedocument.wordprocessingml.header+xml"/>
  <Override PartName="/word/footer34.xml" ContentType="application/vnd.openxmlformats-officedocument.wordprocessingml.footer+xml"/>
  <Override PartName="/word/header22.xml" ContentType="application/vnd.openxmlformats-officedocument.wordprocessingml.header+xml"/>
  <Override PartName="/word/footer35.xml" ContentType="application/vnd.openxmlformats-officedocument.wordprocessingml.footer+xml"/>
  <Override PartName="/word/header23.xml" ContentType="application/vnd.openxmlformats-officedocument.wordprocessingml.header+xml"/>
  <Override PartName="/word/footer36.xml" ContentType="application/vnd.openxmlformats-officedocument.wordprocessingml.footer+xml"/>
  <Override PartName="/word/header24.xml" ContentType="application/vnd.openxmlformats-officedocument.wordprocessingml.header+xml"/>
  <Override PartName="/word/footer37.xml" ContentType="application/vnd.openxmlformats-officedocument.wordprocessingml.footer+xml"/>
  <Override PartName="/word/header25.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26.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27.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28.xml" ContentType="application/vnd.openxmlformats-officedocument.wordprocessingml.header+xml"/>
  <Override PartName="/word/footer44.xml" ContentType="application/vnd.openxmlformats-officedocument.wordprocessingml.footer+xml"/>
  <Override PartName="/word/header29.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header30.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header31.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header32.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5"/>
        <w:rPr>
          <w:rFonts w:ascii="Times New Roman" w:hAnsi="Times New Roman" w:cs="Times New Roman" w:eastAsia="Times New Roman" w:hint="default"/>
          <w:sz w:val="21"/>
          <w:szCs w:val="21"/>
        </w:rPr>
      </w:pPr>
    </w:p>
    <w:p>
      <w:pPr>
        <w:pStyle w:val="Heading2"/>
        <w:tabs>
          <w:tab w:pos="6872" w:val="left" w:leader="none"/>
        </w:tabs>
        <w:spacing w:line="240" w:lineRule="auto" w:before="26"/>
        <w:ind w:left="0" w:right="8"/>
        <w:jc w:val="center"/>
        <w:rPr>
          <w:b w:val="0"/>
          <w:bCs w:val="0"/>
        </w:rPr>
      </w:pPr>
      <w:r>
        <w:rPr>
          <w:w w:val="95"/>
        </w:rPr>
        <w:t>公司代码：</w:t>
      </w:r>
      <w:r>
        <w:rPr>
          <w:rFonts w:ascii="宋体" w:hAnsi="宋体" w:cs="宋体" w:eastAsia="宋体" w:hint="default"/>
          <w:w w:val="95"/>
        </w:rPr>
        <w:t>601360</w:t>
        <w:tab/>
      </w:r>
      <w:r>
        <w:rPr/>
        <w:t>公司简称：三六零</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33"/>
          <w:szCs w:val="33"/>
        </w:rPr>
      </w:pPr>
    </w:p>
    <w:p>
      <w:pPr>
        <w:spacing w:line="572" w:lineRule="exact" w:before="0"/>
        <w:ind w:left="1806" w:right="1784"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三六零安全科技股份有限公司</w:t>
      </w:r>
      <w:r>
        <w:rPr>
          <w:rFonts w:ascii="黑体" w:hAnsi="黑体" w:cs="黑体" w:eastAsia="黑体" w:hint="default"/>
          <w:b/>
          <w:bCs/>
          <w:color w:val="FF0000"/>
          <w:spacing w:val="64"/>
          <w:w w:val="95"/>
          <w:sz w:val="44"/>
          <w:szCs w:val="44"/>
        </w:rPr>
        <w:t> </w:t>
      </w:r>
      <w:r>
        <w:rPr>
          <w:rFonts w:ascii="黑体" w:hAnsi="黑体" w:cs="黑体" w:eastAsia="黑体" w:hint="default"/>
          <w:b/>
          <w:bCs/>
          <w:color w:val="FF0000"/>
          <w:sz w:val="44"/>
          <w:szCs w:val="44"/>
        </w:rPr>
        <w:t>2018</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2"/>
          <w:szCs w:val="12"/>
        </w:rPr>
      </w:pPr>
    </w:p>
    <w:p>
      <w:pPr>
        <w:spacing w:line="1315" w:lineRule="exact"/>
        <w:ind w:left="2183" w:right="0" w:firstLine="0"/>
        <w:rPr>
          <w:rFonts w:ascii="黑体" w:hAnsi="黑体" w:cs="黑体" w:eastAsia="黑体" w:hint="default"/>
          <w:sz w:val="20"/>
          <w:szCs w:val="20"/>
        </w:rPr>
      </w:pPr>
      <w:r>
        <w:rPr>
          <w:rFonts w:ascii="黑体" w:hAnsi="黑体" w:cs="黑体" w:eastAsia="黑体" w:hint="default"/>
          <w:position w:val="-25"/>
          <w:sz w:val="20"/>
          <w:szCs w:val="20"/>
        </w:rPr>
        <w:drawing>
          <wp:inline distT="0" distB="0" distL="0" distR="0">
            <wp:extent cx="2996008" cy="835533"/>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2996008" cy="835533"/>
                    </a:xfrm>
                    <a:prstGeom prst="rect">
                      <a:avLst/>
                    </a:prstGeom>
                  </pic:spPr>
                </pic:pic>
              </a:graphicData>
            </a:graphic>
          </wp:inline>
        </w:drawing>
      </w:r>
      <w:r>
        <w:rPr>
          <w:rFonts w:ascii="黑体" w:hAnsi="黑体" w:cs="黑体" w:eastAsia="黑体" w:hint="default"/>
          <w:position w:val="-25"/>
          <w:sz w:val="20"/>
          <w:szCs w:val="20"/>
        </w:rPr>
      </w:r>
    </w:p>
    <w:p>
      <w:pPr>
        <w:spacing w:after="0" w:line="1315" w:lineRule="exact"/>
        <w:rPr>
          <w:rFonts w:ascii="黑体" w:hAnsi="黑体" w:cs="黑体" w:eastAsia="黑体" w:hint="default"/>
          <w:sz w:val="20"/>
          <w:szCs w:val="20"/>
        </w:rPr>
        <w:sectPr>
          <w:headerReference w:type="default" r:id="rId5"/>
          <w:footerReference w:type="default" r:id="rId6"/>
          <w:type w:val="continuous"/>
          <w:pgSz w:w="11910" w:h="16840"/>
          <w:pgMar w:header="855" w:footer="1217" w:top="1320" w:bottom="1400" w:left="1660" w:right="1160"/>
          <w:pgNumType w:start="1"/>
        </w:sectPr>
      </w:pPr>
    </w:p>
    <w:p>
      <w:pPr>
        <w:spacing w:line="240" w:lineRule="auto" w:before="0"/>
        <w:rPr>
          <w:rFonts w:ascii="黑体" w:hAnsi="黑体" w:cs="黑体" w:eastAsia="黑体" w:hint="default"/>
          <w:b/>
          <w:bCs/>
          <w:sz w:val="20"/>
          <w:szCs w:val="20"/>
        </w:rPr>
      </w:pPr>
    </w:p>
    <w:p>
      <w:pPr>
        <w:spacing w:before="163"/>
        <w:ind w:left="28" w:right="8"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5"/>
        <w:spacing w:line="355" w:lineRule="auto"/>
        <w:ind w:left="558" w:right="0" w:hanging="420"/>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5"/>
        <w:rPr>
          <w:rFonts w:ascii="宋体" w:hAnsi="宋体" w:cs="宋体" w:eastAsia="宋体" w:hint="default"/>
          <w:b/>
          <w:bCs/>
          <w:sz w:val="23"/>
          <w:szCs w:val="23"/>
        </w:rPr>
      </w:pPr>
    </w:p>
    <w:p>
      <w:pPr>
        <w:pStyle w:val="Heading5"/>
        <w:spacing w:line="240" w:lineRule="auto"/>
        <w:ind w:left="138" w:right="0"/>
        <w:jc w:val="left"/>
        <w:rPr>
          <w:b w:val="0"/>
          <w:bCs w:val="0"/>
        </w:rPr>
      </w:pPr>
      <w:r>
        <w:rPr/>
        <w:t>二、</w:t>
      </w:r>
      <w:r>
        <w:rPr>
          <w:spacing w:val="-80"/>
        </w:rPr>
        <w:t> </w:t>
      </w:r>
      <w:r>
        <w:rPr/>
        <w:t>公司全体董事出席董事会会议。</w:t>
      </w:r>
      <w:r>
        <w:rPr>
          <w:b w:val="0"/>
          <w:bCs w:val="0"/>
        </w:rPr>
      </w:r>
    </w:p>
    <w:p>
      <w:pPr>
        <w:pStyle w:val="Heading5"/>
        <w:spacing w:line="720" w:lineRule="exact" w:before="114"/>
        <w:ind w:left="138" w:right="0"/>
        <w:jc w:val="left"/>
        <w:rPr>
          <w:b w:val="0"/>
          <w:bCs w:val="0"/>
        </w:rPr>
      </w:pPr>
      <w:r>
        <w:rPr/>
        <w:t>三、</w:t>
      </w:r>
      <w:r>
        <w:rPr>
          <w:spacing w:val="-11"/>
        </w:rPr>
        <w:t> </w:t>
      </w:r>
      <w:r>
        <w:rPr/>
        <w:t>德勤华永会计师事务所（特殊普通合伙）为本公司出具了标准无保留意见的审计报告。</w:t>
      </w:r>
      <w:r>
        <w:rPr>
          <w:w w:val="100"/>
        </w:rPr>
        <w:t> </w:t>
      </w:r>
      <w:r>
        <w:rPr>
          <w:spacing w:val="-1"/>
        </w:rPr>
        <w:t>四、公司负责人周鸿祎、主管会计工作负责人张矛及会计机构负责人（会计主管人员）张海龙声</w:t>
      </w:r>
      <w:r>
        <w:rPr>
          <w:b w:val="0"/>
          <w:bCs w:val="0"/>
          <w:spacing w:val="-1"/>
        </w:rPr>
      </w:r>
    </w:p>
    <w:p>
      <w:pPr>
        <w:pStyle w:val="Heading5"/>
        <w:spacing w:line="240" w:lineRule="auto" w:before="18"/>
        <w:ind w:left="558" w:right="0"/>
        <w:jc w:val="left"/>
        <w:rPr>
          <w:b w:val="0"/>
          <w:bCs w:val="0"/>
        </w:rPr>
      </w:pPr>
      <w:r>
        <w:rPr/>
        <w:t>明：保证年度报告中财务报告的真实、准确、完整。</w:t>
      </w:r>
      <w:r>
        <w:rPr>
          <w:b w:val="0"/>
          <w:bCs w:val="0"/>
        </w:rPr>
      </w:r>
    </w:p>
    <w:p>
      <w:pPr>
        <w:spacing w:line="240" w:lineRule="auto" w:before="0"/>
        <w:rPr>
          <w:rFonts w:ascii="宋体" w:hAnsi="宋体" w:cs="宋体" w:eastAsia="宋体" w:hint="default"/>
          <w:b/>
          <w:bCs/>
          <w:sz w:val="20"/>
          <w:szCs w:val="20"/>
        </w:rPr>
      </w:pPr>
    </w:p>
    <w:p>
      <w:pPr>
        <w:spacing w:line="355" w:lineRule="auto" w:before="145"/>
        <w:ind w:left="618" w:right="590" w:hanging="48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40"/>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z w:val="21"/>
          <w:szCs w:val="21"/>
        </w:rPr>
        <w:t>经公司第五届董事会第十次会议审议，公司</w:t>
      </w:r>
      <w:r>
        <w:rPr>
          <w:rFonts w:ascii="宋体" w:hAnsi="宋体" w:cs="宋体" w:eastAsia="宋体" w:hint="default"/>
          <w:spacing w:val="-60"/>
          <w:sz w:val="21"/>
          <w:szCs w:val="21"/>
        </w:rPr>
        <w:t> </w:t>
      </w:r>
      <w:r>
        <w:rPr>
          <w:rFonts w:ascii="宋体" w:hAnsi="宋体" w:cs="宋体" w:eastAsia="宋体" w:hint="default"/>
          <w:sz w:val="21"/>
          <w:szCs w:val="21"/>
        </w:rPr>
        <w:t>2018</w:t>
      </w:r>
      <w:r>
        <w:rPr>
          <w:rFonts w:ascii="宋体" w:hAnsi="宋体" w:cs="宋体" w:eastAsia="宋体" w:hint="default"/>
          <w:spacing w:val="-62"/>
          <w:sz w:val="21"/>
          <w:szCs w:val="21"/>
        </w:rPr>
        <w:t> </w:t>
      </w:r>
      <w:r>
        <w:rPr>
          <w:rFonts w:ascii="宋体" w:hAnsi="宋体" w:cs="宋体" w:eastAsia="宋体" w:hint="default"/>
          <w:sz w:val="21"/>
          <w:szCs w:val="21"/>
        </w:rPr>
        <w:t>年度利润分配方案拟定如下：以本次</w:t>
      </w:r>
    </w:p>
    <w:p>
      <w:pPr>
        <w:pStyle w:val="BodyText"/>
        <w:spacing w:line="240" w:lineRule="auto" w:before="32"/>
        <w:ind w:right="0"/>
        <w:jc w:val="left"/>
      </w:pPr>
      <w:r>
        <w:rPr/>
        <w:t>权益分派股权登记日总股本</w:t>
      </w:r>
      <w:r>
        <w:rPr>
          <w:spacing w:val="-55"/>
        </w:rPr>
        <w:t> </w:t>
      </w:r>
      <w:r>
        <w:rPr>
          <w:rFonts w:ascii="宋体" w:hAnsi="宋体" w:cs="宋体" w:eastAsia="宋体" w:hint="default"/>
        </w:rPr>
        <w:t>6,764,055,167</w:t>
      </w:r>
      <w:r>
        <w:rPr>
          <w:rFonts w:ascii="宋体" w:hAnsi="宋体" w:cs="宋体" w:eastAsia="宋体" w:hint="default"/>
          <w:spacing w:val="-55"/>
        </w:rPr>
        <w:t> </w:t>
      </w:r>
      <w:r>
        <w:rPr/>
        <w:t>股为基数，向全体股东每</w:t>
      </w:r>
      <w:r>
        <w:rPr>
          <w:spacing w:val="-55"/>
        </w:rPr>
        <w:t> </w:t>
      </w:r>
      <w:r>
        <w:rPr>
          <w:rFonts w:ascii="宋体" w:hAnsi="宋体" w:cs="宋体" w:eastAsia="宋体" w:hint="default"/>
        </w:rPr>
        <w:t>10</w:t>
      </w:r>
      <w:r>
        <w:rPr>
          <w:rFonts w:ascii="宋体" w:hAnsi="宋体" w:cs="宋体" w:eastAsia="宋体" w:hint="default"/>
          <w:spacing w:val="-55"/>
        </w:rPr>
        <w:t> </w:t>
      </w:r>
      <w:r>
        <w:rPr/>
        <w:t>股派发现金股利人</w:t>
      </w:r>
    </w:p>
    <w:p>
      <w:pPr>
        <w:pStyle w:val="BodyText"/>
        <w:spacing w:line="357" w:lineRule="auto" w:before="133"/>
        <w:ind w:right="0"/>
        <w:jc w:val="left"/>
      </w:pPr>
      <w:r>
        <w:rPr/>
        <w:t>民币</w:t>
      </w:r>
      <w:r>
        <w:rPr>
          <w:spacing w:val="-47"/>
        </w:rPr>
        <w:t> </w:t>
      </w:r>
      <w:r>
        <w:rPr>
          <w:rFonts w:ascii="宋体" w:hAnsi="宋体" w:cs="宋体" w:eastAsia="宋体" w:hint="default"/>
        </w:rPr>
        <w:t>0.53</w:t>
      </w:r>
      <w:r>
        <w:rPr>
          <w:rFonts w:ascii="宋体" w:hAnsi="宋体" w:cs="宋体" w:eastAsia="宋体" w:hint="default"/>
          <w:spacing w:val="-49"/>
        </w:rPr>
        <w:t> </w:t>
      </w:r>
      <w:r>
        <w:rPr>
          <w:spacing w:val="-4"/>
        </w:rPr>
        <w:t>元（含税），共计分配现金股利人民币</w:t>
      </w:r>
      <w:r>
        <w:rPr>
          <w:spacing w:val="-47"/>
        </w:rPr>
        <w:t> </w:t>
      </w:r>
      <w:r>
        <w:rPr>
          <w:rFonts w:ascii="宋体" w:hAnsi="宋体" w:cs="宋体" w:eastAsia="宋体" w:hint="default"/>
        </w:rPr>
        <w:t>358,494,923.85</w:t>
      </w:r>
      <w:r>
        <w:rPr>
          <w:rFonts w:ascii="宋体" w:hAnsi="宋体" w:cs="宋体" w:eastAsia="宋体" w:hint="default"/>
          <w:spacing w:val="-49"/>
        </w:rPr>
        <w:t> </w:t>
      </w:r>
      <w:r>
        <w:rPr>
          <w:spacing w:val="-3"/>
        </w:rPr>
        <w:t>元，剩余未分配利润结转</w:t>
      </w:r>
      <w:r>
        <w:rPr>
          <w:spacing w:val="-88"/>
        </w:rPr>
        <w:t> </w:t>
      </w:r>
      <w:r>
        <w:rPr>
          <w:spacing w:val="-88"/>
        </w:rPr>
      </w:r>
      <w:r>
        <w:rPr>
          <w:spacing w:val="-6"/>
        </w:rPr>
        <w:t>下一年度。上述利润分配方案已由公司独立董事发表独立意见，尚需提交股东大会审议通过。</w:t>
      </w:r>
    </w:p>
    <w:p>
      <w:pPr>
        <w:spacing w:line="240" w:lineRule="auto" w:before="11"/>
        <w:rPr>
          <w:rFonts w:ascii="宋体" w:hAnsi="宋体" w:cs="宋体" w:eastAsia="宋体" w:hint="default"/>
          <w:sz w:val="29"/>
          <w:szCs w:val="29"/>
        </w:rPr>
      </w:pPr>
    </w:p>
    <w:p>
      <w:pPr>
        <w:pStyle w:val="Heading5"/>
        <w:spacing w:line="240" w:lineRule="auto"/>
        <w:ind w:left="138" w:right="0"/>
        <w:jc w:val="left"/>
        <w:rPr>
          <w:b w:val="0"/>
          <w:bCs w:val="0"/>
        </w:rPr>
      </w:pPr>
      <w:r>
        <w:rPr/>
        <w:t>六、</w:t>
      </w:r>
      <w:r>
        <w:rPr>
          <w:spacing w:val="-24"/>
        </w:rPr>
        <w:t> </w:t>
      </w:r>
      <w:r>
        <w:rPr/>
        <w:t>前瞻性陈述的风险声明</w:t>
      </w:r>
      <w:r>
        <w:rPr>
          <w:b w:val="0"/>
          <w:bCs w:val="0"/>
        </w:rPr>
      </w:r>
    </w:p>
    <w:p>
      <w:pPr>
        <w:pStyle w:val="BodyText"/>
        <w:spacing w:line="240" w:lineRule="auto" w:before="133"/>
        <w:ind w:right="0"/>
        <w:jc w:val="left"/>
      </w:pPr>
      <w:r>
        <w:rPr/>
        <w:t>□适用</w:t>
      </w:r>
      <w:r>
        <w:rPr>
          <w:spacing w:val="-1"/>
        </w:rPr>
        <w:t> </w:t>
      </w:r>
      <w:r>
        <w:rPr/>
        <w:t>√不适用</w:t>
      </w:r>
    </w:p>
    <w:p>
      <w:pPr>
        <w:spacing w:line="240" w:lineRule="auto" w:before="3"/>
        <w:rPr>
          <w:rFonts w:ascii="宋体" w:hAnsi="宋体" w:cs="宋体" w:eastAsia="宋体" w:hint="default"/>
          <w:sz w:val="27"/>
          <w:szCs w:val="27"/>
        </w:rPr>
      </w:pPr>
    </w:p>
    <w:p>
      <w:pPr>
        <w:pStyle w:val="Heading5"/>
        <w:spacing w:line="424" w:lineRule="auto"/>
        <w:ind w:left="558" w:right="3447" w:hanging="420"/>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0"/>
        <w:rPr>
          <w:rFonts w:ascii="宋体" w:hAnsi="宋体" w:cs="宋体" w:eastAsia="宋体" w:hint="default"/>
          <w:sz w:val="15"/>
          <w:szCs w:val="15"/>
        </w:rPr>
      </w:pPr>
    </w:p>
    <w:p>
      <w:pPr>
        <w:pStyle w:val="Heading5"/>
        <w:tabs>
          <w:tab w:pos="781" w:val="left" w:leader="none"/>
        </w:tabs>
        <w:spacing w:line="355" w:lineRule="auto"/>
        <w:ind w:left="558" w:right="3663" w:hanging="420"/>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spacing w:line="240" w:lineRule="auto" w:before="12"/>
        <w:rPr>
          <w:rFonts w:ascii="宋体" w:hAnsi="宋体" w:cs="宋体" w:eastAsia="宋体" w:hint="default"/>
          <w:sz w:val="15"/>
          <w:szCs w:val="15"/>
        </w:rPr>
      </w:pPr>
    </w:p>
    <w:p>
      <w:pPr>
        <w:pStyle w:val="Heading5"/>
        <w:tabs>
          <w:tab w:pos="781" w:val="left" w:leader="none"/>
        </w:tabs>
        <w:spacing w:line="240" w:lineRule="auto"/>
        <w:ind w:left="138" w:right="0"/>
        <w:jc w:val="left"/>
        <w:rPr>
          <w:b w:val="0"/>
          <w:bCs w:val="0"/>
        </w:rPr>
      </w:pPr>
      <w:r>
        <w:rPr/>
        <w:t>九、</w:t>
        <w:tab/>
        <w:t>重大风险提示</w:t>
      </w:r>
      <w:r>
        <w:rPr>
          <w:b w:val="0"/>
          <w:bCs w:val="0"/>
        </w:rPr>
      </w:r>
    </w:p>
    <w:p>
      <w:pPr>
        <w:pStyle w:val="BodyText"/>
        <w:spacing w:line="240" w:lineRule="auto" w:before="133"/>
        <w:ind w:left="558" w:right="0"/>
        <w:jc w:val="left"/>
      </w:pPr>
      <w:r>
        <w:rPr/>
        <w:t>详见本报告“第四节</w:t>
      </w:r>
      <w:r>
        <w:rPr>
          <w:spacing w:val="-4"/>
        </w:rPr>
        <w:t> </w:t>
      </w:r>
      <w:r>
        <w:rPr/>
        <w:t>经营情况讨论与分析”中关于公司可能面对的风险的相关论述</w:t>
      </w:r>
    </w:p>
    <w:p>
      <w:pPr>
        <w:spacing w:line="240" w:lineRule="auto" w:before="2"/>
        <w:rPr>
          <w:rFonts w:ascii="宋体" w:hAnsi="宋体" w:cs="宋体" w:eastAsia="宋体" w:hint="default"/>
          <w:sz w:val="20"/>
          <w:szCs w:val="20"/>
        </w:rPr>
      </w:pPr>
    </w:p>
    <w:p>
      <w:pPr>
        <w:spacing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60"/>
        <w:ind w:right="0"/>
        <w:jc w:val="left"/>
      </w:pPr>
      <w:r>
        <w:rPr/>
        <w:t>□适用</w:t>
      </w:r>
      <w:r>
        <w:rPr>
          <w:spacing w:val="-1"/>
        </w:rPr>
        <w:t> </w:t>
      </w:r>
      <w:r>
        <w:rPr/>
        <w:t>√不适用</w:t>
      </w:r>
    </w:p>
    <w:p>
      <w:pPr>
        <w:spacing w:after="0" w:line="240" w:lineRule="auto"/>
        <w:jc w:val="left"/>
        <w:sectPr>
          <w:pgSz w:w="11910" w:h="16840"/>
          <w:pgMar w:header="855" w:footer="1217" w:top="1320" w:bottom="1400" w:left="1660" w:right="11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14"/>
        <w:ind w:left="30" w:right="8"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t>17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251"/>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91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94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94</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220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55" w:footer="1217" w:top="1320" w:bottom="1400" w:left="1660" w:right="1160"/>
        </w:sectPr>
      </w:pPr>
    </w:p>
    <w:p>
      <w:pPr>
        <w:pStyle w:val="Heading1"/>
        <w:tabs>
          <w:tab w:pos="1361" w:val="left" w:leader="none"/>
        </w:tabs>
        <w:spacing w:line="240" w:lineRule="auto" w:before="515"/>
        <w:ind w:left="100" w:right="0"/>
        <w:jc w:val="center"/>
        <w:rPr>
          <w:b w:val="0"/>
          <w:bCs w:val="0"/>
        </w:rPr>
      </w:pPr>
      <w:bookmarkStart w:name="_TOC_250011" w:id="1"/>
      <w:r>
        <w:rPr>
          <w:w w:val="95"/>
        </w:rPr>
        <w:t>第一节</w:t>
        <w:tab/>
      </w:r>
      <w:r>
        <w:rPr/>
        <w:t>释义</w:t>
      </w:r>
      <w:bookmarkEnd w:id="1"/>
      <w:r>
        <w:rPr>
          <w:b w:val="0"/>
          <w:bCs w:val="0"/>
        </w:rPr>
      </w:r>
    </w:p>
    <w:p>
      <w:pPr>
        <w:pStyle w:val="BodyText"/>
        <w:spacing w:line="240" w:lineRule="auto" w:before="253"/>
        <w:ind w:left="218" w:right="108"/>
        <w:jc w:val="left"/>
      </w:pPr>
      <w:r>
        <w:rPr/>
        <w:t>在本报告书中，除非文义另有所指，下列词语具有如下含义：</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567"/>
        <w:gridCol w:w="6589"/>
      </w:tblGrid>
      <w:tr>
        <w:trPr>
          <w:trHeight w:val="281"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82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公司、本公司</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三六零安全科技股份有限公司</w:t>
            </w:r>
            <w:r>
              <w:rPr>
                <w:rFonts w:ascii="宋体" w:hAnsi="宋体" w:cs="宋体" w:eastAsia="宋体" w:hint="default"/>
                <w:spacing w:val="3"/>
                <w:sz w:val="21"/>
                <w:szCs w:val="21"/>
              </w:rPr>
              <w:t>,</w:t>
            </w:r>
            <w:r>
              <w:rPr>
                <w:rFonts w:ascii="宋体" w:hAnsi="宋体" w:cs="宋体" w:eastAsia="宋体" w:hint="default"/>
                <w:spacing w:val="3"/>
                <w:sz w:val="21"/>
                <w:szCs w:val="21"/>
              </w:rPr>
              <w:t>曾用名为“江南嘉捷电梯股份有限公</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司”，简称“三六零”，“原江南嘉捷”（在包含子公司时统称“本</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集团”）</w:t>
            </w: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奇信志成</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天津奇信志成科技有限公司</w:t>
            </w:r>
          </w:p>
        </w:tc>
      </w:tr>
      <w:tr>
        <w:trPr>
          <w:trHeight w:val="557"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三六零科技</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三六零科技有限公司，为公司全资子公司，曾用名“三六零科技股份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有限公司”、“天津奇思科技有限公司”</w:t>
            </w: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天津奇思</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天津奇思科技有限公司，为三六零科技前身</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Qihoo</w:t>
            </w:r>
            <w:r>
              <w:rPr>
                <w:rFonts w:ascii="宋体"/>
                <w:spacing w:val="2"/>
                <w:sz w:val="21"/>
              </w:rPr>
              <w:t> </w:t>
            </w:r>
            <w:r>
              <w:rPr>
                <w:rFonts w:ascii="宋体"/>
                <w:sz w:val="21"/>
              </w:rPr>
              <w:t>360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Qihoo</w:t>
            </w:r>
            <w:r>
              <w:rPr>
                <w:rFonts w:ascii="宋体" w:hAnsi="宋体" w:cs="宋体" w:eastAsia="宋体" w:hint="default"/>
                <w:spacing w:val="-2"/>
                <w:sz w:val="21"/>
                <w:szCs w:val="21"/>
              </w:rPr>
              <w:t> </w:t>
            </w:r>
            <w:r>
              <w:rPr>
                <w:rFonts w:ascii="宋体" w:hAnsi="宋体" w:cs="宋体" w:eastAsia="宋体" w:hint="default"/>
                <w:sz w:val="21"/>
                <w:szCs w:val="21"/>
              </w:rPr>
              <w:t>360</w:t>
            </w:r>
            <w:r>
              <w:rPr>
                <w:rFonts w:ascii="宋体" w:hAnsi="宋体" w:cs="宋体" w:eastAsia="宋体" w:hint="default"/>
                <w:spacing w:val="-2"/>
                <w:sz w:val="21"/>
                <w:szCs w:val="21"/>
              </w:rPr>
              <w:t> </w:t>
            </w:r>
            <w:r>
              <w:rPr>
                <w:rFonts w:ascii="宋体" w:hAnsi="宋体" w:cs="宋体" w:eastAsia="宋体" w:hint="default"/>
                <w:sz w:val="21"/>
                <w:szCs w:val="21"/>
              </w:rPr>
              <w:t>Technology Co. Ltd.</w:t>
            </w:r>
            <w:r>
              <w:rPr>
                <w:rFonts w:ascii="宋体" w:hAnsi="宋体" w:cs="宋体" w:eastAsia="宋体" w:hint="default"/>
                <w:sz w:val="21"/>
                <w:szCs w:val="21"/>
              </w:rPr>
              <w:t>，于</w:t>
            </w:r>
            <w:r>
              <w:rPr>
                <w:rFonts w:ascii="宋体" w:hAnsi="宋体" w:cs="宋体" w:eastAsia="宋体" w:hint="default"/>
                <w:spacing w:val="-36"/>
                <w:sz w:val="21"/>
                <w:szCs w:val="21"/>
              </w:rPr>
              <w:t> </w:t>
            </w:r>
            <w:r>
              <w:rPr>
                <w:rFonts w:ascii="宋体" w:hAnsi="宋体" w:cs="宋体" w:eastAsia="宋体" w:hint="default"/>
                <w:sz w:val="21"/>
                <w:szCs w:val="21"/>
              </w:rPr>
              <w:t>2011</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3</w:t>
            </w:r>
            <w:r>
              <w:rPr>
                <w:rFonts w:ascii="宋体" w:hAnsi="宋体" w:cs="宋体" w:eastAsia="宋体" w:hint="default"/>
                <w:spacing w:val="-36"/>
                <w:sz w:val="21"/>
                <w:szCs w:val="21"/>
              </w:rPr>
              <w:t> </w:t>
            </w:r>
            <w:r>
              <w:rPr>
                <w:rFonts w:ascii="宋体" w:hAnsi="宋体" w:cs="宋体" w:eastAsia="宋体" w:hint="default"/>
                <w:sz w:val="21"/>
                <w:szCs w:val="21"/>
              </w:rPr>
              <w:t>月在纽约证券交易所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月退市</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奇虎科技</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北京奇虎科技有限公司，为三六零科技全资子公司</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世界星辉</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北京世界星辉科技有限责任公司，为三六零科技全资子公司</w:t>
            </w: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北京奇元</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北京奇元科技有限公司</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为公司间接控制的公司</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北京奇付通</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北京奇付通科技有限公司，为公司间接控制的公司</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深圳奇付通</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深圳市奇付通科技有限公司，为公司间接控制的公司</w:t>
            </w: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摩比神奇</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摩比神奇（北京）信息技术有限公司，为公司间接控制的公司</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Qifei</w:t>
            </w:r>
          </w:p>
          <w:p>
            <w:pPr>
              <w:pStyle w:val="TableParagraph"/>
              <w:spacing w:line="274" w:lineRule="exact"/>
              <w:ind w:left="103" w:right="0"/>
              <w:jc w:val="left"/>
              <w:rPr>
                <w:rFonts w:ascii="宋体" w:hAnsi="宋体" w:cs="宋体" w:eastAsia="宋体" w:hint="default"/>
                <w:sz w:val="21"/>
                <w:szCs w:val="21"/>
              </w:rPr>
            </w:pPr>
            <w:r>
              <w:rPr>
                <w:rFonts w:ascii="宋体"/>
                <w:sz w:val="21"/>
              </w:rPr>
              <w:t>International</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Qifei International Development Co.</w:t>
            </w:r>
            <w:r>
              <w:rPr>
                <w:rFonts w:ascii="宋体" w:hAnsi="宋体" w:cs="宋体" w:eastAsia="宋体" w:hint="default"/>
                <w:spacing w:val="-39"/>
                <w:sz w:val="21"/>
                <w:szCs w:val="21"/>
              </w:rPr>
              <w:t> </w:t>
            </w:r>
            <w:r>
              <w:rPr>
                <w:rFonts w:ascii="宋体" w:hAnsi="宋体" w:cs="宋体" w:eastAsia="宋体" w:hint="default"/>
                <w:sz w:val="21"/>
                <w:szCs w:val="21"/>
              </w:rPr>
              <w:t>Limited</w:t>
            </w:r>
            <w:r>
              <w:rPr>
                <w:rFonts w:ascii="宋体" w:hAnsi="宋体" w:cs="宋体" w:eastAsia="宋体" w:hint="default"/>
                <w:sz w:val="21"/>
                <w:szCs w:val="21"/>
              </w:rPr>
              <w:t>，为公司间接控制的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天津众信</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天津众信股权投资合伙企业（有限合伙）</w:t>
            </w:r>
            <w:r>
              <w:rPr>
                <w:rFonts w:ascii="宋体" w:hAnsi="宋体" w:cs="宋体" w:eastAsia="宋体" w:hint="default"/>
                <w:sz w:val="21"/>
                <w:szCs w:val="21"/>
              </w:rPr>
              <w:t>,</w:t>
            </w:r>
            <w:r>
              <w:rPr>
                <w:rFonts w:ascii="宋体" w:hAnsi="宋体" w:cs="宋体" w:eastAsia="宋体" w:hint="default"/>
                <w:sz w:val="21"/>
                <w:szCs w:val="21"/>
              </w:rPr>
              <w:t>为公司股东</w:t>
            </w:r>
          </w:p>
        </w:tc>
      </w:tr>
      <w:tr>
        <w:trPr>
          <w:trHeight w:val="28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天津欣新盛</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天津欣新盛股权投资合伙企业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r>
              <w:rPr>
                <w:rFonts w:ascii="宋体" w:hAnsi="宋体" w:cs="宋体" w:eastAsia="宋体" w:hint="default"/>
                <w:sz w:val="21"/>
                <w:szCs w:val="21"/>
              </w:rPr>
              <w:t>，为公司股东</w:t>
            </w: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红杉懿远</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北京红杉懿远股权投资中心（有限合伙），为公司股东</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信心奇缘</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天津信心奇缘股权投资合伙企业（有限合伙），为公司股东</w:t>
            </w: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海宁国安</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浙江海宁国安睿威投资合伙企业（有限合伙）</w:t>
            </w:r>
            <w:r>
              <w:rPr>
                <w:rFonts w:ascii="宋体" w:hAnsi="宋体" w:cs="宋体" w:eastAsia="宋体" w:hint="default"/>
                <w:sz w:val="21"/>
                <w:szCs w:val="21"/>
              </w:rPr>
              <w:t>,</w:t>
            </w:r>
            <w:r>
              <w:rPr>
                <w:rFonts w:ascii="宋体" w:hAnsi="宋体" w:cs="宋体" w:eastAsia="宋体" w:hint="default"/>
                <w:sz w:val="21"/>
                <w:szCs w:val="21"/>
              </w:rPr>
              <w:t>为公司股东</w:t>
            </w:r>
          </w:p>
        </w:tc>
      </w:tr>
      <w:tr>
        <w:trPr>
          <w:trHeight w:val="557"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奇信通达</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天津奇信通达科技有限公司，为三六零科技前身天津奇思的股东，于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月与天津奇思吸收合并后注销</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苏州嘉捷电梯</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苏州江南嘉捷电梯有限公司，曾用名“苏州江南嘉捷机电技术研究院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有限公司”，公司重大资产重组前，原江南嘉捷的全资子公司</w:t>
            </w:r>
          </w:p>
        </w:tc>
      </w:tr>
      <w:tr>
        <w:trPr>
          <w:trHeight w:val="82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19"/>
              <w:jc w:val="left"/>
              <w:rPr>
                <w:rFonts w:ascii="宋体" w:hAnsi="宋体" w:cs="宋体" w:eastAsia="宋体" w:hint="default"/>
                <w:sz w:val="21"/>
                <w:szCs w:val="21"/>
              </w:rPr>
            </w:pPr>
            <w:r>
              <w:rPr>
                <w:rFonts w:ascii="宋体" w:hAnsi="宋体" w:cs="宋体" w:eastAsia="宋体" w:hint="default"/>
                <w:spacing w:val="-7"/>
                <w:sz w:val="21"/>
                <w:szCs w:val="21"/>
              </w:rPr>
              <w:t>拟出售资产、置</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出资产</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1"/>
                <w:sz w:val="21"/>
                <w:szCs w:val="21"/>
              </w:rPr>
              <w:t> </w:t>
            </w:r>
            <w:r>
              <w:rPr>
                <w:rFonts w:ascii="宋体" w:hAnsi="宋体" w:cs="宋体" w:eastAsia="宋体" w:hint="default"/>
                <w:sz w:val="21"/>
                <w:szCs w:val="21"/>
              </w:rPr>
              <w:t>2017</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3</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31</w:t>
            </w:r>
            <w:r>
              <w:rPr>
                <w:rFonts w:ascii="宋体" w:hAnsi="宋体" w:cs="宋体" w:eastAsia="宋体" w:hint="default"/>
                <w:spacing w:val="-43"/>
                <w:sz w:val="21"/>
                <w:szCs w:val="21"/>
              </w:rPr>
              <w:t> </w:t>
            </w:r>
            <w:r>
              <w:rPr>
                <w:rFonts w:ascii="宋体" w:hAnsi="宋体" w:cs="宋体" w:eastAsia="宋体" w:hint="default"/>
                <w:sz w:val="21"/>
                <w:szCs w:val="21"/>
              </w:rPr>
              <w:t>日，原江南嘉捷拥有的全部资产、负债、业务、</w:t>
            </w:r>
          </w:p>
          <w:p>
            <w:pPr>
              <w:pStyle w:val="TableParagraph"/>
              <w:spacing w:line="240" w:lineRule="auto"/>
              <w:ind w:left="103" w:right="104"/>
              <w:jc w:val="left"/>
              <w:rPr>
                <w:rFonts w:ascii="宋体" w:hAnsi="宋体" w:cs="宋体" w:eastAsia="宋体" w:hint="default"/>
                <w:sz w:val="21"/>
                <w:szCs w:val="21"/>
              </w:rPr>
            </w:pPr>
            <w:r>
              <w:rPr>
                <w:rFonts w:ascii="宋体" w:hAnsi="宋体" w:cs="宋体" w:eastAsia="宋体" w:hint="default"/>
                <w:sz w:val="21"/>
                <w:szCs w:val="21"/>
              </w:rPr>
              <w:t>人员、合同、资质及其他一切权利与义务。在划转重组的基础上，为</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原江南嘉捷持有的苏州嘉捷电梯</w:t>
            </w:r>
            <w:r>
              <w:rPr>
                <w:rFonts w:ascii="宋体" w:hAnsi="宋体" w:cs="宋体" w:eastAsia="宋体" w:hint="default"/>
                <w:spacing w:val="-60"/>
                <w:sz w:val="21"/>
                <w:szCs w:val="21"/>
              </w:rPr>
              <w:t> </w:t>
            </w:r>
            <w:r>
              <w:rPr>
                <w:rFonts w:ascii="宋体" w:hAnsi="宋体" w:cs="宋体" w:eastAsia="宋体" w:hint="default"/>
                <w:sz w:val="21"/>
                <w:szCs w:val="21"/>
              </w:rPr>
              <w:t>100%</w:t>
            </w:r>
            <w:r>
              <w:rPr>
                <w:rFonts w:ascii="宋体" w:hAnsi="宋体" w:cs="宋体" w:eastAsia="宋体" w:hint="default"/>
                <w:sz w:val="21"/>
                <w:szCs w:val="21"/>
              </w:rPr>
              <w:t>股权</w:t>
            </w:r>
          </w:p>
        </w:tc>
      </w:tr>
      <w:tr>
        <w:trPr>
          <w:trHeight w:val="28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嘉捷机电科技</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苏州工业园区江南嘉捷机电科技有限公司</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移动互联网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互联网的技术、平台、商业模式和应用与移动通信技术结合并实践的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活动的总称</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工业互联网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全球工业系统与高级计算、分析、感应技术以及互联网连接融合的结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果</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PC</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个人计算机（</w:t>
            </w:r>
            <w:r>
              <w:rPr>
                <w:rFonts w:ascii="宋体" w:hAnsi="宋体" w:cs="宋体" w:eastAsia="宋体" w:hint="default"/>
                <w:sz w:val="21"/>
                <w:szCs w:val="21"/>
              </w:rPr>
              <w:t>Personal</w:t>
            </w:r>
            <w:r>
              <w:rPr>
                <w:rFonts w:ascii="宋体" w:hAnsi="宋体" w:cs="宋体" w:eastAsia="宋体" w:hint="default"/>
                <w:spacing w:val="-4"/>
                <w:sz w:val="21"/>
                <w:szCs w:val="21"/>
              </w:rPr>
              <w:t> </w:t>
            </w:r>
            <w:r>
              <w:rPr>
                <w:rFonts w:ascii="宋体" w:hAnsi="宋体" w:cs="宋体" w:eastAsia="宋体" w:hint="default"/>
                <w:sz w:val="21"/>
                <w:szCs w:val="21"/>
              </w:rPr>
              <w:t>Computer</w:t>
            </w:r>
            <w:r>
              <w:rPr>
                <w:rFonts w:ascii="宋体" w:hAnsi="宋体" w:cs="宋体" w:eastAsia="宋体" w:hint="default"/>
                <w:sz w:val="21"/>
                <w:szCs w:val="21"/>
              </w:rPr>
              <w:t>）</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APP</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应用程序（</w:t>
            </w:r>
            <w:r>
              <w:rPr>
                <w:rFonts w:ascii="宋体" w:hAnsi="宋体" w:cs="宋体" w:eastAsia="宋体" w:hint="default"/>
                <w:sz w:val="21"/>
                <w:szCs w:val="21"/>
              </w:rPr>
              <w:t>Application</w:t>
            </w:r>
            <w:r>
              <w:rPr>
                <w:rFonts w:ascii="宋体" w:hAnsi="宋体" w:cs="宋体" w:eastAsia="宋体" w:hint="default"/>
                <w:sz w:val="21"/>
                <w:szCs w:val="21"/>
              </w:rPr>
              <w:t>），泛指安装在移动设备上的应用软件</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IMABCDE</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公司使用的主要核心技术，其中：</w:t>
            </w:r>
            <w:r>
              <w:rPr>
                <w:rFonts w:ascii="宋体" w:hAnsi="宋体" w:cs="宋体" w:eastAsia="宋体" w:hint="default"/>
                <w:sz w:val="21"/>
                <w:szCs w:val="21"/>
              </w:rPr>
              <w:t>I-IoT</w:t>
            </w:r>
            <w:r>
              <w:rPr>
                <w:rFonts w:ascii="宋体" w:hAnsi="宋体" w:cs="宋体" w:eastAsia="宋体" w:hint="default"/>
                <w:spacing w:val="70"/>
                <w:sz w:val="21"/>
                <w:szCs w:val="21"/>
              </w:rPr>
              <w:t> </w:t>
            </w:r>
            <w:r>
              <w:rPr>
                <w:rFonts w:ascii="宋体" w:hAnsi="宋体" w:cs="宋体" w:eastAsia="宋体" w:hint="default"/>
                <w:sz w:val="21"/>
                <w:szCs w:val="21"/>
              </w:rPr>
              <w:t>智能感知、</w:t>
            </w:r>
            <w:r>
              <w:rPr>
                <w:rFonts w:ascii="宋体" w:hAnsi="宋体" w:cs="宋体" w:eastAsia="宋体" w:hint="default"/>
                <w:sz w:val="21"/>
                <w:szCs w:val="21"/>
              </w:rPr>
              <w:t>M-</w:t>
            </w:r>
            <w:r>
              <w:rPr>
                <w:rFonts w:ascii="宋体" w:hAnsi="宋体" w:cs="宋体" w:eastAsia="宋体" w:hint="default"/>
                <w:sz w:val="21"/>
                <w:szCs w:val="21"/>
              </w:rPr>
              <w:t>移动通信、</w:t>
            </w:r>
            <w:r>
              <w:rPr>
                <w:rFonts w:ascii="宋体" w:hAnsi="宋体" w:cs="宋体" w:eastAsia="宋体" w:hint="default"/>
                <w:sz w:val="21"/>
                <w:szCs w:val="21"/>
              </w:rPr>
              <w:t>A-</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人工智能、</w:t>
            </w:r>
            <w:r>
              <w:rPr>
                <w:rFonts w:ascii="宋体" w:hAnsi="宋体" w:cs="宋体" w:eastAsia="宋体" w:hint="default"/>
                <w:sz w:val="21"/>
                <w:szCs w:val="21"/>
              </w:rPr>
              <w:t>B-</w:t>
            </w:r>
            <w:r>
              <w:rPr>
                <w:rFonts w:ascii="宋体" w:hAnsi="宋体" w:cs="宋体" w:eastAsia="宋体" w:hint="default"/>
                <w:sz w:val="21"/>
                <w:szCs w:val="21"/>
              </w:rPr>
              <w:t>区块链、</w:t>
            </w:r>
            <w:r>
              <w:rPr>
                <w:rFonts w:ascii="宋体" w:hAnsi="宋体" w:cs="宋体" w:eastAsia="宋体" w:hint="default"/>
                <w:sz w:val="21"/>
                <w:szCs w:val="21"/>
              </w:rPr>
              <w:t>C-</w:t>
            </w:r>
            <w:r>
              <w:rPr>
                <w:rFonts w:ascii="宋体" w:hAnsi="宋体" w:cs="宋体" w:eastAsia="宋体" w:hint="default"/>
                <w:sz w:val="21"/>
                <w:szCs w:val="21"/>
              </w:rPr>
              <w:t>云计算、</w:t>
            </w:r>
            <w:r>
              <w:rPr>
                <w:rFonts w:ascii="宋体" w:hAnsi="宋体" w:cs="宋体" w:eastAsia="宋体" w:hint="default"/>
                <w:sz w:val="21"/>
                <w:szCs w:val="21"/>
              </w:rPr>
              <w:t>D-</w:t>
            </w:r>
            <w:r>
              <w:rPr>
                <w:rFonts w:ascii="宋体" w:hAnsi="宋体" w:cs="宋体" w:eastAsia="宋体" w:hint="default"/>
                <w:sz w:val="21"/>
                <w:szCs w:val="21"/>
              </w:rPr>
              <w:t>大数据、</w:t>
            </w:r>
            <w:r>
              <w:rPr>
                <w:rFonts w:ascii="宋体" w:hAnsi="宋体" w:cs="宋体" w:eastAsia="宋体" w:hint="default"/>
                <w:sz w:val="21"/>
                <w:szCs w:val="21"/>
              </w:rPr>
              <w:t>E-</w:t>
            </w:r>
            <w:r>
              <w:rPr>
                <w:rFonts w:ascii="宋体" w:hAnsi="宋体" w:cs="宋体" w:eastAsia="宋体" w:hint="default"/>
                <w:sz w:val="21"/>
                <w:szCs w:val="21"/>
              </w:rPr>
              <w:t>边缘计算</w:t>
            </w:r>
          </w:p>
        </w:tc>
      </w:tr>
      <w:tr>
        <w:trPr>
          <w:trHeight w:val="110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360</w:t>
            </w:r>
            <w:r>
              <w:rPr>
                <w:rFonts w:ascii="宋体" w:hAnsi="宋体" w:cs="宋体" w:eastAsia="宋体" w:hint="default"/>
                <w:spacing w:val="-53"/>
                <w:sz w:val="21"/>
                <w:szCs w:val="21"/>
              </w:rPr>
              <w:t> </w:t>
            </w:r>
            <w:r>
              <w:rPr>
                <w:rFonts w:ascii="宋体" w:hAnsi="宋体" w:cs="宋体" w:eastAsia="宋体" w:hint="default"/>
                <w:sz w:val="21"/>
                <w:szCs w:val="21"/>
              </w:rPr>
              <w:t>安全大脑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公司推出的全球最大的分布式智能安全系统，具备威胁感知、推理溯</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源、攻击预警、决策辅助、自我学习五项核心能力，可在保护国家、</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国防、关键基础设施、社会、城市及个人的网络安全方面发挥重要作</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用</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木马</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为用来盗取其他用户的个人信息，甚至是远程控制对方的计算机而制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作的一种后门程序，然后通过各种手段传播或者骗取目标用户执行该</w:t>
            </w:r>
          </w:p>
        </w:tc>
      </w:tr>
    </w:tbl>
    <w:p>
      <w:pPr>
        <w:spacing w:after="0" w:line="273" w:lineRule="exact"/>
        <w:jc w:val="left"/>
        <w:rPr>
          <w:rFonts w:ascii="宋体" w:hAnsi="宋体" w:cs="宋体" w:eastAsia="宋体" w:hint="default"/>
          <w:sz w:val="21"/>
          <w:szCs w:val="21"/>
        </w:rPr>
        <w:sectPr>
          <w:pgSz w:w="11910" w:h="16840"/>
          <w:pgMar w:header="855" w:footer="1217" w:top="1320" w:bottom="1400" w:left="1580" w:right="1160"/>
        </w:sectPr>
      </w:pPr>
    </w:p>
    <w:p>
      <w:pPr>
        <w:spacing w:line="240" w:lineRule="auto" w:before="8"/>
        <w:rPr>
          <w:rFonts w:ascii="Times New Roman" w:hAnsi="Times New Roman" w:cs="Times New Roman" w:eastAsia="Times New Roman"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1668"/>
        <w:gridCol w:w="567"/>
        <w:gridCol w:w="6589"/>
      </w:tblGrid>
      <w:tr>
        <w:trPr>
          <w:trHeight w:val="284" w:hRule="exact"/>
        </w:trPr>
        <w:tc>
          <w:tcPr>
            <w:tcW w:w="16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程序，以达到盗取密码等各种数据资料等目的</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病毒</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1"/>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编制者在计算机程序中插入的破坏计算机功能或者数据的代码，是能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影响计算机使用，能自我复制的一组计算机指令或者程序代码</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QVM</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1"/>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奇虎支持向量机（</w:t>
            </w:r>
            <w:r>
              <w:rPr>
                <w:rFonts w:ascii="宋体" w:hAnsi="宋体" w:cs="宋体" w:eastAsia="宋体" w:hint="default"/>
                <w:sz w:val="21"/>
                <w:szCs w:val="21"/>
              </w:rPr>
              <w:t>Qihoo Support Vector</w:t>
            </w:r>
            <w:r>
              <w:rPr>
                <w:rFonts w:ascii="宋体" w:hAnsi="宋体" w:cs="宋体" w:eastAsia="宋体" w:hint="default"/>
                <w:spacing w:val="66"/>
                <w:sz w:val="21"/>
                <w:szCs w:val="21"/>
              </w:rPr>
              <w:t> </w:t>
            </w:r>
            <w:r>
              <w:rPr>
                <w:rFonts w:ascii="宋体" w:hAnsi="宋体" w:cs="宋体" w:eastAsia="宋体" w:hint="default"/>
                <w:sz w:val="21"/>
                <w:szCs w:val="21"/>
              </w:rPr>
              <w:t>Machine</w:t>
            </w:r>
            <w:r>
              <w:rPr>
                <w:rFonts w:ascii="宋体" w:hAnsi="宋体" w:cs="宋体" w:eastAsia="宋体" w:hint="default"/>
                <w:sz w:val="21"/>
                <w:szCs w:val="21"/>
              </w:rPr>
              <w:t>），是一种利用人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工智能技术查杀木马病毒的引擎</w:t>
            </w:r>
          </w:p>
        </w:tc>
      </w:tr>
      <w:tr>
        <w:trPr>
          <w:trHeight w:val="164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网络空间安全</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71"/>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6"/>
              <w:jc w:val="left"/>
              <w:rPr>
                <w:rFonts w:ascii="宋体" w:hAnsi="宋体" w:cs="宋体" w:eastAsia="宋体" w:hint="default"/>
                <w:sz w:val="21"/>
                <w:szCs w:val="21"/>
              </w:rPr>
            </w:pPr>
            <w:r>
              <w:rPr>
                <w:rFonts w:ascii="宋体" w:hAnsi="宋体" w:cs="宋体" w:eastAsia="宋体" w:hint="default"/>
                <w:sz w:val="21"/>
                <w:szCs w:val="21"/>
              </w:rPr>
              <w:t>Cyberspace Security </w:t>
            </w:r>
            <w:r>
              <w:rPr>
                <w:rFonts w:ascii="宋体" w:hAnsi="宋体" w:cs="宋体" w:eastAsia="宋体" w:hint="default"/>
                <w:sz w:val="21"/>
                <w:szCs w:val="21"/>
              </w:rPr>
              <w:t>或简称 </w:t>
            </w:r>
            <w:r>
              <w:rPr>
                <w:rFonts w:ascii="宋体" w:hAnsi="宋体" w:cs="宋体" w:eastAsia="宋体" w:hint="default"/>
                <w:sz w:val="21"/>
                <w:szCs w:val="21"/>
              </w:rPr>
              <w:t>Cyber</w:t>
            </w:r>
            <w:r>
              <w:rPr>
                <w:rFonts w:ascii="宋体" w:hAnsi="宋体" w:cs="宋体" w:eastAsia="宋体" w:hint="default"/>
                <w:spacing w:val="-40"/>
                <w:sz w:val="21"/>
                <w:szCs w:val="21"/>
              </w:rPr>
              <w:t> </w:t>
            </w:r>
            <w:r>
              <w:rPr>
                <w:rFonts w:ascii="宋体" w:hAnsi="宋体" w:cs="宋体" w:eastAsia="宋体" w:hint="default"/>
                <w:sz w:val="21"/>
                <w:szCs w:val="21"/>
              </w:rPr>
              <w:t>Security</w:t>
            </w:r>
            <w:r>
              <w:rPr>
                <w:rFonts w:ascii="宋体" w:hAnsi="宋体" w:cs="宋体" w:eastAsia="宋体" w:hint="default"/>
                <w:sz w:val="21"/>
                <w:szCs w:val="21"/>
              </w:rPr>
              <w:t>，网络空间中的安全威</w:t>
            </w:r>
          </w:p>
          <w:p>
            <w:pPr>
              <w:pStyle w:val="TableParagraph"/>
              <w:spacing w:line="237" w:lineRule="auto" w:before="2"/>
              <w:ind w:left="103" w:right="-6"/>
              <w:jc w:val="left"/>
              <w:rPr>
                <w:rFonts w:ascii="宋体" w:hAnsi="宋体" w:cs="宋体" w:eastAsia="宋体" w:hint="default"/>
                <w:sz w:val="21"/>
                <w:szCs w:val="21"/>
              </w:rPr>
            </w:pPr>
            <w:r>
              <w:rPr>
                <w:rFonts w:ascii="宋体" w:hAnsi="宋体" w:cs="宋体" w:eastAsia="宋体" w:hint="default"/>
                <w:spacing w:val="-3"/>
                <w:sz w:val="21"/>
                <w:szCs w:val="21"/>
              </w:rPr>
              <w:t>胁和防护问题，即在有敌手的对抗环境下，信息在产生、传输、存储、</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处理的各个环节中所面临的威胁和防御措施、以及网络和系统本身的</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威胁和防护机制。网络空间安全不仅仅包括传统信息安全所研究的信</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息保密性、完整性和可用性，还包括构成网络空间基础设施的安全和</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可信</w:t>
            </w:r>
          </w:p>
        </w:tc>
      </w:tr>
      <w:tr>
        <w:trPr>
          <w:trHeight w:val="55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CERT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1"/>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计算机安全应急响应组（</w:t>
            </w:r>
            <w:r>
              <w:rPr>
                <w:rFonts w:ascii="宋体" w:hAnsi="宋体" w:cs="宋体" w:eastAsia="宋体" w:hint="default"/>
                <w:sz w:val="21"/>
                <w:szCs w:val="21"/>
              </w:rPr>
              <w:t>Computer Emergency Response</w:t>
            </w:r>
            <w:r>
              <w:rPr>
                <w:rFonts w:ascii="宋体" w:hAnsi="宋体" w:cs="宋体" w:eastAsia="宋体" w:hint="default"/>
                <w:spacing w:val="67"/>
                <w:sz w:val="21"/>
                <w:szCs w:val="21"/>
              </w:rPr>
              <w:t> </w:t>
            </w:r>
            <w:r>
              <w:rPr>
                <w:rFonts w:ascii="宋体" w:hAnsi="宋体" w:cs="宋体" w:eastAsia="宋体" w:hint="default"/>
                <w:sz w:val="21"/>
                <w:szCs w:val="21"/>
              </w:rPr>
              <w:t>Team</w:t>
            </w:r>
            <w:r>
              <w:rPr>
                <w:rFonts w:ascii="宋体" w:hAnsi="宋体" w:cs="宋体" w:eastAsia="宋体" w:hint="default"/>
                <w:sz w:val="21"/>
                <w:szCs w:val="21"/>
              </w:rPr>
              <w:t>），是</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专门处理计算机网络安全问题的组织</w:t>
            </w:r>
          </w:p>
        </w:tc>
      </w:tr>
      <w:tr>
        <w:trPr>
          <w:trHeight w:val="557"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人工智能</w:t>
            </w:r>
            <w:r>
              <w:rPr>
                <w:rFonts w:ascii="宋体" w:hAnsi="宋体" w:cs="宋体" w:eastAsia="宋体" w:hint="default"/>
                <w:sz w:val="21"/>
                <w:szCs w:val="21"/>
              </w:rPr>
              <w:t>/AI</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1"/>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对人的意识、思维的信息过程的模拟，通常指通过普通电脑实现的智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能</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云计算</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1"/>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一种基于互联网的计算方式，通过这种方式，共享的软硬件资源和信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息可以按需求提供给计算机各种终端和其他设备</w:t>
            </w:r>
          </w:p>
        </w:tc>
      </w:tr>
      <w:tr>
        <w:trPr>
          <w:trHeight w:val="82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大数据</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71"/>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无法在一定时间范围内用常规软件工具进行捕捉、管理和处理的数据</w:t>
            </w:r>
          </w:p>
          <w:p>
            <w:pPr>
              <w:pStyle w:val="TableParagraph"/>
              <w:spacing w:line="240" w:lineRule="auto"/>
              <w:ind w:left="103" w:right="104"/>
              <w:jc w:val="left"/>
              <w:rPr>
                <w:rFonts w:ascii="宋体" w:hAnsi="宋体" w:cs="宋体" w:eastAsia="宋体" w:hint="default"/>
                <w:sz w:val="21"/>
                <w:szCs w:val="21"/>
              </w:rPr>
            </w:pPr>
            <w:r>
              <w:rPr>
                <w:rFonts w:ascii="宋体" w:hAnsi="宋体" w:cs="宋体" w:eastAsia="宋体" w:hint="default"/>
                <w:sz w:val="21"/>
                <w:szCs w:val="21"/>
              </w:rPr>
              <w:t>集合，是需要新处理模式才能具有更强的决策力、洞察发现力和流程</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优化能力的海量、高增长率和多样化的信息资产</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用户画像</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1"/>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一种基于人口统计特征（如年龄、性别、职业和收入等）和消费心理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勾画目标用户的行为</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媒体</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1"/>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交流传播信息的工具，如网站、报刊、广播、广告、新闻等</w:t>
            </w:r>
          </w:p>
        </w:tc>
      </w:tr>
      <w:tr>
        <w:trPr>
          <w:trHeight w:val="82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智能硬件</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71"/>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以平台性底层软硬件为基础，以智能传感互联、人机交互、新型显示</w:t>
            </w:r>
          </w:p>
          <w:p>
            <w:pPr>
              <w:pStyle w:val="TableParagraph"/>
              <w:spacing w:line="272" w:lineRule="exact" w:before="27"/>
              <w:ind w:left="103" w:right="104"/>
              <w:jc w:val="left"/>
              <w:rPr>
                <w:rFonts w:ascii="宋体" w:hAnsi="宋体" w:cs="宋体" w:eastAsia="宋体" w:hint="default"/>
                <w:sz w:val="21"/>
                <w:szCs w:val="21"/>
              </w:rPr>
            </w:pPr>
            <w:r>
              <w:rPr>
                <w:rFonts w:ascii="宋体" w:hAnsi="宋体" w:cs="宋体" w:eastAsia="宋体" w:hint="default"/>
                <w:sz w:val="21"/>
                <w:szCs w:val="21"/>
              </w:rPr>
              <w:t>及大数据处理等新一代信息技术为特征，以新设计、新材料、新工艺</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硬件为载体的新型智能终端产品及服务</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物联网</w:t>
            </w:r>
            <w:r>
              <w:rPr>
                <w:rFonts w:ascii="宋体" w:hAnsi="宋体" w:cs="宋体" w:eastAsia="宋体" w:hint="default"/>
                <w:sz w:val="21"/>
                <w:szCs w:val="21"/>
              </w:rPr>
              <w:t>/IOT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1"/>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互联网、传统电信网等信息的承载体，让所有能行使独立功能的普通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物体实现互联互通的网络</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内保外贷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1"/>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color w:val="333333"/>
                <w:spacing w:val="7"/>
                <w:sz w:val="21"/>
                <w:szCs w:val="21"/>
              </w:rPr>
              <w:t>境内银行为境内企业在境外注册的附属企业或参股投资企业提供担</w:t>
            </w:r>
            <w:r>
              <w:rPr>
                <w:rFonts w:ascii="宋体" w:hAnsi="宋体" w:cs="宋体" w:eastAsia="宋体" w:hint="default"/>
                <w:spacing w:val="7"/>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color w:val="333333"/>
                <w:sz w:val="21"/>
                <w:szCs w:val="21"/>
              </w:rPr>
              <w:t>保，由境外银行给境外投资企业发放相应贷款。</w:t>
            </w:r>
            <w:r>
              <w:rPr>
                <w:rFonts w:ascii="宋体" w:hAnsi="宋体" w:cs="宋体" w:eastAsia="宋体" w:hint="default"/>
                <w:sz w:val="21"/>
                <w:szCs w:val="21"/>
              </w:rPr>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1"/>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中国大陆（不包括香港、澳门及台湾地区，特别说明除外）</w:t>
            </w: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1"/>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中国大陆以外的地区</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1"/>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获准在境内证券交易所上市、以人民币标明面值、以人民币认购和进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行交易的普通股股票</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《上市规则》</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1"/>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《上海证券交易所股票上市规则》</w:t>
            </w:r>
          </w:p>
        </w:tc>
      </w:tr>
      <w:tr>
        <w:trPr>
          <w:trHeight w:val="28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1"/>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1"/>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中国证监会、证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监会</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1"/>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中国证券业监督管理委员会</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财政部</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1"/>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中华人民共和国财政部</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1"/>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1"/>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上年同期</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1"/>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6"/>
              <w:jc w:val="left"/>
              <w:rPr>
                <w:rFonts w:ascii="宋体" w:hAnsi="宋体" w:cs="宋体" w:eastAsia="宋体" w:hint="default"/>
                <w:sz w:val="21"/>
                <w:szCs w:val="21"/>
              </w:rPr>
            </w:pPr>
            <w:r>
              <w:rPr>
                <w:rFonts w:ascii="宋体" w:hAnsi="宋体" w:cs="宋体" w:eastAsia="宋体" w:hint="default"/>
                <w:spacing w:val="-17"/>
                <w:sz w:val="21"/>
                <w:szCs w:val="21"/>
              </w:rPr>
              <w:t>元、千元、万元、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亿元</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人民币元、千元、万元、亿元</w:t>
            </w:r>
          </w:p>
        </w:tc>
      </w:tr>
    </w:tbl>
    <w:p>
      <w:pPr>
        <w:spacing w:after="0" w:line="240" w:lineRule="auto"/>
        <w:jc w:val="left"/>
        <w:rPr>
          <w:rFonts w:ascii="宋体" w:hAnsi="宋体" w:cs="宋体" w:eastAsia="宋体" w:hint="default"/>
          <w:sz w:val="21"/>
          <w:szCs w:val="21"/>
        </w:rPr>
        <w:sectPr>
          <w:pgSz w:w="11910" w:h="16840"/>
          <w:pgMar w:header="855" w:footer="1217" w:top="1320" w:bottom="1400" w:left="1580" w:right="1160"/>
        </w:sectPr>
      </w:pPr>
    </w:p>
    <w:p>
      <w:pPr>
        <w:spacing w:line="240" w:lineRule="auto" w:before="3"/>
        <w:rPr>
          <w:rFonts w:ascii="Times New Roman" w:hAnsi="Times New Roman" w:cs="Times New Roman" w:eastAsia="Times New Roman" w:hint="default"/>
          <w:sz w:val="11"/>
          <w:szCs w:val="11"/>
        </w:rPr>
      </w:pPr>
    </w:p>
    <w:p>
      <w:pPr>
        <w:pStyle w:val="Heading1"/>
        <w:tabs>
          <w:tab w:pos="3717" w:val="left" w:leader="none"/>
        </w:tabs>
        <w:spacing w:line="240" w:lineRule="auto"/>
        <w:ind w:left="2457" w:right="234"/>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5"/>
        <w:spacing w:line="240" w:lineRule="auto" w:before="36"/>
        <w:ind w:right="234"/>
        <w:jc w:val="left"/>
        <w:rPr>
          <w:b w:val="0"/>
          <w:bCs w:val="0"/>
        </w:rPr>
      </w:pPr>
      <w:r>
        <w:rPr/>
        <w:t>一、</w:t>
      </w:r>
      <w:r>
        <w:rPr>
          <w:spacing w:val="40"/>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2996"/>
        <w:gridCol w:w="5900"/>
      </w:tblGrid>
      <w:tr>
        <w:trPr>
          <w:trHeight w:val="302"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9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三六零安全科技股份有限公司</w:t>
            </w:r>
          </w:p>
        </w:tc>
      </w:tr>
      <w:tr>
        <w:trPr>
          <w:trHeight w:val="302"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9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三六零</w:t>
            </w:r>
          </w:p>
        </w:tc>
      </w:tr>
      <w:tr>
        <w:trPr>
          <w:trHeight w:val="305"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9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473" w:right="0"/>
              <w:jc w:val="left"/>
              <w:rPr>
                <w:rFonts w:ascii="宋体" w:hAnsi="宋体" w:cs="宋体" w:eastAsia="宋体" w:hint="default"/>
                <w:sz w:val="21"/>
                <w:szCs w:val="21"/>
              </w:rPr>
            </w:pPr>
            <w:r>
              <w:rPr>
                <w:rFonts w:ascii="宋体"/>
                <w:sz w:val="21"/>
              </w:rPr>
              <w:t>360 Security Technology</w:t>
            </w:r>
            <w:r>
              <w:rPr>
                <w:rFonts w:ascii="宋体"/>
                <w:spacing w:val="-2"/>
                <w:sz w:val="21"/>
              </w:rPr>
              <w:t> </w:t>
            </w:r>
            <w:r>
              <w:rPr>
                <w:rFonts w:ascii="宋体"/>
                <w:sz w:val="21"/>
              </w:rPr>
              <w:t>Inc.</w:t>
            </w:r>
          </w:p>
        </w:tc>
      </w:tr>
      <w:tr>
        <w:trPr>
          <w:trHeight w:val="302"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9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周鸿祎</w:t>
            </w:r>
          </w:p>
        </w:tc>
      </w:tr>
    </w:tbl>
    <w:p>
      <w:pPr>
        <w:spacing w:line="240" w:lineRule="auto" w:before="12"/>
        <w:rPr>
          <w:rFonts w:ascii="宋体" w:hAnsi="宋体" w:cs="宋体" w:eastAsia="宋体" w:hint="default"/>
          <w:b/>
          <w:bCs/>
          <w:sz w:val="19"/>
          <w:szCs w:val="19"/>
        </w:rPr>
      </w:pPr>
    </w:p>
    <w:p>
      <w:pPr>
        <w:pStyle w:val="Heading5"/>
        <w:spacing w:line="240" w:lineRule="auto" w:before="36"/>
        <w:ind w:right="234"/>
        <w:jc w:val="left"/>
        <w:rPr>
          <w:b w:val="0"/>
          <w:bCs w:val="0"/>
        </w:rPr>
      </w:pPr>
      <w:r>
        <w:rPr/>
        <w:t>二、</w:t>
      </w:r>
      <w:r>
        <w:rPr>
          <w:spacing w:val="41"/>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2996"/>
        <w:gridCol w:w="2936"/>
        <w:gridCol w:w="2965"/>
      </w:tblGrid>
      <w:tr>
        <w:trPr>
          <w:trHeight w:val="322" w:hRule="exact"/>
        </w:trPr>
        <w:tc>
          <w:tcPr>
            <w:tcW w:w="2996"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1"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王巍</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王习习</w:t>
            </w:r>
          </w:p>
        </w:tc>
      </w:tr>
      <w:tr>
        <w:trPr>
          <w:trHeight w:val="557"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北京市朝阳区酒仙桥路</w:t>
            </w:r>
            <w:r>
              <w:rPr>
                <w:rFonts w:ascii="宋体" w:hAnsi="宋体" w:cs="宋体" w:eastAsia="宋体" w:hint="default"/>
                <w:sz w:val="21"/>
                <w:szCs w:val="21"/>
              </w:rPr>
              <w:t>6</w:t>
            </w:r>
            <w:r>
              <w:rPr>
                <w:rFonts w:ascii="宋体" w:hAnsi="宋体" w:cs="宋体" w:eastAsia="宋体" w:hint="default"/>
                <w:sz w:val="21"/>
                <w:szCs w:val="21"/>
              </w:rPr>
              <w:t>号院</w:t>
            </w:r>
            <w:r>
              <w:rPr>
                <w:rFonts w:ascii="宋体" w:hAnsi="宋体" w:cs="宋体" w:eastAsia="宋体" w:hint="default"/>
                <w:sz w:val="21"/>
                <w:szCs w:val="21"/>
              </w:rPr>
              <w:t>2</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号楼</w:t>
            </w:r>
            <w:r>
              <w:rPr>
                <w:rFonts w:ascii="宋体" w:hAnsi="宋体" w:cs="宋体" w:eastAsia="宋体" w:hint="default"/>
                <w:sz w:val="21"/>
                <w:szCs w:val="21"/>
              </w:rPr>
              <w:t>A</w:t>
            </w:r>
            <w:r>
              <w:rPr>
                <w:rFonts w:ascii="宋体" w:hAnsi="宋体" w:cs="宋体" w:eastAsia="宋体" w:hint="default"/>
                <w:sz w:val="21"/>
                <w:szCs w:val="21"/>
              </w:rPr>
              <w:t>座</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北京市朝阳区酒仙桥路</w:t>
            </w:r>
            <w:r>
              <w:rPr>
                <w:rFonts w:ascii="宋体" w:hAnsi="宋体" w:cs="宋体" w:eastAsia="宋体" w:hint="default"/>
                <w:sz w:val="21"/>
                <w:szCs w:val="21"/>
              </w:rPr>
              <w:t>6</w:t>
            </w:r>
            <w:r>
              <w:rPr>
                <w:rFonts w:ascii="宋体" w:hAnsi="宋体" w:cs="宋体" w:eastAsia="宋体" w:hint="default"/>
                <w:sz w:val="21"/>
                <w:szCs w:val="21"/>
              </w:rPr>
              <w:t>号院</w:t>
            </w:r>
            <w:r>
              <w:rPr>
                <w:rFonts w:ascii="宋体" w:hAnsi="宋体" w:cs="宋体" w:eastAsia="宋体" w:hint="default"/>
                <w:sz w:val="21"/>
                <w:szCs w:val="21"/>
              </w:rPr>
              <w:t>2</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号楼</w:t>
            </w:r>
            <w:r>
              <w:rPr>
                <w:rFonts w:ascii="宋体" w:hAnsi="宋体" w:cs="宋体" w:eastAsia="宋体" w:hint="default"/>
                <w:sz w:val="21"/>
                <w:szCs w:val="21"/>
              </w:rPr>
              <w:t>A</w:t>
            </w:r>
            <w:r>
              <w:rPr>
                <w:rFonts w:ascii="宋体" w:hAnsi="宋体" w:cs="宋体" w:eastAsia="宋体" w:hint="default"/>
                <w:sz w:val="21"/>
                <w:szCs w:val="21"/>
              </w:rPr>
              <w:t>座</w:t>
            </w:r>
          </w:p>
        </w:tc>
      </w:tr>
      <w:tr>
        <w:trPr>
          <w:trHeight w:val="281"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010-56821816</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010-56821816</w:t>
            </w:r>
          </w:p>
        </w:tc>
      </w:tr>
      <w:tr>
        <w:trPr>
          <w:trHeight w:val="28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010-56822789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010-56822789</w:t>
            </w:r>
          </w:p>
        </w:tc>
      </w:tr>
      <w:tr>
        <w:trPr>
          <w:trHeight w:val="28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8">
              <w:r>
                <w:rPr>
                  <w:rFonts w:ascii="宋体"/>
                  <w:sz w:val="21"/>
                </w:rPr>
                <w:t>q-zhengquan@360.cn</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8">
              <w:r>
                <w:rPr>
                  <w:rFonts w:ascii="宋体"/>
                  <w:sz w:val="21"/>
                </w:rPr>
                <w:t>q-zhengquan@360.cn</w:t>
              </w:r>
            </w:hyperlink>
          </w:p>
        </w:tc>
      </w:tr>
    </w:tbl>
    <w:p>
      <w:pPr>
        <w:spacing w:line="240" w:lineRule="auto" w:before="12"/>
        <w:rPr>
          <w:rFonts w:ascii="宋体" w:hAnsi="宋体" w:cs="宋体" w:eastAsia="宋体" w:hint="default"/>
          <w:b/>
          <w:bCs/>
          <w:sz w:val="19"/>
          <w:szCs w:val="19"/>
        </w:rPr>
      </w:pPr>
    </w:p>
    <w:p>
      <w:pPr>
        <w:pStyle w:val="Heading5"/>
        <w:spacing w:line="240" w:lineRule="auto" w:before="36"/>
        <w:ind w:right="234"/>
        <w:jc w:val="left"/>
        <w:rPr>
          <w:b w:val="0"/>
          <w:bCs w:val="0"/>
        </w:rPr>
      </w:pPr>
      <w:r>
        <w:rPr/>
        <w:t>三、</w:t>
      </w:r>
      <w:r>
        <w:rPr>
          <w:spacing w:val="41"/>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2996"/>
        <w:gridCol w:w="5900"/>
      </w:tblGrid>
      <w:tr>
        <w:trPr>
          <w:trHeight w:val="302"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3"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苏州工业园区澄湾路</w:t>
            </w:r>
            <w:r>
              <w:rPr>
                <w:rFonts w:ascii="宋体" w:hAnsi="宋体" w:cs="宋体" w:eastAsia="宋体" w:hint="default"/>
                <w:sz w:val="21"/>
                <w:szCs w:val="21"/>
              </w:rPr>
              <w:t>19</w:t>
            </w:r>
            <w:r>
              <w:rPr>
                <w:rFonts w:ascii="宋体" w:hAnsi="宋体" w:cs="宋体" w:eastAsia="宋体" w:hint="default"/>
                <w:sz w:val="21"/>
                <w:szCs w:val="21"/>
              </w:rPr>
              <w:t>号中新科技大厦</w:t>
            </w:r>
            <w:r>
              <w:rPr>
                <w:rFonts w:ascii="宋体" w:hAnsi="宋体" w:cs="宋体" w:eastAsia="宋体" w:hint="default"/>
                <w:sz w:val="21"/>
                <w:szCs w:val="21"/>
              </w:rPr>
              <w:t>1107</w:t>
            </w:r>
            <w:r>
              <w:rPr>
                <w:rFonts w:ascii="宋体" w:hAnsi="宋体" w:cs="宋体" w:eastAsia="宋体" w:hint="default"/>
                <w:sz w:val="21"/>
                <w:szCs w:val="21"/>
              </w:rPr>
              <w:t>室</w:t>
            </w:r>
          </w:p>
        </w:tc>
      </w:tr>
      <w:tr>
        <w:trPr>
          <w:trHeight w:val="302"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215122</w:t>
            </w:r>
          </w:p>
        </w:tc>
      </w:tr>
      <w:tr>
        <w:trPr>
          <w:trHeight w:val="302"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北京市朝阳区酒仙桥路</w:t>
            </w:r>
            <w:r>
              <w:rPr>
                <w:rFonts w:ascii="宋体" w:hAnsi="宋体" w:cs="宋体" w:eastAsia="宋体" w:hint="default"/>
                <w:sz w:val="21"/>
                <w:szCs w:val="21"/>
              </w:rPr>
              <w:t>6</w:t>
            </w:r>
            <w:r>
              <w:rPr>
                <w:rFonts w:ascii="宋体" w:hAnsi="宋体" w:cs="宋体" w:eastAsia="宋体" w:hint="default"/>
                <w:sz w:val="21"/>
                <w:szCs w:val="21"/>
              </w:rPr>
              <w:t>号院</w:t>
            </w:r>
            <w:r>
              <w:rPr>
                <w:rFonts w:ascii="宋体" w:hAnsi="宋体" w:cs="宋体" w:eastAsia="宋体" w:hint="default"/>
                <w:sz w:val="21"/>
                <w:szCs w:val="21"/>
              </w:rPr>
              <w:t>2</w:t>
            </w:r>
            <w:r>
              <w:rPr>
                <w:rFonts w:ascii="宋体" w:hAnsi="宋体" w:cs="宋体" w:eastAsia="宋体" w:hint="default"/>
                <w:sz w:val="21"/>
                <w:szCs w:val="21"/>
              </w:rPr>
              <w:t>号楼</w:t>
            </w:r>
            <w:r>
              <w:rPr>
                <w:rFonts w:ascii="宋体" w:hAnsi="宋体" w:cs="宋体" w:eastAsia="宋体" w:hint="default"/>
                <w:sz w:val="21"/>
                <w:szCs w:val="21"/>
              </w:rPr>
              <w:t>A</w:t>
            </w:r>
            <w:r>
              <w:rPr>
                <w:rFonts w:ascii="宋体" w:hAnsi="宋体" w:cs="宋体" w:eastAsia="宋体" w:hint="default"/>
                <w:sz w:val="21"/>
                <w:szCs w:val="21"/>
              </w:rPr>
              <w:t>座</w:t>
            </w:r>
          </w:p>
        </w:tc>
      </w:tr>
      <w:tr>
        <w:trPr>
          <w:trHeight w:val="305"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9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100015</w:t>
            </w:r>
          </w:p>
        </w:tc>
      </w:tr>
      <w:tr>
        <w:trPr>
          <w:trHeight w:val="302"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hyperlink r:id="rId9">
              <w:r>
                <w:rPr>
                  <w:rFonts w:ascii="宋体"/>
                  <w:sz w:val="21"/>
                </w:rPr>
                <w:t>www.360.cn</w:t>
              </w:r>
            </w:hyperlink>
          </w:p>
        </w:tc>
      </w:tr>
      <w:tr>
        <w:trPr>
          <w:trHeight w:val="302"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hyperlink r:id="rId8">
              <w:r>
                <w:rPr>
                  <w:rFonts w:ascii="宋体"/>
                  <w:sz w:val="21"/>
                </w:rPr>
                <w:t>q-zhengquan@360.cn</w:t>
              </w:r>
            </w:hyperlink>
          </w:p>
        </w:tc>
      </w:tr>
    </w:tbl>
    <w:p>
      <w:pPr>
        <w:spacing w:line="240" w:lineRule="auto" w:before="1"/>
        <w:rPr>
          <w:rFonts w:ascii="宋体" w:hAnsi="宋体" w:cs="宋体" w:eastAsia="宋体" w:hint="default"/>
          <w:b/>
          <w:bCs/>
          <w:sz w:val="23"/>
          <w:szCs w:val="23"/>
        </w:rPr>
      </w:pPr>
    </w:p>
    <w:p>
      <w:pPr>
        <w:pStyle w:val="Heading5"/>
        <w:spacing w:line="240" w:lineRule="auto" w:before="36"/>
        <w:ind w:right="234"/>
        <w:jc w:val="left"/>
        <w:rPr>
          <w:b w:val="0"/>
          <w:bCs w:val="0"/>
        </w:rPr>
      </w:pPr>
      <w:r>
        <w:rPr/>
        <w:t>四、</w:t>
      </w:r>
      <w:r>
        <w:rPr>
          <w:spacing w:val="42"/>
        </w:rPr>
        <w:t> </w:t>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《证券时报》、《上海证券报》、《中国证券报》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10">
              <w:r>
                <w:rPr>
                  <w:rFonts w:ascii="宋体"/>
                  <w:sz w:val="21"/>
                </w:rPr>
                <w:t>www.sse.com.cn</w:t>
              </w:r>
            </w:hyperlink>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公司证券部、上海证券交易所</w:t>
            </w:r>
          </w:p>
        </w:tc>
      </w:tr>
    </w:tbl>
    <w:p>
      <w:pPr>
        <w:spacing w:line="240" w:lineRule="auto" w:before="2"/>
        <w:rPr>
          <w:rFonts w:ascii="宋体" w:hAnsi="宋体" w:cs="宋体" w:eastAsia="宋体" w:hint="default"/>
          <w:b/>
          <w:bCs/>
          <w:sz w:val="20"/>
          <w:szCs w:val="20"/>
        </w:rPr>
      </w:pPr>
    </w:p>
    <w:p>
      <w:pPr>
        <w:pStyle w:val="Heading5"/>
        <w:spacing w:line="240" w:lineRule="auto" w:before="36"/>
        <w:ind w:right="234"/>
        <w:jc w:val="left"/>
        <w:rPr>
          <w:b w:val="0"/>
          <w:bCs w:val="0"/>
        </w:rPr>
      </w:pPr>
      <w:r>
        <w:rPr/>
        <w:t>五、</w:t>
      </w:r>
      <w:r>
        <w:rPr>
          <w:spacing w:val="41"/>
        </w:rPr>
        <w:t> </w:t>
      </w:r>
      <w:r>
        <w:rPr/>
        <w:t>公司股票简况</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5"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三六零</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601360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江南嘉捷</w:t>
            </w:r>
          </w:p>
        </w:tc>
      </w:tr>
    </w:tbl>
    <w:p>
      <w:pPr>
        <w:spacing w:line="240" w:lineRule="auto" w:before="1"/>
        <w:rPr>
          <w:rFonts w:ascii="宋体" w:hAnsi="宋体" w:cs="宋体" w:eastAsia="宋体" w:hint="default"/>
          <w:b/>
          <w:bCs/>
          <w:sz w:val="23"/>
          <w:szCs w:val="23"/>
        </w:rPr>
      </w:pPr>
    </w:p>
    <w:p>
      <w:pPr>
        <w:pStyle w:val="Heading5"/>
        <w:spacing w:line="240" w:lineRule="auto" w:before="36"/>
        <w:ind w:right="234"/>
        <w:jc w:val="left"/>
        <w:rPr>
          <w:b w:val="0"/>
          <w:bCs w:val="0"/>
        </w:rPr>
      </w:pPr>
      <w:r>
        <w:rPr/>
        <w:t>六、</w:t>
      </w:r>
      <w:r>
        <w:rPr>
          <w:spacing w:val="41"/>
        </w:rPr>
        <w:t> </w:t>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1740"/>
        <w:gridCol w:w="1892"/>
        <w:gridCol w:w="5418"/>
      </w:tblGrid>
      <w:tr>
        <w:trPr>
          <w:trHeight w:val="283" w:hRule="exact"/>
        </w:trPr>
        <w:tc>
          <w:tcPr>
            <w:tcW w:w="1740" w:type="dxa"/>
            <w:vMerge w:val="restart"/>
            <w:tcBorders>
              <w:top w:val="single" w:sz="4" w:space="0" w:color="000000"/>
              <w:left w:val="single" w:sz="4" w:space="0" w:color="000000"/>
              <w:right w:val="single" w:sz="4" w:space="0" w:color="000000"/>
            </w:tcBorders>
          </w:tcPr>
          <w:p>
            <w:pPr>
              <w:pStyle w:val="TableParagraph"/>
              <w:spacing w:line="240" w:lineRule="auto" w:before="112"/>
              <w:ind w:left="103" w:right="-6"/>
              <w:jc w:val="left"/>
              <w:rPr>
                <w:rFonts w:ascii="宋体" w:hAnsi="宋体" w:cs="宋体" w:eastAsia="宋体" w:hint="default"/>
                <w:sz w:val="21"/>
                <w:szCs w:val="21"/>
              </w:rPr>
            </w:pPr>
            <w:r>
              <w:rPr>
                <w:rFonts w:ascii="宋体" w:hAnsi="宋体" w:cs="宋体" w:eastAsia="宋体" w:hint="default"/>
                <w:spacing w:val="5"/>
                <w:sz w:val="21"/>
                <w:szCs w:val="21"/>
              </w:rPr>
              <w:t>公司聘请的会计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8"/>
                <w:sz w:val="21"/>
                <w:szCs w:val="21"/>
              </w:rPr>
              <w:t>师事务所（境内）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德勤华永会计师事务所（特殊普通合伙）</w:t>
            </w:r>
          </w:p>
        </w:tc>
      </w:tr>
      <w:tr>
        <w:trPr>
          <w:trHeight w:val="283" w:hRule="exact"/>
        </w:trPr>
        <w:tc>
          <w:tcPr>
            <w:tcW w:w="1740" w:type="dxa"/>
            <w:vMerge/>
            <w:tcBorders>
              <w:left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5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上海市黄浦区延安东路</w:t>
            </w:r>
            <w:r>
              <w:rPr>
                <w:rFonts w:ascii="宋体" w:hAnsi="宋体" w:cs="宋体" w:eastAsia="宋体" w:hint="default"/>
                <w:spacing w:val="-54"/>
                <w:sz w:val="21"/>
                <w:szCs w:val="21"/>
              </w:rPr>
              <w:t> </w:t>
            </w:r>
            <w:r>
              <w:rPr>
                <w:rFonts w:ascii="宋体" w:hAnsi="宋体" w:cs="宋体" w:eastAsia="宋体" w:hint="default"/>
                <w:sz w:val="21"/>
                <w:szCs w:val="21"/>
              </w:rPr>
              <w:t>222</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楼</w:t>
            </w:r>
          </w:p>
        </w:tc>
      </w:tr>
      <w:tr>
        <w:trPr>
          <w:trHeight w:val="281" w:hRule="exact"/>
        </w:trPr>
        <w:tc>
          <w:tcPr>
            <w:tcW w:w="1740"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5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付建超、单莉莉</w:t>
            </w:r>
          </w:p>
        </w:tc>
      </w:tr>
      <w:tr>
        <w:trPr>
          <w:trHeight w:val="283" w:hRule="exact"/>
        </w:trPr>
        <w:tc>
          <w:tcPr>
            <w:tcW w:w="174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pacing w:val="5"/>
                <w:sz w:val="21"/>
                <w:szCs w:val="21"/>
              </w:rPr>
              <w:t>报告期内履行持</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续督导职责的财</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务顾问</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华泰联合证券有限责任公司</w:t>
            </w:r>
          </w:p>
        </w:tc>
      </w:tr>
      <w:tr>
        <w:trPr>
          <w:trHeight w:val="283" w:hRule="exact"/>
        </w:trPr>
        <w:tc>
          <w:tcPr>
            <w:tcW w:w="1740" w:type="dxa"/>
            <w:vMerge/>
            <w:tcBorders>
              <w:left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5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深圳市福田区中心区中心广场香港中旅大厦第五层</w:t>
            </w:r>
          </w:p>
        </w:tc>
      </w:tr>
      <w:tr>
        <w:trPr>
          <w:trHeight w:val="555" w:hRule="exact"/>
        </w:trPr>
        <w:tc>
          <w:tcPr>
            <w:tcW w:w="1740" w:type="dxa"/>
            <w:vMerge/>
            <w:tcBorders>
              <w:left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签</w:t>
            </w:r>
            <w:r>
              <w:rPr>
                <w:rFonts w:ascii="宋体" w:hAnsi="宋体" w:cs="宋体" w:eastAsia="宋体" w:hint="default"/>
                <w:spacing w:val="-71"/>
                <w:sz w:val="21"/>
                <w:szCs w:val="21"/>
              </w:rPr>
              <w:t> </w:t>
            </w:r>
            <w:r>
              <w:rPr>
                <w:rFonts w:ascii="宋体" w:hAnsi="宋体" w:cs="宋体" w:eastAsia="宋体" w:hint="default"/>
                <w:sz w:val="21"/>
                <w:szCs w:val="21"/>
              </w:rPr>
              <w:t>字</w:t>
            </w:r>
            <w:r>
              <w:rPr>
                <w:rFonts w:ascii="宋体" w:hAnsi="宋体" w:cs="宋体" w:eastAsia="宋体" w:hint="default"/>
                <w:spacing w:val="-71"/>
                <w:sz w:val="21"/>
                <w:szCs w:val="21"/>
              </w:rPr>
              <w:t> </w:t>
            </w:r>
            <w:r>
              <w:rPr>
                <w:rFonts w:ascii="宋体" w:hAnsi="宋体" w:cs="宋体" w:eastAsia="宋体" w:hint="default"/>
                <w:sz w:val="21"/>
                <w:szCs w:val="21"/>
              </w:rPr>
              <w:t>的</w:t>
            </w:r>
            <w:r>
              <w:rPr>
                <w:rFonts w:ascii="宋体" w:hAnsi="宋体" w:cs="宋体" w:eastAsia="宋体" w:hint="default"/>
                <w:spacing w:val="-71"/>
                <w:sz w:val="21"/>
                <w:szCs w:val="21"/>
              </w:rPr>
              <w:t> </w:t>
            </w:r>
            <w:r>
              <w:rPr>
                <w:rFonts w:ascii="宋体" w:hAnsi="宋体" w:cs="宋体" w:eastAsia="宋体" w:hint="default"/>
                <w:sz w:val="21"/>
                <w:szCs w:val="21"/>
              </w:rPr>
              <w:t>财</w:t>
            </w:r>
            <w:r>
              <w:rPr>
                <w:rFonts w:ascii="宋体" w:hAnsi="宋体" w:cs="宋体" w:eastAsia="宋体" w:hint="default"/>
                <w:spacing w:val="-71"/>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顾</w:t>
            </w:r>
            <w:r>
              <w:rPr>
                <w:rFonts w:ascii="宋体" w:hAnsi="宋体" w:cs="宋体" w:eastAsia="宋体" w:hint="default"/>
                <w:spacing w:val="-71"/>
                <w:sz w:val="21"/>
                <w:szCs w:val="21"/>
              </w:rPr>
              <w:t> </w:t>
            </w:r>
            <w:r>
              <w:rPr>
                <w:rFonts w:ascii="宋体" w:hAnsi="宋体" w:cs="宋体" w:eastAsia="宋体" w:hint="default"/>
                <w:sz w:val="21"/>
                <w:szCs w:val="21"/>
              </w:rPr>
              <w:t>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主办人姓名</w:t>
            </w:r>
          </w:p>
        </w:tc>
        <w:tc>
          <w:tcPr>
            <w:tcW w:w="5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姚玉蓉、贾鹏、钱亚明</w:t>
            </w:r>
          </w:p>
        </w:tc>
      </w:tr>
      <w:tr>
        <w:trPr>
          <w:trHeight w:val="283" w:hRule="exact"/>
        </w:trPr>
        <w:tc>
          <w:tcPr>
            <w:tcW w:w="1740"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5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after="0" w:line="241" w:lineRule="exact"/>
        <w:jc w:val="left"/>
        <w:rPr>
          <w:rFonts w:ascii="宋体" w:hAnsi="宋体" w:cs="宋体" w:eastAsia="宋体" w:hint="default"/>
          <w:sz w:val="21"/>
          <w:szCs w:val="21"/>
        </w:rPr>
        <w:sectPr>
          <w:pgSz w:w="11910" w:h="16840"/>
          <w:pgMar w:header="855" w:footer="1217" w:top="1320" w:bottom="1400" w:left="1580" w:right="1040"/>
        </w:sectPr>
      </w:pPr>
    </w:p>
    <w:p>
      <w:pPr>
        <w:spacing w:line="240" w:lineRule="auto" w:before="4"/>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855" w:footer="1217" w:top="1320" w:bottom="1400" w:left="1580" w:right="1040"/>
        </w:sectPr>
      </w:pPr>
    </w:p>
    <w:p>
      <w:pPr>
        <w:pStyle w:val="Heading5"/>
        <w:spacing w:line="240" w:lineRule="auto" w:before="36"/>
        <w:ind w:right="-18"/>
        <w:jc w:val="left"/>
        <w:rPr>
          <w:b w:val="0"/>
          <w:bCs w:val="0"/>
        </w:rPr>
      </w:pPr>
      <w:r>
        <w:rPr/>
        <w:t>七、</w:t>
      </w:r>
      <w:r>
        <w:rPr>
          <w:spacing w:val="-32"/>
        </w:rPr>
        <w:t> </w:t>
      </w:r>
      <w:r>
        <w:rPr/>
        <w:t>近三年主要会计数据和财务指标</w:t>
      </w:r>
      <w:r>
        <w:rPr>
          <w:b w:val="0"/>
          <w:bCs w:val="0"/>
        </w:rPr>
      </w:r>
    </w:p>
    <w:p>
      <w:pPr>
        <w:pStyle w:val="Heading5"/>
        <w:spacing w:line="240" w:lineRule="auto" w:before="58"/>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480" w:val="left" w:leader="none"/>
        </w:tabs>
        <w:spacing w:line="240" w:lineRule="auto" w:before="177"/>
        <w:ind w:left="218"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580" w:right="1040"/>
          <w:cols w:num="2" w:equalWidth="0">
            <w:col w:w="3667" w:space="2643"/>
            <w:col w:w="298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5"/>
        <w:gridCol w:w="1277"/>
        <w:gridCol w:w="1277"/>
        <w:gridCol w:w="2127"/>
        <w:gridCol w:w="1284"/>
      </w:tblGrid>
      <w:tr>
        <w:trPr>
          <w:trHeight w:val="60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907"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1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1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897" w:right="111" w:hanging="788"/>
              <w:jc w:val="left"/>
              <w:rPr>
                <w:rFonts w:ascii="宋体" w:hAnsi="宋体" w:cs="宋体" w:eastAsia="宋体" w:hint="default"/>
                <w:sz w:val="21"/>
                <w:szCs w:val="21"/>
              </w:rPr>
            </w:pPr>
            <w:r>
              <w:rPr>
                <w:rFonts w:ascii="宋体" w:hAnsi="宋体" w:cs="宋体" w:eastAsia="宋体" w:hint="default"/>
                <w:sz w:val="21"/>
                <w:szCs w:val="21"/>
              </w:rPr>
              <w:t>本期比上年同期增减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21"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9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13,129,263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12,238,113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7.28</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9,904,341</w:t>
            </w:r>
          </w:p>
        </w:tc>
      </w:tr>
      <w:tr>
        <w:trPr>
          <w:trHeight w:val="29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3,534,835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3,371,981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1,871,788</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归属于上市公司股东的扣除非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经常性损益的净利润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3,418,496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2,751,879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24.22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744,369</w:t>
            </w:r>
          </w:p>
        </w:tc>
      </w:tr>
      <w:tr>
        <w:trPr>
          <w:trHeight w:val="29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3,747,795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4,142,529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(9.53)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5,156,740</w:t>
            </w:r>
          </w:p>
        </w:tc>
      </w:tr>
      <w:tr>
        <w:trPr>
          <w:trHeight w:val="555"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本期末比上年同期末</w:t>
            </w:r>
          </w:p>
          <w:p>
            <w:pPr>
              <w:pStyle w:val="TableParagraph"/>
              <w:spacing w:line="275" w:lineRule="exact"/>
              <w:ind w:right="2"/>
              <w:jc w:val="center"/>
              <w:rPr>
                <w:rFonts w:ascii="宋体" w:hAnsi="宋体" w:cs="宋体" w:eastAsia="宋体" w:hint="default"/>
                <w:sz w:val="21"/>
                <w:szCs w:val="21"/>
              </w:rPr>
            </w:pPr>
            <w:r>
              <w:rPr>
                <w:rFonts w:ascii="宋体" w:hAnsi="宋体" w:cs="宋体" w:eastAsia="宋体" w:hint="default"/>
                <w:sz w:val="21"/>
                <w:szCs w:val="21"/>
              </w:rPr>
              <w:t>增减（</w:t>
            </w:r>
            <w:r>
              <w:rPr>
                <w:rFonts w:ascii="宋体" w:hAnsi="宋体" w:cs="宋体" w:eastAsia="宋体" w:hint="default"/>
                <w:sz w:val="21"/>
                <w:szCs w:val="21"/>
              </w:rPr>
              <w:t>%</w:t>
            </w:r>
            <w:r>
              <w:rPr>
                <w:rFonts w:ascii="宋体" w:hAnsi="宋体" w:cs="宋体" w:eastAsia="宋体" w:hint="default"/>
                <w:sz w:val="21"/>
                <w:szCs w:val="21"/>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r>
      <w:tr>
        <w:trPr>
          <w:trHeight w:val="29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23,982,254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16,047,980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49.44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4,792,581</w:t>
            </w:r>
          </w:p>
        </w:tc>
      </w:tr>
      <w:tr>
        <w:trPr>
          <w:trHeight w:val="29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29,348,279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21,049,606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39.42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13,844,101</w:t>
            </w:r>
          </w:p>
        </w:tc>
      </w:tr>
    </w:tbl>
    <w:p>
      <w:pPr>
        <w:spacing w:line="240" w:lineRule="auto" w:before="1"/>
        <w:rPr>
          <w:rFonts w:ascii="宋体" w:hAnsi="宋体" w:cs="宋体" w:eastAsia="宋体" w:hint="default"/>
          <w:sz w:val="23"/>
          <w:szCs w:val="23"/>
        </w:rPr>
      </w:pPr>
    </w:p>
    <w:p>
      <w:pPr>
        <w:pStyle w:val="Heading5"/>
        <w:tabs>
          <w:tab w:pos="1057" w:val="left" w:leader="none"/>
        </w:tabs>
        <w:spacing w:line="240" w:lineRule="auto" w:before="36"/>
        <w:ind w:right="234"/>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87"/>
        <w:gridCol w:w="1274"/>
        <w:gridCol w:w="1277"/>
        <w:gridCol w:w="2127"/>
        <w:gridCol w:w="1284"/>
      </w:tblGrid>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07"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1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1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本期比上年同期增减</w:t>
            </w:r>
          </w:p>
          <w:p>
            <w:pPr>
              <w:pStyle w:val="TableParagraph"/>
              <w:spacing w:line="273" w:lineRule="exact"/>
              <w:ind w:right="3"/>
              <w:jc w:val="center"/>
              <w:rPr>
                <w:rFonts w:ascii="宋体" w:hAnsi="宋体" w:cs="宋体" w:eastAsia="宋体" w:hint="default"/>
                <w:sz w:val="21"/>
                <w:szCs w:val="21"/>
              </w:rPr>
            </w:pPr>
            <w:r>
              <w:rPr>
                <w:rFonts w:ascii="宋体"/>
                <w:sz w:val="21"/>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21"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0.29</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0.29</w:t>
            </w: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扣除非经常性损益后的基本每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0.43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18.60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0.12</w:t>
            </w:r>
          </w:p>
        </w:tc>
      </w:tr>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8.36</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28.20</w:t>
            </w: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扣除非经常性损益后的加权平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16.67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20.63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3.96</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11.32</w:t>
            </w:r>
          </w:p>
        </w:tc>
      </w:tr>
    </w:tbl>
    <w:p>
      <w:pPr>
        <w:pStyle w:val="BodyText"/>
        <w:spacing w:line="239" w:lineRule="exact"/>
        <w:ind w:left="218" w:right="234"/>
        <w:jc w:val="left"/>
      </w:pPr>
      <w:r>
        <w:rPr/>
        <w:t>报告期末公司前三年主要会计数据和财务指标的说明</w:t>
      </w:r>
    </w:p>
    <w:p>
      <w:pPr>
        <w:pStyle w:val="BodyText"/>
        <w:spacing w:line="272" w:lineRule="exact"/>
        <w:ind w:left="218" w:right="234"/>
        <w:jc w:val="left"/>
      </w:pPr>
      <w:r>
        <w:rPr/>
        <w:t>√适用</w:t>
      </w:r>
      <w:r>
        <w:rPr>
          <w:spacing w:val="-1"/>
        </w:rPr>
        <w:t> </w:t>
      </w:r>
      <w:r>
        <w:rPr/>
        <w:t>□不适用</w:t>
      </w:r>
    </w:p>
    <w:p>
      <w:pPr>
        <w:pStyle w:val="BodyText"/>
        <w:spacing w:line="357" w:lineRule="auto"/>
        <w:ind w:left="218" w:right="229" w:firstLine="479"/>
        <w:jc w:val="both"/>
      </w:pPr>
      <w:r>
        <w:rPr/>
        <w:t>本公司于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3"/>
        </w:rPr>
        <w:t> </w:t>
      </w:r>
      <w:r>
        <w:rPr>
          <w:rFonts w:ascii="宋体" w:hAnsi="宋体" w:cs="宋体" w:eastAsia="宋体" w:hint="default"/>
        </w:rPr>
        <w:t>2</w:t>
      </w:r>
      <w:r>
        <w:rPr>
          <w:rFonts w:ascii="宋体" w:hAnsi="宋体" w:cs="宋体" w:eastAsia="宋体" w:hint="default"/>
          <w:spacing w:val="-56"/>
        </w:rPr>
        <w:t> </w:t>
      </w:r>
      <w:r>
        <w:rPr/>
        <w:t>月完成了重大资产重组，由于本次重大资产重组构成反向购买，法律上</w:t>
      </w:r>
      <w:r>
        <w:rPr>
          <w:w w:val="100"/>
        </w:rPr>
        <w:t> </w:t>
      </w:r>
      <w:r>
        <w:rPr>
          <w:spacing w:val="-2"/>
        </w:rPr>
        <w:t>的母公司原江南嘉捷成为壳公司，而法律上的子公司三六零科技成为会计上的购买方。基于这个</w:t>
      </w:r>
      <w:r>
        <w:rPr>
          <w:spacing w:val="-25"/>
        </w:rPr>
        <w:t> </w:t>
      </w:r>
      <w:r>
        <w:rPr>
          <w:spacing w:val="-25"/>
        </w:rPr>
      </w:r>
      <w:r>
        <w:rPr>
          <w:spacing w:val="-4"/>
        </w:rPr>
        <w:t>原因，合并财务报表参照反向购买原则编制，</w:t>
      </w:r>
      <w:r>
        <w:rPr>
          <w:rFonts w:ascii="宋体" w:hAnsi="宋体" w:cs="宋体" w:eastAsia="宋体" w:hint="default"/>
          <w:spacing w:val="-4"/>
        </w:rPr>
        <w:t>2018</w:t>
      </w:r>
      <w:r>
        <w:rPr>
          <w:rFonts w:ascii="宋体" w:hAnsi="宋体" w:cs="宋体" w:eastAsia="宋体" w:hint="default"/>
          <w:spacing w:val="-20"/>
        </w:rPr>
        <w:t> </w:t>
      </w:r>
      <w:r>
        <w:rPr/>
        <w:t>年合并财务报表中的比较财务数据采用会计上</w:t>
      </w:r>
      <w:r>
        <w:rPr>
          <w:spacing w:val="-92"/>
        </w:rPr>
        <w:t> </w:t>
      </w:r>
      <w:r>
        <w:rPr>
          <w:spacing w:val="-92"/>
        </w:rPr>
      </w:r>
      <w:r>
        <w:rPr/>
        <w:t>的购买方三六零科技</w:t>
      </w:r>
      <w:r>
        <w:rPr>
          <w:spacing w:val="-54"/>
        </w:rPr>
        <w:t> </w:t>
      </w:r>
      <w:r>
        <w:rPr>
          <w:rFonts w:ascii="宋体" w:hAnsi="宋体" w:cs="宋体" w:eastAsia="宋体" w:hint="default"/>
        </w:rPr>
        <w:t>2017</w:t>
      </w:r>
      <w:r>
        <w:rPr>
          <w:rFonts w:ascii="宋体" w:hAnsi="宋体" w:cs="宋体" w:eastAsia="宋体" w:hint="default"/>
          <w:spacing w:val="-56"/>
        </w:rPr>
        <w:t> </w:t>
      </w:r>
      <w:r>
        <w:rPr/>
        <w:t>年相应的模拟合并财务报表的数据。</w:t>
      </w:r>
    </w:p>
    <w:p>
      <w:pPr>
        <w:pStyle w:val="BodyText"/>
        <w:spacing w:line="357" w:lineRule="auto" w:before="30"/>
        <w:ind w:left="218" w:right="240" w:firstLine="419"/>
        <w:jc w:val="both"/>
      </w:pPr>
      <w:r>
        <w:rPr/>
        <w:t>而母公司</w:t>
      </w:r>
      <w:r>
        <w:rPr>
          <w:spacing w:val="-54"/>
        </w:rPr>
        <w:t> </w:t>
      </w:r>
      <w:r>
        <w:rPr>
          <w:rFonts w:ascii="宋体" w:hAnsi="宋体" w:cs="宋体" w:eastAsia="宋体" w:hint="default"/>
        </w:rPr>
        <w:t>2018</w:t>
      </w:r>
      <w:r>
        <w:rPr>
          <w:rFonts w:ascii="宋体" w:hAnsi="宋体" w:cs="宋体" w:eastAsia="宋体" w:hint="default"/>
          <w:spacing w:val="-56"/>
        </w:rPr>
        <w:t> </w:t>
      </w:r>
      <w:r>
        <w:rPr/>
        <w:t>年单体财务报表的比较财务数据采用法律上的母公司原江南嘉捷的</w:t>
      </w:r>
      <w:r>
        <w:rPr>
          <w:spacing w:val="-53"/>
        </w:rPr>
        <w:t> </w:t>
      </w:r>
      <w:r>
        <w:rPr>
          <w:rFonts w:ascii="宋体" w:hAnsi="宋体" w:cs="宋体" w:eastAsia="宋体" w:hint="default"/>
        </w:rPr>
        <w:t>2017</w:t>
      </w:r>
      <w:r>
        <w:rPr>
          <w:rFonts w:ascii="宋体" w:hAnsi="宋体" w:cs="宋体" w:eastAsia="宋体" w:hint="default"/>
          <w:spacing w:val="-56"/>
        </w:rPr>
        <w:t> </w:t>
      </w:r>
      <w:r>
        <w:rPr/>
        <w:t>年相</w:t>
      </w:r>
      <w:r>
        <w:rPr>
          <w:w w:val="100"/>
        </w:rPr>
        <w:t> </w:t>
      </w:r>
      <w:r>
        <w:rPr/>
        <w:t>应的单体财务报表的数据。具体详见第十一节“财务报告”之四、财务报表的编制基础。</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5"/>
        <w:spacing w:line="240" w:lineRule="auto"/>
        <w:ind w:right="234"/>
        <w:jc w:val="left"/>
        <w:rPr>
          <w:b w:val="0"/>
          <w:bCs w:val="0"/>
        </w:rPr>
      </w:pPr>
      <w:r>
        <w:rPr/>
        <w:t>八、</w:t>
      </w:r>
      <w:r>
        <w:rPr>
          <w:spacing w:val="-32"/>
        </w:rPr>
        <w:t> </w:t>
      </w:r>
      <w:r>
        <w:rPr/>
        <w:t>境内外会计准则下会计数据差异</w:t>
      </w:r>
      <w:r>
        <w:rPr>
          <w:b w:val="0"/>
          <w:bCs w:val="0"/>
        </w:rPr>
      </w:r>
    </w:p>
    <w:p>
      <w:pPr>
        <w:pStyle w:val="Heading5"/>
        <w:spacing w:line="274" w:lineRule="exact" w:before="82"/>
        <w:ind w:left="638" w:right="234"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1"/>
        <w:ind w:left="218" w:right="234"/>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5"/>
        <w:spacing w:line="274" w:lineRule="exact" w:before="132"/>
        <w:ind w:left="638" w:right="234" w:hanging="420"/>
        <w:jc w:val="left"/>
        <w:rPr>
          <w:b w:val="0"/>
          <w:bCs w:val="0"/>
        </w:rPr>
      </w:pPr>
      <w:r>
        <w:rPr>
          <w:rFonts w:ascii="Calibri" w:hAnsi="Calibri" w:cs="Calibri" w:eastAsia="Calibri" w:hint="default"/>
        </w:rPr>
        <w:t>(</w:t>
      </w:r>
      <w:r>
        <w:rPr/>
        <w:t>二</w:t>
      </w:r>
      <w:r>
        <w:rPr>
          <w:rFonts w:ascii="Calibri" w:hAnsi="Calibri" w:cs="Calibri" w:eastAsia="Calibri" w:hint="default"/>
        </w:rPr>
        <w:t>) </w:t>
      </w:r>
      <w:r>
        <w:rPr>
          <w:spacing w:val="2"/>
        </w:rPr>
        <w:t>同时按照境外会计准则与按中国会计准则披露的财务报告中净利润和归属于上市公司股东</w:t>
      </w:r>
      <w:r>
        <w:rPr>
          <w:spacing w:val="-87"/>
        </w:rPr>
        <w:t> </w:t>
      </w:r>
      <w:r>
        <w:rPr>
          <w:spacing w:val="-87"/>
        </w:rPr>
      </w:r>
      <w:r>
        <w:rPr/>
        <w:t>的净资产差异情况</w:t>
      </w:r>
      <w:r>
        <w:rPr>
          <w:b w:val="0"/>
          <w:bCs w:val="0"/>
        </w:rPr>
      </w:r>
    </w:p>
    <w:p>
      <w:pPr>
        <w:pStyle w:val="BodyText"/>
        <w:spacing w:line="240" w:lineRule="auto" w:before="31"/>
        <w:ind w:left="218" w:right="234"/>
        <w:jc w:val="left"/>
      </w:pPr>
      <w:r>
        <w:rPr/>
        <w:t>□适用</w:t>
      </w:r>
      <w:r>
        <w:rPr>
          <w:spacing w:val="-1"/>
        </w:rPr>
        <w:t> </w:t>
      </w:r>
      <w:r>
        <w:rPr/>
        <w:t>√不适用</w:t>
      </w:r>
    </w:p>
    <w:p>
      <w:pPr>
        <w:spacing w:after="0" w:line="240" w:lineRule="auto"/>
        <w:jc w:val="left"/>
        <w:sectPr>
          <w:type w:val="continuous"/>
          <w:pgSz w:w="11910" w:h="16840"/>
          <w:pgMar w:top="1320" w:bottom="1400" w:left="1580" w:right="1040"/>
        </w:sectPr>
      </w:pPr>
    </w:p>
    <w:p>
      <w:pPr>
        <w:spacing w:line="240" w:lineRule="auto" w:before="4"/>
        <w:rPr>
          <w:rFonts w:ascii="宋体" w:hAnsi="宋体" w:cs="宋体" w:eastAsia="宋体" w:hint="default"/>
          <w:sz w:val="9"/>
          <w:szCs w:val="9"/>
        </w:rPr>
      </w:pPr>
    </w:p>
    <w:p>
      <w:pPr>
        <w:pStyle w:val="Heading5"/>
        <w:spacing w:line="240" w:lineRule="auto" w:before="36"/>
        <w:ind w:right="234"/>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32"/>
        <w:ind w:left="218" w:right="234"/>
        <w:jc w:val="left"/>
      </w:pPr>
      <w:r>
        <w:rPr/>
        <w:t>□适用</w:t>
      </w:r>
      <w:r>
        <w:rPr>
          <w:spacing w:val="-1"/>
        </w:rPr>
        <w:t> </w:t>
      </w:r>
      <w:r>
        <w:rPr/>
        <w:t>√不适用</w:t>
      </w:r>
    </w:p>
    <w:p>
      <w:pPr>
        <w:spacing w:line="240" w:lineRule="auto" w:before="5"/>
        <w:rPr>
          <w:rFonts w:ascii="宋体" w:hAnsi="宋体" w:cs="宋体" w:eastAsia="宋体" w:hint="default"/>
          <w:sz w:val="25"/>
          <w:szCs w:val="25"/>
        </w:rPr>
      </w:pPr>
    </w:p>
    <w:p>
      <w:pPr>
        <w:pStyle w:val="Heading5"/>
        <w:spacing w:line="240" w:lineRule="auto" w:before="36"/>
        <w:ind w:right="234"/>
        <w:jc w:val="left"/>
        <w:rPr>
          <w:b w:val="0"/>
          <w:bCs w:val="0"/>
        </w:rPr>
      </w:pPr>
      <w:r>
        <w:rPr/>
        <w:t>九、 </w:t>
      </w:r>
      <w:r>
        <w:rPr>
          <w:rFonts w:ascii="宋体" w:hAnsi="宋体" w:cs="宋体" w:eastAsia="宋体" w:hint="default"/>
        </w:rPr>
        <w:t>2018</w:t>
      </w:r>
      <w:r>
        <w:rPr>
          <w:rFonts w:ascii="宋体" w:hAnsi="宋体" w:cs="宋体" w:eastAsia="宋体" w:hint="default"/>
          <w:spacing w:val="-86"/>
        </w:rPr>
        <w:t> </w:t>
      </w:r>
      <w:r>
        <w:rPr/>
        <w:t>年分季度主要财务数据</w:t>
      </w:r>
      <w:r>
        <w:rPr>
          <w:b w:val="0"/>
          <w:bCs w:val="0"/>
        </w:rPr>
      </w:r>
    </w:p>
    <w:p>
      <w:pPr>
        <w:pStyle w:val="BodyText"/>
        <w:tabs>
          <w:tab w:pos="1262" w:val="left" w:leader="none"/>
        </w:tabs>
        <w:spacing w:line="240" w:lineRule="auto" w:before="58"/>
        <w:ind w:left="0" w:right="232"/>
        <w:jc w:val="right"/>
      </w:pPr>
      <w:r>
        <w:rPr>
          <w:spacing w:val="-1"/>
        </w:rPr>
        <w:t>单位：千元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30"/>
        <w:gridCol w:w="1534"/>
        <w:gridCol w:w="1445"/>
        <w:gridCol w:w="1558"/>
        <w:gridCol w:w="1682"/>
      </w:tblGrid>
      <w:tr>
        <w:trPr>
          <w:trHeight w:val="554" w:hRule="exact"/>
        </w:trPr>
        <w:tc>
          <w:tcPr>
            <w:tcW w:w="2830"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2,751,992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3,273,119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3,423,856</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3,680,296</w:t>
            </w:r>
          </w:p>
        </w:tc>
      </w:tr>
      <w:tr>
        <w:trPr>
          <w:trHeight w:val="554"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归属于上市公司股东的净利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477,945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1,059,069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978,807</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1,019,014</w:t>
            </w:r>
          </w:p>
        </w:tc>
      </w:tr>
      <w:tr>
        <w:trPr>
          <w:trHeight w:val="555"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归属于上市公司股东的扣除</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非经常性损益后的净利润</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463,346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926,943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973,969</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1,054,238</w:t>
            </w:r>
          </w:p>
        </w:tc>
      </w:tr>
      <w:tr>
        <w:trPr>
          <w:trHeight w:val="554"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经营活动产生的现金流量净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885,618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1,246,909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397,478</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1,217,790</w:t>
            </w:r>
          </w:p>
        </w:tc>
      </w:tr>
    </w:tbl>
    <w:p>
      <w:pPr>
        <w:spacing w:line="240" w:lineRule="auto" w:before="7"/>
        <w:rPr>
          <w:rFonts w:ascii="宋体" w:hAnsi="宋体" w:cs="宋体" w:eastAsia="宋体" w:hint="default"/>
          <w:sz w:val="15"/>
          <w:szCs w:val="15"/>
        </w:rPr>
      </w:pPr>
    </w:p>
    <w:p>
      <w:pPr>
        <w:pStyle w:val="BodyText"/>
        <w:spacing w:line="273" w:lineRule="exact" w:before="36"/>
        <w:ind w:left="218" w:right="234"/>
        <w:jc w:val="left"/>
      </w:pPr>
      <w:r>
        <w:rPr/>
        <w:t>季度数据与已披露定期报告数据差异说明</w:t>
      </w:r>
    </w:p>
    <w:p>
      <w:pPr>
        <w:pStyle w:val="BodyText"/>
        <w:tabs>
          <w:tab w:pos="1060" w:val="left" w:leader="none"/>
        </w:tabs>
        <w:spacing w:line="273" w:lineRule="exact"/>
        <w:ind w:left="218" w:right="234"/>
        <w:jc w:val="left"/>
      </w:pPr>
      <w:r>
        <w:rPr>
          <w:spacing w:val="-1"/>
        </w:rPr>
        <w:t>□适用</w:t>
        <w:tab/>
      </w:r>
      <w:r>
        <w:rPr>
          <w:spacing w:val="-2"/>
        </w:rPr>
        <w:t>√不适用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55" w:footer="1217" w:top="1320" w:bottom="1400" w:left="1580" w:right="1040"/>
        </w:sectPr>
      </w:pPr>
    </w:p>
    <w:p>
      <w:pPr>
        <w:pStyle w:val="Heading5"/>
        <w:spacing w:line="240" w:lineRule="auto" w:before="36"/>
        <w:ind w:right="-19"/>
        <w:jc w:val="left"/>
        <w:rPr>
          <w:b w:val="0"/>
          <w:bCs w:val="0"/>
        </w:rPr>
      </w:pPr>
      <w:r>
        <w:rPr/>
        <w:t>十、</w:t>
      </w:r>
      <w:r>
        <w:rPr>
          <w:spacing w:val="39"/>
        </w:rPr>
        <w:t> </w:t>
      </w:r>
      <w:r>
        <w:rPr/>
        <w:t>非经常性损益项目和金额</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75"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千元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320" w:bottom="1400" w:left="1580" w:right="1040"/>
          <w:cols w:num="2" w:equalWidth="0">
            <w:col w:w="3106" w:space="3416"/>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61"/>
        <w:gridCol w:w="1419"/>
        <w:gridCol w:w="991"/>
        <w:gridCol w:w="1117"/>
        <w:gridCol w:w="1162"/>
      </w:tblGrid>
      <w:tr>
        <w:trPr>
          <w:trHeight w:val="555"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34"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73" w:lineRule="exact"/>
              <w:ind w:left="-8" w:right="144"/>
              <w:jc w:val="center"/>
              <w:rPr>
                <w:rFonts w:ascii="宋体" w:hAnsi="宋体" w:cs="宋体" w:eastAsia="宋体" w:hint="default"/>
                <w:sz w:val="21"/>
                <w:szCs w:val="21"/>
              </w:rPr>
            </w:pPr>
            <w:r>
              <w:rPr>
                <w:rFonts w:ascii="宋体" w:hAnsi="宋体" w:cs="宋体" w:eastAsia="宋体" w:hint="default"/>
                <w:sz w:val="21"/>
                <w:szCs w:val="21"/>
              </w:rPr>
              <w:t>（如适用</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tabs>
                <w:tab w:pos="343" w:val="left" w:leader="none"/>
              </w:tabs>
              <w:spacing w:line="273" w:lineRule="exact"/>
              <w:ind w:left="-159" w:right="0"/>
              <w:jc w:val="left"/>
              <w:rPr>
                <w:rFonts w:ascii="宋体" w:hAnsi="宋体" w:cs="宋体" w:eastAsia="宋体" w:hint="default"/>
                <w:sz w:val="21"/>
                <w:szCs w:val="21"/>
              </w:rPr>
            </w:pPr>
            <w:r>
              <w:rPr>
                <w:rFonts w:ascii="宋体" w:hAnsi="宋体" w:cs="宋体" w:eastAsia="宋体" w:hint="default"/>
                <w:sz w:val="21"/>
                <w:szCs w:val="21"/>
              </w:rPr>
              <w:t>）</w:t>
              <w:tab/>
              <w:t>金额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2,988</w:t>
            </w:r>
          </w:p>
        </w:tc>
        <w:tc>
          <w:tcPr>
            <w:tcW w:w="99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478,374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1,294,618</w:t>
            </w: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越权审批，或无正式批准文件，或偶发性的税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收返还、减免</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计入当期损益的政府补助，但与公司正常经营</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5"/>
                <w:sz w:val="21"/>
                <w:szCs w:val="21"/>
              </w:rPr>
              <w:t>业务密切相关，符合国家政策规定、按照一定</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标准定额或定量持续享受的政府补助除外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39,661</w:t>
            </w:r>
          </w:p>
        </w:tc>
        <w:tc>
          <w:tcPr>
            <w:tcW w:w="99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73,778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263,084</w:t>
            </w: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用费</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企业取得子公司、联营企业及合营企业的投资</w:t>
            </w:r>
          </w:p>
          <w:p>
            <w:pPr>
              <w:pStyle w:val="TableParagraph"/>
              <w:spacing w:line="240" w:lineRule="auto"/>
              <w:ind w:left="103" w:right="252"/>
              <w:jc w:val="left"/>
              <w:rPr>
                <w:rFonts w:ascii="宋体" w:hAnsi="宋体" w:cs="宋体" w:eastAsia="宋体" w:hint="default"/>
                <w:sz w:val="21"/>
                <w:szCs w:val="21"/>
              </w:rPr>
            </w:pPr>
            <w:r>
              <w:rPr>
                <w:rFonts w:ascii="宋体" w:hAnsi="宋体" w:cs="宋体" w:eastAsia="宋体" w:hint="default"/>
                <w:spacing w:val="-2"/>
                <w:sz w:val="21"/>
                <w:szCs w:val="21"/>
              </w:rPr>
              <w:t>成本小于取得投资时应享有被投资单位可辨</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认净资产公允价值产生的收益</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因不可抗力因素，如遭受自然灾害而计提的各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项资产减值准备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企业重组费用，如安置职工的支出、整合费用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值部分的损益</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并日的当期净损益</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(416)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(343,774)</w:t>
            </w:r>
          </w:p>
        </w:tc>
      </w:tr>
      <w:tr>
        <w:trPr>
          <w:trHeight w:val="557"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20" w:bottom="1400" w:left="1580" w:right="1040"/>
        </w:sectPr>
      </w:pP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361"/>
        <w:gridCol w:w="1419"/>
        <w:gridCol w:w="991"/>
        <w:gridCol w:w="1117"/>
        <w:gridCol w:w="1162"/>
      </w:tblGrid>
      <w:tr>
        <w:trPr>
          <w:trHeight w:val="557"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34"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73" w:lineRule="exact"/>
              <w:ind w:left="-8" w:right="144"/>
              <w:jc w:val="center"/>
              <w:rPr>
                <w:rFonts w:ascii="宋体" w:hAnsi="宋体" w:cs="宋体" w:eastAsia="宋体" w:hint="default"/>
                <w:sz w:val="21"/>
                <w:szCs w:val="21"/>
              </w:rPr>
            </w:pPr>
            <w:r>
              <w:rPr>
                <w:rFonts w:ascii="宋体" w:hAnsi="宋体" w:cs="宋体" w:eastAsia="宋体" w:hint="default"/>
                <w:sz w:val="21"/>
                <w:szCs w:val="21"/>
              </w:rPr>
              <w:t>（如适用</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1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tabs>
                <w:tab w:pos="343" w:val="left" w:leader="none"/>
              </w:tabs>
              <w:spacing w:line="273" w:lineRule="exact"/>
              <w:ind w:left="-159" w:right="0"/>
              <w:jc w:val="left"/>
              <w:rPr>
                <w:rFonts w:ascii="宋体" w:hAnsi="宋体" w:cs="宋体" w:eastAsia="宋体" w:hint="default"/>
                <w:sz w:val="21"/>
                <w:szCs w:val="21"/>
              </w:rPr>
            </w:pPr>
            <w:r>
              <w:rPr>
                <w:rFonts w:ascii="宋体" w:hAnsi="宋体" w:cs="宋体" w:eastAsia="宋体" w:hint="default"/>
                <w:sz w:val="21"/>
                <w:szCs w:val="21"/>
              </w:rPr>
              <w:t>）</w:t>
              <w:tab/>
              <w:t>金额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1370"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除同公司正常经营业务相关的有效套期保值</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5"/>
                <w:sz w:val="21"/>
                <w:szCs w:val="21"/>
              </w:rPr>
              <w:t>业务外，持有交易性金融资产、交易性金融负</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4"/>
                <w:sz w:val="21"/>
                <w:szCs w:val="21"/>
              </w:rPr>
              <w:t>债产生的公允价值变动损益，以及处置交易性</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4"/>
                <w:sz w:val="21"/>
                <w:szCs w:val="21"/>
              </w:rPr>
              <w:t>金融资产、交易性金融负债和理财投资的投资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收益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z w:val="21"/>
              </w:rPr>
              <w:t>7,885</w:t>
            </w:r>
          </w:p>
        </w:tc>
        <w:tc>
          <w:tcPr>
            <w:tcW w:w="99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103,579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10,299</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地产公允价值变动产生的损益</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根据税收、会计等法律、法规的要求对当期损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益进行一次性调整对当期损益的影响</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1,156</w:t>
            </w:r>
          </w:p>
        </w:tc>
        <w:tc>
          <w:tcPr>
            <w:tcW w:w="99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10,293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22,420</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取得长期股权投资时，通过多次交易分步实现</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4"/>
                <w:sz w:val="21"/>
                <w:szCs w:val="21"/>
              </w:rPr>
              <w:t>非同一控制下企业合并，原股权按照公允价值</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重新计量产生的利得</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55,958</w:t>
            </w:r>
          </w:p>
        </w:tc>
        <w:tc>
          <w:tcPr>
            <w:tcW w:w="99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处置长期股权投资时，其他权益变动转出产生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的利得</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17,603</w:t>
            </w:r>
          </w:p>
        </w:tc>
        <w:tc>
          <w:tcPr>
            <w:tcW w:w="99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(2,839)</w:t>
            </w:r>
          </w:p>
        </w:tc>
        <w:tc>
          <w:tcPr>
            <w:tcW w:w="99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(4,176)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(68,457)</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(6,073)</w:t>
            </w:r>
          </w:p>
        </w:tc>
        <w:tc>
          <w:tcPr>
            <w:tcW w:w="99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(41,330)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(50,771)</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116,339</w:t>
            </w:r>
          </w:p>
        </w:tc>
        <w:tc>
          <w:tcPr>
            <w:tcW w:w="99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620,102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1,127,419</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55" w:footer="1217" w:top="1320" w:bottom="1400" w:left="1580" w:right="1040"/>
        </w:sectPr>
      </w:pPr>
    </w:p>
    <w:p>
      <w:pPr>
        <w:pStyle w:val="Heading5"/>
        <w:tabs>
          <w:tab w:pos="1057" w:val="left" w:leader="none"/>
        </w:tabs>
        <w:spacing w:line="240" w:lineRule="auto" w:before="36"/>
        <w:ind w:right="-7"/>
        <w:jc w:val="left"/>
        <w:rPr>
          <w:b w:val="0"/>
          <w:bCs w:val="0"/>
        </w:rPr>
      </w:pPr>
      <w:r>
        <w:rPr/>
        <w:t>十一、</w:t>
        <w:tab/>
      </w:r>
      <w:r>
        <w:rPr>
          <w:spacing w:val="-1"/>
        </w:rPr>
        <w:t>采用公允价值计量的项目</w:t>
      </w:r>
      <w:r>
        <w:rPr>
          <w:b w:val="0"/>
          <w:bCs w:val="0"/>
          <w:spacing w:val="-1"/>
        </w:rPr>
      </w:r>
    </w:p>
    <w:p>
      <w:pPr>
        <w:pStyle w:val="BodyText"/>
        <w:spacing w:line="240" w:lineRule="auto" w:before="58"/>
        <w:ind w:left="218" w:right="-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80" w:val="left" w:leader="none"/>
        </w:tabs>
        <w:spacing w:line="240" w:lineRule="auto"/>
        <w:ind w:left="218"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580" w:right="1040"/>
          <w:cols w:num="2" w:equalWidth="0">
            <w:col w:w="3379" w:space="2931"/>
            <w:col w:w="29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700"/>
        <w:gridCol w:w="1709"/>
        <w:gridCol w:w="1692"/>
        <w:gridCol w:w="1997"/>
      </w:tblGrid>
      <w:tr>
        <w:trPr>
          <w:trHeight w:val="557"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4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601,446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2,850,660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2,249,214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7,885</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601,446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2,850,660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2,249,214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7,885</w:t>
            </w:r>
          </w:p>
        </w:tc>
      </w:tr>
    </w:tbl>
    <w:p>
      <w:pPr>
        <w:spacing w:line="240" w:lineRule="auto" w:before="12"/>
        <w:rPr>
          <w:rFonts w:ascii="宋体" w:hAnsi="宋体" w:cs="宋体" w:eastAsia="宋体" w:hint="default"/>
          <w:sz w:val="22"/>
          <w:szCs w:val="22"/>
        </w:rPr>
      </w:pPr>
    </w:p>
    <w:p>
      <w:pPr>
        <w:pStyle w:val="Heading5"/>
        <w:tabs>
          <w:tab w:pos="1057" w:val="left" w:leader="none"/>
        </w:tabs>
        <w:spacing w:line="240" w:lineRule="auto" w:before="36"/>
        <w:ind w:right="234"/>
        <w:jc w:val="left"/>
        <w:rPr>
          <w:b w:val="0"/>
          <w:bCs w:val="0"/>
        </w:rPr>
      </w:pPr>
      <w:r>
        <w:rPr/>
        <w:t>十二、</w:t>
        <w:tab/>
        <w:t>其他</w:t>
      </w:r>
      <w:r>
        <w:rPr>
          <w:b w:val="0"/>
          <w:bCs w:val="0"/>
        </w:rPr>
      </w:r>
    </w:p>
    <w:p>
      <w:pPr>
        <w:pStyle w:val="BodyText"/>
        <w:spacing w:line="240" w:lineRule="auto" w:before="58"/>
        <w:ind w:left="218" w:right="234"/>
        <w:jc w:val="left"/>
      </w:pPr>
      <w:r>
        <w:rPr/>
        <w:t>□适用</w:t>
      </w:r>
      <w:r>
        <w:rPr>
          <w:spacing w:val="-1"/>
        </w:rPr>
        <w:t> </w:t>
      </w:r>
      <w:r>
        <w:rPr/>
        <w:t>√不适用</w:t>
      </w:r>
    </w:p>
    <w:p>
      <w:pPr>
        <w:spacing w:after="0" w:line="240" w:lineRule="auto"/>
        <w:jc w:val="left"/>
        <w:sectPr>
          <w:type w:val="continuous"/>
          <w:pgSz w:w="11910" w:h="16840"/>
          <w:pgMar w:top="1320" w:bottom="1400" w:left="1580" w:right="1040"/>
        </w:sectPr>
      </w:pPr>
    </w:p>
    <w:p>
      <w:pPr>
        <w:spacing w:line="240" w:lineRule="auto" w:before="12"/>
        <w:rPr>
          <w:rFonts w:ascii="宋体" w:hAnsi="宋体" w:cs="宋体" w:eastAsia="宋体" w:hint="default"/>
          <w:sz w:val="9"/>
          <w:szCs w:val="9"/>
        </w:rPr>
      </w:pPr>
    </w:p>
    <w:p>
      <w:pPr>
        <w:pStyle w:val="Heading1"/>
        <w:tabs>
          <w:tab w:pos="1259" w:val="left" w:leader="none"/>
        </w:tabs>
        <w:spacing w:line="240" w:lineRule="auto"/>
        <w:ind w:right="75"/>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spacing w:line="290" w:lineRule="auto" w:before="0"/>
        <w:ind w:left="618" w:right="0" w:hanging="480"/>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3"/>
          <w:sz w:val="21"/>
          <w:szCs w:val="21"/>
        </w:rPr>
        <w:t>三六零安全科技股份有限公司（以下简称“公司”或“三六零”）是中国最大的互联网和移</w:t>
      </w:r>
    </w:p>
    <w:p>
      <w:pPr>
        <w:pStyle w:val="BodyText"/>
        <w:spacing w:line="357" w:lineRule="auto" w:before="89"/>
        <w:ind w:right="208"/>
        <w:jc w:val="both"/>
      </w:pPr>
      <w:r>
        <w:rPr>
          <w:spacing w:val="-1"/>
        </w:rPr>
        <w:t>动安全产品及服务提供商。根据证监会上市公司行业分类结果，公司属于信息传输、软件和信息</w:t>
      </w:r>
      <w:r>
        <w:rPr>
          <w:spacing w:val="-55"/>
        </w:rPr>
        <w:t> </w:t>
      </w:r>
      <w:r>
        <w:rPr>
          <w:spacing w:val="-55"/>
        </w:rPr>
      </w:r>
      <w:r>
        <w:rPr>
          <w:spacing w:val="-4"/>
        </w:rPr>
        <w:t>技术服务业（</w:t>
      </w:r>
      <w:r>
        <w:rPr>
          <w:rFonts w:ascii="宋体" w:hAnsi="宋体" w:cs="宋体" w:eastAsia="宋体" w:hint="default"/>
          <w:spacing w:val="-4"/>
        </w:rPr>
        <w:t>I</w:t>
      </w:r>
      <w:r>
        <w:rPr>
          <w:spacing w:val="-4"/>
        </w:rPr>
        <w:t>）门类中的互联网和相关服务大类。在中国互联网协会、工信部信息中心联合发布</w:t>
      </w:r>
      <w:r>
        <w:rPr>
          <w:spacing w:val="-34"/>
        </w:rPr>
        <w:t> </w:t>
      </w:r>
      <w:r>
        <w:rPr>
          <w:spacing w:val="-34"/>
        </w:rPr>
      </w:r>
      <w:r>
        <w:rPr/>
        <w:t>的</w:t>
      </w:r>
      <w:r>
        <w:rPr>
          <w:spacing w:val="-43"/>
        </w:rPr>
        <w:t> </w:t>
      </w:r>
      <w:r>
        <w:rPr>
          <w:rFonts w:ascii="宋体" w:hAnsi="宋体" w:cs="宋体" w:eastAsia="宋体" w:hint="default"/>
        </w:rPr>
        <w:t>2018</w:t>
      </w:r>
      <w:r>
        <w:rPr>
          <w:rFonts w:ascii="宋体" w:hAnsi="宋体" w:cs="宋体" w:eastAsia="宋体" w:hint="default"/>
          <w:spacing w:val="-43"/>
        </w:rPr>
        <w:t> </w:t>
      </w:r>
      <w:r>
        <w:rPr>
          <w:spacing w:val="-5"/>
        </w:rPr>
        <w:t>年中国互联网企业百强榜单中，三六零位列第九，是其中排名最高的</w:t>
      </w:r>
      <w:r>
        <w:rPr>
          <w:spacing w:val="-45"/>
        </w:rPr>
        <w:t> </w:t>
      </w:r>
      <w:r>
        <w:rPr>
          <w:rFonts w:ascii="宋体" w:hAnsi="宋体" w:cs="宋体" w:eastAsia="宋体" w:hint="default"/>
        </w:rPr>
        <w:t>A</w:t>
      </w:r>
      <w:r>
        <w:rPr>
          <w:rFonts w:ascii="宋体" w:hAnsi="宋体" w:cs="宋体" w:eastAsia="宋体" w:hint="default"/>
          <w:spacing w:val="-41"/>
        </w:rPr>
        <w:t> </w:t>
      </w:r>
      <w:r>
        <w:rPr/>
        <w:t>股上市公司和互联</w:t>
      </w:r>
      <w:r>
        <w:rPr>
          <w:spacing w:val="-100"/>
        </w:rPr>
        <w:t> </w:t>
      </w:r>
      <w:r>
        <w:rPr>
          <w:spacing w:val="-100"/>
        </w:rPr>
      </w:r>
      <w:r>
        <w:rPr/>
        <w:t>网安全公司。</w:t>
      </w:r>
    </w:p>
    <w:p>
      <w:pPr>
        <w:pStyle w:val="BodyText"/>
        <w:spacing w:line="357" w:lineRule="auto" w:before="30"/>
        <w:ind w:right="0" w:firstLine="419"/>
        <w:jc w:val="left"/>
      </w:pPr>
      <w:r>
        <w:rPr>
          <w:spacing w:val="-1"/>
          <w:w w:val="100"/>
        </w:rPr>
        <w:t>三六零创立于</w:t>
      </w:r>
      <w:r>
        <w:rPr>
          <w:spacing w:val="-44"/>
          <w:w w:val="100"/>
        </w:rPr>
        <w:t> </w:t>
      </w:r>
      <w:r>
        <w:rPr>
          <w:rFonts w:ascii="宋体" w:hAnsi="宋体" w:cs="宋体" w:eastAsia="宋体" w:hint="default"/>
          <w:spacing w:val="-1"/>
          <w:w w:val="100"/>
        </w:rPr>
        <w:t>2005</w:t>
      </w:r>
      <w:r>
        <w:rPr>
          <w:rFonts w:ascii="宋体" w:hAnsi="宋体" w:cs="宋体" w:eastAsia="宋体" w:hint="default"/>
          <w:spacing w:val="-46"/>
          <w:w w:val="100"/>
        </w:rPr>
        <w:t> </w:t>
      </w:r>
      <w:r>
        <w:rPr>
          <w:spacing w:val="-8"/>
          <w:w w:val="100"/>
        </w:rPr>
        <w:t>年，是互联网免费安全的首倡者，凭借先进的技术水平和良好的用户体验，</w:t>
      </w:r>
      <w:r>
        <w:rPr>
          <w:w w:val="100"/>
        </w:rPr>
        <w:t> </w:t>
      </w:r>
      <w:r>
        <w:rPr/>
        <w:t>成功开拓并积累了广泛的用户基础。</w:t>
      </w:r>
      <w:r>
        <w:rPr>
          <w:rFonts w:ascii="宋体" w:hAnsi="宋体" w:cs="宋体" w:eastAsia="宋体" w:hint="default"/>
        </w:rPr>
        <w:t>2018</w:t>
      </w:r>
      <w:r>
        <w:rPr>
          <w:rFonts w:ascii="宋体" w:hAnsi="宋体" w:cs="宋体" w:eastAsia="宋体" w:hint="default"/>
          <w:spacing w:val="-51"/>
        </w:rPr>
        <w:t> </w:t>
      </w:r>
      <w:r>
        <w:rPr/>
        <w:t>年</w:t>
      </w:r>
      <w:r>
        <w:rPr>
          <w:spacing w:val="-53"/>
        </w:rPr>
        <w:t> </w:t>
      </w:r>
      <w:r>
        <w:rPr>
          <w:rFonts w:ascii="宋体" w:hAnsi="宋体" w:cs="宋体" w:eastAsia="宋体" w:hint="default"/>
        </w:rPr>
        <w:t>2</w:t>
      </w:r>
      <w:r>
        <w:rPr>
          <w:rFonts w:ascii="宋体" w:hAnsi="宋体" w:cs="宋体" w:eastAsia="宋体" w:hint="default"/>
          <w:spacing w:val="-51"/>
        </w:rPr>
        <w:t> </w:t>
      </w:r>
      <w:r>
        <w:rPr>
          <w:spacing w:val="-3"/>
        </w:rPr>
        <w:t>月，公司完成重组更名，顺利登陆</w:t>
      </w:r>
      <w:r>
        <w:rPr>
          <w:spacing w:val="-50"/>
        </w:rPr>
        <w:t> </w:t>
      </w:r>
      <w:r>
        <w:rPr>
          <w:rFonts w:ascii="宋体" w:hAnsi="宋体" w:cs="宋体" w:eastAsia="宋体" w:hint="default"/>
        </w:rPr>
        <w:t>A</w:t>
      </w:r>
      <w:r>
        <w:rPr>
          <w:rFonts w:ascii="宋体" w:hAnsi="宋体" w:cs="宋体" w:eastAsia="宋体" w:hint="default"/>
          <w:spacing w:val="-53"/>
        </w:rPr>
        <w:t> </w:t>
      </w:r>
      <w:r>
        <w:rPr>
          <w:spacing w:val="-4"/>
        </w:rPr>
        <w:t>股市场。回归</w:t>
      </w:r>
      <w:r>
        <w:rPr>
          <w:spacing w:val="-98"/>
        </w:rPr>
        <w:t> </w:t>
      </w:r>
      <w:r>
        <w:rPr>
          <w:spacing w:val="-98"/>
        </w:rPr>
      </w:r>
      <w:r>
        <w:rPr/>
        <w:t>后，三六零在确保原有互联网安全服务及各项主营业务有序开展的同时，持续通过技术创新实现</w:t>
      </w:r>
      <w:r>
        <w:rPr>
          <w:spacing w:val="-97"/>
        </w:rPr>
        <w:t> </w:t>
      </w:r>
      <w:r>
        <w:rPr>
          <w:spacing w:val="-97"/>
        </w:rPr>
      </w:r>
      <w:r>
        <w:rPr>
          <w:spacing w:val="-6"/>
          <w:w w:val="100"/>
        </w:rPr>
        <w:t>自我颠覆，将在网络安全方面积累的领先技术、成功经验和海量数据广泛运用于“大安全”领域，</w:t>
      </w:r>
      <w:r>
        <w:rPr>
          <w:w w:val="100"/>
        </w:rPr>
        <w:t> </w:t>
      </w:r>
      <w:r>
        <w:rPr/>
        <w:t>积极参与国家安全建设，助推国内安全生态进一步完善，致力于全面守护并解决国家、国防、城</w:t>
      </w:r>
      <w:r>
        <w:rPr>
          <w:spacing w:val="-97"/>
        </w:rPr>
        <w:t> </w:t>
      </w:r>
      <w:r>
        <w:rPr>
          <w:spacing w:val="-97"/>
        </w:rPr>
      </w:r>
      <w:r>
        <w:rPr/>
        <w:t>市、社会、关键基础设施以及家庭和个人等各个领域的安全问题，为国家安全及国民安全提供全</w:t>
      </w:r>
      <w:r>
        <w:rPr>
          <w:spacing w:val="-97"/>
        </w:rPr>
        <w:t> </w:t>
      </w:r>
      <w:r>
        <w:rPr>
          <w:spacing w:val="-97"/>
        </w:rPr>
      </w:r>
      <w:r>
        <w:rPr/>
        <w:t>面保障。</w:t>
      </w:r>
    </w:p>
    <w:p>
      <w:pPr>
        <w:pStyle w:val="BodyText"/>
        <w:spacing w:line="357" w:lineRule="auto" w:before="30"/>
        <w:ind w:right="207" w:firstLine="419"/>
        <w:jc w:val="both"/>
      </w:pPr>
      <w:r>
        <w:rPr>
          <w:spacing w:val="-2"/>
        </w:rPr>
        <w:t>报告期内，公司主要从事互联网技术的研发及网络安全产品的设计、开发、运营。通过向个</w:t>
      </w:r>
      <w:r>
        <w:rPr>
          <w:spacing w:val="-3"/>
          <w:w w:val="100"/>
        </w:rPr>
        <w:t> </w:t>
      </w:r>
      <w:r>
        <w:rPr>
          <w:spacing w:val="-1"/>
        </w:rPr>
        <w:t>人用户提供免费、优质的互联网及移动安全产品及服务，三六零积累了大量用户，并在此基础上</w:t>
      </w:r>
      <w:r>
        <w:rPr>
          <w:spacing w:val="-56"/>
        </w:rPr>
        <w:t> </w:t>
      </w:r>
      <w:r>
        <w:rPr>
          <w:spacing w:val="-56"/>
        </w:rPr>
      </w:r>
      <w:r>
        <w:rPr>
          <w:spacing w:val="-1"/>
        </w:rPr>
        <w:t>拓展了互联网广告及服务、互联网增值服务、智能硬件业务等一系列商业化业务，最终构建了以</w:t>
      </w:r>
      <w:r>
        <w:rPr>
          <w:spacing w:val="-55"/>
        </w:rPr>
        <w:t> </w:t>
      </w:r>
      <w:r>
        <w:rPr>
          <w:spacing w:val="-55"/>
        </w:rPr>
      </w:r>
      <w:r>
        <w:rPr>
          <w:spacing w:val="-1"/>
        </w:rPr>
        <w:t>守护安全为使命、以核心技术为驱动、以产品体系为载体、以商业化业务为保障的互联网生态体</w:t>
      </w:r>
      <w:r>
        <w:rPr>
          <w:spacing w:val="-55"/>
        </w:rPr>
        <w:t> </w:t>
      </w:r>
      <w:r>
        <w:rPr>
          <w:spacing w:val="-55"/>
        </w:rPr>
      </w:r>
      <w:r>
        <w:rPr>
          <w:spacing w:val="-2"/>
        </w:rPr>
        <w:t>系。报告期内，公司对政企安全业务进行了探索和储备，未来政企安全将作为三六零的重要战略</w:t>
      </w:r>
      <w:r>
        <w:rPr>
          <w:spacing w:val="-15"/>
        </w:rPr>
        <w:t> </w:t>
      </w:r>
      <w:r>
        <w:rPr>
          <w:spacing w:val="-15"/>
        </w:rPr>
      </w:r>
      <w:r>
        <w:rPr/>
        <w:t>方向，公司将大力推进政企安全业务的落地与实施。</w:t>
      </w:r>
    </w:p>
    <w:p>
      <w:pPr>
        <w:pStyle w:val="BodyText"/>
        <w:spacing w:line="355" w:lineRule="auto" w:before="32"/>
        <w:ind w:left="558" w:right="0" w:hanging="420"/>
        <w:jc w:val="left"/>
      </w:pPr>
      <w:r>
        <w:rPr>
          <w:rFonts w:ascii="宋体" w:hAnsi="宋体" w:cs="宋体" w:eastAsia="宋体" w:hint="default"/>
          <w:b/>
          <w:bCs/>
        </w:rPr>
        <w:t>（一）核心技术体系</w:t>
      </w:r>
      <w:r>
        <w:rPr>
          <w:rFonts w:ascii="宋体" w:hAnsi="宋体" w:cs="宋体" w:eastAsia="宋体" w:hint="default"/>
          <w:b/>
          <w:bCs/>
          <w:spacing w:val="-103"/>
        </w:rPr>
        <w:t> </w:t>
      </w:r>
      <w:r>
        <w:rPr>
          <w:spacing w:val="-2"/>
        </w:rPr>
        <w:t>三六零是一家技术驱动的平台型互联网公司，旗下控股子公司三六零科技、奇虎科技、世界</w:t>
      </w:r>
    </w:p>
    <w:p>
      <w:pPr>
        <w:pStyle w:val="BodyText"/>
        <w:spacing w:line="240" w:lineRule="auto" w:before="32"/>
        <w:ind w:right="0"/>
        <w:jc w:val="both"/>
      </w:pPr>
      <w:r>
        <w:rPr>
          <w:spacing w:val="-3"/>
        </w:rPr>
        <w:t>星辉等多家企业均被认定为高新技术企业，截至</w:t>
      </w:r>
      <w:r>
        <w:rPr>
          <w:spacing w:val="-39"/>
        </w:rPr>
        <w:t> </w:t>
      </w:r>
      <w:r>
        <w:rPr>
          <w:rFonts w:ascii="宋体" w:hAnsi="宋体" w:cs="宋体" w:eastAsia="宋体" w:hint="default"/>
        </w:rPr>
        <w:t>2018</w:t>
      </w:r>
      <w:r>
        <w:rPr>
          <w:rFonts w:ascii="宋体" w:hAnsi="宋体" w:cs="宋体" w:eastAsia="宋体" w:hint="default"/>
          <w:spacing w:val="-38"/>
        </w:rPr>
        <w:t> </w:t>
      </w:r>
      <w:r>
        <w:rPr>
          <w:spacing w:val="-6"/>
        </w:rPr>
        <w:t>年末，公司拥有近</w:t>
      </w:r>
      <w:r>
        <w:rPr>
          <w:spacing w:val="-39"/>
        </w:rPr>
        <w:t> </w:t>
      </w:r>
      <w:r>
        <w:rPr>
          <w:rFonts w:ascii="宋体" w:hAnsi="宋体" w:cs="宋体" w:eastAsia="宋体" w:hint="default"/>
        </w:rPr>
        <w:t>4,200</w:t>
      </w:r>
      <w:r>
        <w:rPr>
          <w:rFonts w:ascii="宋体" w:hAnsi="宋体" w:cs="宋体" w:eastAsia="宋体" w:hint="default"/>
          <w:spacing w:val="-42"/>
        </w:rPr>
        <w:t> </w:t>
      </w:r>
      <w:r>
        <w:rPr>
          <w:spacing w:val="-6"/>
        </w:rPr>
        <w:t>项授权专利，研发</w:t>
      </w:r>
    </w:p>
    <w:p>
      <w:pPr>
        <w:pStyle w:val="BodyText"/>
        <w:spacing w:line="357" w:lineRule="auto" w:before="133"/>
        <w:ind w:right="208"/>
        <w:jc w:val="both"/>
      </w:pPr>
      <w:r>
        <w:rPr/>
        <w:t>团队逾</w:t>
      </w:r>
      <w:r>
        <w:rPr>
          <w:spacing w:val="-41"/>
        </w:rPr>
        <w:t> </w:t>
      </w:r>
      <w:r>
        <w:rPr>
          <w:rFonts w:ascii="宋体" w:hAnsi="宋体" w:cs="宋体" w:eastAsia="宋体" w:hint="default"/>
        </w:rPr>
        <w:t>3,800</w:t>
      </w:r>
      <w:r>
        <w:rPr>
          <w:rFonts w:ascii="宋体" w:hAnsi="宋体" w:cs="宋体" w:eastAsia="宋体" w:hint="default"/>
          <w:spacing w:val="-43"/>
        </w:rPr>
        <w:t> </w:t>
      </w:r>
      <w:r>
        <w:rPr/>
        <w:t>人。</w:t>
      </w:r>
      <w:r>
        <w:rPr>
          <w:rFonts w:ascii="宋体" w:hAnsi="宋体" w:cs="宋体" w:eastAsia="宋体" w:hint="default"/>
        </w:rPr>
        <w:t>2018</w:t>
      </w:r>
      <w:r>
        <w:rPr>
          <w:rFonts w:ascii="宋体" w:hAnsi="宋体" w:cs="宋体" w:eastAsia="宋体" w:hint="default"/>
          <w:spacing w:val="-43"/>
        </w:rPr>
        <w:t> </w:t>
      </w:r>
      <w:r>
        <w:rPr/>
        <w:t>年</w:t>
      </w:r>
      <w:r>
        <w:rPr>
          <w:spacing w:val="-41"/>
        </w:rPr>
        <w:t> </w:t>
      </w:r>
      <w:r>
        <w:rPr>
          <w:rFonts w:ascii="宋体" w:hAnsi="宋体" w:cs="宋体" w:eastAsia="宋体" w:hint="default"/>
        </w:rPr>
        <w:t>5</w:t>
      </w:r>
      <w:r>
        <w:rPr>
          <w:rFonts w:ascii="宋体" w:hAnsi="宋体" w:cs="宋体" w:eastAsia="宋体" w:hint="default"/>
          <w:spacing w:val="-41"/>
        </w:rPr>
        <w:t> </w:t>
      </w:r>
      <w:r>
        <w:rPr/>
        <w:t>月，公司开创性地发布了全球最大的分布式智能安全系统——“360</w:t>
      </w:r>
      <w:r>
        <w:rPr>
          <w:w w:val="100"/>
        </w:rPr>
        <w:t> </w:t>
      </w:r>
      <w:r>
        <w:rPr>
          <w:spacing w:val="-1"/>
        </w:rPr>
        <w:t>安全大脑”，以此构建了大安全时代的整体防御战略体系，以应对万物互联时代带来的全新安全</w:t>
      </w:r>
      <w:r>
        <w:rPr>
          <w:spacing w:val="-55"/>
        </w:rPr>
        <w:t> </w:t>
      </w:r>
      <w:r>
        <w:rPr>
          <w:spacing w:val="-55"/>
        </w:rPr>
      </w:r>
      <w:r>
        <w:rPr/>
        <w:t>威胁和挑战。</w:t>
      </w:r>
    </w:p>
    <w:p>
      <w:pPr>
        <w:pStyle w:val="BodyText"/>
        <w:spacing w:line="357" w:lineRule="auto" w:before="30"/>
        <w:ind w:right="208" w:firstLine="419"/>
        <w:jc w:val="both"/>
      </w:pPr>
      <w:r>
        <w:rPr/>
        <w:t>“</w:t>
      </w:r>
      <w:r>
        <w:rPr>
          <w:rFonts w:ascii="宋体" w:hAnsi="宋体" w:cs="宋体" w:eastAsia="宋体" w:hint="default"/>
        </w:rPr>
        <w:t>360</w:t>
      </w:r>
      <w:r>
        <w:rPr>
          <w:rFonts w:ascii="宋体" w:hAnsi="宋体" w:cs="宋体" w:eastAsia="宋体" w:hint="default"/>
          <w:spacing w:val="4"/>
        </w:rPr>
        <w:t> </w:t>
      </w:r>
      <w:r>
        <w:rPr/>
        <w:t>安全大脑”与人类中枢神经系统传输模式类似，包括四层威胁响应流程结构。其中，</w:t>
      </w:r>
      <w:r>
        <w:rPr>
          <w:w w:val="100"/>
        </w:rPr>
        <w:t> </w:t>
      </w:r>
      <w:r>
        <w:rPr>
          <w:spacing w:val="-1"/>
        </w:rPr>
        <w:t>数据采集层背靠全球规模最大的网络空间安全大数据，是安全大脑的感知元；数据服务层拥有端</w:t>
      </w:r>
      <w:r>
        <w:rPr>
          <w:spacing w:val="-55"/>
        </w:rPr>
        <w:t> </w:t>
      </w:r>
      <w:r>
        <w:rPr>
          <w:spacing w:val="-55"/>
        </w:rPr>
      </w:r>
      <w:r>
        <w:rPr>
          <w:spacing w:val="-1"/>
        </w:rPr>
        <w:t>到端的数据治理服务能力，为安全大脑提供高效的信号处理通道；智能服务层开放智能服务体系</w:t>
      </w:r>
      <w:r>
        <w:rPr>
          <w:spacing w:val="-56"/>
        </w:rPr>
        <w:t> </w:t>
      </w:r>
      <w:r>
        <w:rPr>
          <w:spacing w:val="-56"/>
        </w:rPr>
      </w:r>
      <w:r>
        <w:rPr>
          <w:spacing w:val="-1"/>
        </w:rPr>
        <w:t>及平台，是安全大脑的神经元；多元一体的安全应用层是安全大脑的指令输出端，最终向使用者</w:t>
      </w:r>
      <w:r>
        <w:rPr>
          <w:spacing w:val="-55"/>
        </w:rPr>
        <w:t> </w:t>
      </w:r>
      <w:r>
        <w:rPr>
          <w:spacing w:val="-55"/>
        </w:rPr>
      </w:r>
      <w:r>
        <w:rPr/>
        <w:t>提供全方位安全防护和解决方案。</w:t>
      </w:r>
    </w:p>
    <w:p>
      <w:pPr>
        <w:pStyle w:val="BodyText"/>
        <w:spacing w:line="357" w:lineRule="auto" w:before="30"/>
        <w:ind w:right="208" w:firstLine="419"/>
        <w:jc w:val="both"/>
      </w:pPr>
      <w:r>
        <w:rPr/>
        <w:t>“</w:t>
      </w:r>
      <w:r>
        <w:rPr>
          <w:rFonts w:ascii="宋体" w:hAnsi="宋体" w:cs="宋体" w:eastAsia="宋体" w:hint="default"/>
        </w:rPr>
        <w:t>360</w:t>
      </w:r>
      <w:r>
        <w:rPr>
          <w:rFonts w:ascii="宋体" w:hAnsi="宋体" w:cs="宋体" w:eastAsia="宋体" w:hint="default"/>
          <w:spacing w:val="-50"/>
        </w:rPr>
        <w:t> </w:t>
      </w:r>
      <w:r>
        <w:rPr/>
        <w:t>安全大脑”综合运用“IMABCDE”（</w:t>
      </w:r>
      <w:r>
        <w:rPr>
          <w:rFonts w:ascii="宋体" w:hAnsi="宋体" w:cs="宋体" w:eastAsia="宋体" w:hint="default"/>
        </w:rPr>
        <w:t>I-IoT</w:t>
      </w:r>
      <w:r>
        <w:rPr>
          <w:rFonts w:ascii="宋体" w:hAnsi="宋体" w:cs="宋体" w:eastAsia="宋体" w:hint="default"/>
          <w:spacing w:val="-52"/>
        </w:rPr>
        <w:t> </w:t>
      </w:r>
      <w:r>
        <w:rPr/>
        <w:t>智能感知、</w:t>
      </w:r>
      <w:r>
        <w:rPr>
          <w:rFonts w:ascii="宋体" w:hAnsi="宋体" w:cs="宋体" w:eastAsia="宋体" w:hint="default"/>
        </w:rPr>
        <w:t>M-</w:t>
      </w:r>
      <w:r>
        <w:rPr/>
        <w:t>移动通信、</w:t>
      </w:r>
      <w:r>
        <w:rPr>
          <w:rFonts w:ascii="宋体" w:hAnsi="宋体" w:cs="宋体" w:eastAsia="宋体" w:hint="default"/>
        </w:rPr>
        <w:t>A-</w:t>
      </w:r>
      <w:r>
        <w:rPr/>
        <w:t>人工智能、</w:t>
      </w:r>
      <w:r>
        <w:rPr>
          <w:rFonts w:ascii="宋体" w:hAnsi="宋体" w:cs="宋体" w:eastAsia="宋体" w:hint="default"/>
        </w:rPr>
        <w:t>B-</w:t>
      </w:r>
      <w:r>
        <w:rPr/>
        <w:t>区</w:t>
      </w:r>
      <w:r>
        <w:rPr>
          <w:w w:val="100"/>
        </w:rPr>
        <w:t> </w:t>
      </w:r>
      <w:r>
        <w:rPr/>
        <w:t>块链、</w:t>
      </w:r>
      <w:r>
        <w:rPr>
          <w:rFonts w:ascii="宋体" w:hAnsi="宋体" w:cs="宋体" w:eastAsia="宋体" w:hint="default"/>
        </w:rPr>
        <w:t>C-</w:t>
      </w:r>
      <w:r>
        <w:rPr/>
        <w:t>云计算、</w:t>
      </w:r>
      <w:r>
        <w:rPr>
          <w:rFonts w:ascii="宋体" w:hAnsi="宋体" w:cs="宋体" w:eastAsia="宋体" w:hint="default"/>
        </w:rPr>
        <w:t>D-</w:t>
      </w:r>
      <w:r>
        <w:rPr/>
        <w:t>大数据、</w:t>
      </w:r>
      <w:r>
        <w:rPr>
          <w:rFonts w:ascii="宋体" w:hAnsi="宋体" w:cs="宋体" w:eastAsia="宋体" w:hint="default"/>
        </w:rPr>
        <w:t>E</w:t>
      </w:r>
      <w:r>
        <w:rPr>
          <w:rFonts w:ascii="宋体" w:hAnsi="宋体" w:cs="宋体" w:eastAsia="宋体" w:hint="default"/>
          <w:spacing w:val="5"/>
        </w:rPr>
        <w:t> </w:t>
      </w:r>
      <w:r>
        <w:rPr/>
        <w:t>边缘计算）等核心技术，具备威胁感知、推理溯源、攻击预警、</w:t>
      </w:r>
    </w:p>
    <w:p>
      <w:pPr>
        <w:spacing w:after="0" w:line="357" w:lineRule="auto"/>
        <w:jc w:val="both"/>
        <w:sectPr>
          <w:pgSz w:w="11910" w:h="16840"/>
          <w:pgMar w:header="855" w:footer="1217" w:top="1320" w:bottom="1400" w:left="1660" w:right="1060"/>
        </w:sectPr>
      </w:pPr>
    </w:p>
    <w:p>
      <w:pPr>
        <w:spacing w:line="240" w:lineRule="auto" w:before="4"/>
        <w:rPr>
          <w:rFonts w:ascii="宋体" w:hAnsi="宋体" w:cs="宋体" w:eastAsia="宋体" w:hint="default"/>
          <w:sz w:val="9"/>
          <w:szCs w:val="9"/>
        </w:rPr>
      </w:pPr>
    </w:p>
    <w:p>
      <w:pPr>
        <w:pStyle w:val="BodyText"/>
        <w:spacing w:line="357" w:lineRule="auto" w:before="36"/>
        <w:ind w:right="208"/>
        <w:jc w:val="both"/>
      </w:pPr>
      <w:r>
        <w:rPr>
          <w:spacing w:val="-6"/>
          <w:w w:val="100"/>
        </w:rPr>
        <w:t>决策辅助、自我学习五项核心能力。基于公司在互联网安全领域深耕多年积累的网络安全大数据，</w:t>
      </w:r>
      <w:r>
        <w:rPr>
          <w:w w:val="100"/>
        </w:rPr>
        <w:t> </w:t>
      </w:r>
      <w:r>
        <w:rPr>
          <w:spacing w:val="-1"/>
        </w:rPr>
        <w:t>运用人工智能计算分析平台，结合三六零安全专家的人机协同效应，可自动实现对网络攻击的预</w:t>
      </w:r>
      <w:r>
        <w:rPr>
          <w:spacing w:val="-55"/>
        </w:rPr>
        <w:t> </w:t>
      </w:r>
      <w:r>
        <w:rPr>
          <w:spacing w:val="-55"/>
        </w:rPr>
      </w:r>
      <w:r>
        <w:rPr>
          <w:spacing w:val="-1"/>
        </w:rPr>
        <w:t>测预警、监测发现、关联分析、追踪溯源、漏洞挖掘及自动化攻防，在保护用户、社会、国家网</w:t>
      </w:r>
      <w:r>
        <w:rPr>
          <w:spacing w:val="-55"/>
        </w:rPr>
        <w:t> </w:t>
      </w:r>
      <w:r>
        <w:rPr>
          <w:spacing w:val="-55"/>
        </w:rPr>
      </w:r>
      <w:r>
        <w:rPr>
          <w:spacing w:val="-1"/>
        </w:rPr>
        <w:t>络安全的基础上，将智能安全防护能力进一步延伸到工业互联网、车联网、物联网、城市安防和</w:t>
      </w:r>
      <w:r>
        <w:rPr>
          <w:spacing w:val="-55"/>
        </w:rPr>
        <w:t> </w:t>
      </w:r>
      <w:r>
        <w:rPr>
          <w:spacing w:val="-55"/>
        </w:rPr>
      </w:r>
      <w:r>
        <w:rPr>
          <w:spacing w:val="-7"/>
        </w:rPr>
        <w:t>个人人身安全等领域。此外，公司旨在培育该系统成为开放、协同、联动、创新的平台生态体系，</w:t>
      </w:r>
      <w:r>
        <w:rPr>
          <w:spacing w:val="-12"/>
        </w:rPr>
        <w:t> </w:t>
      </w:r>
      <w:r>
        <w:rPr>
          <w:spacing w:val="-12"/>
        </w:rPr>
      </w:r>
      <w:r>
        <w:rPr>
          <w:spacing w:val="-1"/>
        </w:rPr>
        <w:t>在借助生态力量的同时，通过向第三方开放服务能力、算法算力及数据资源，将网络安全防护能</w:t>
      </w:r>
      <w:r>
        <w:rPr>
          <w:spacing w:val="-55"/>
        </w:rPr>
        <w:t> </w:t>
      </w:r>
      <w:r>
        <w:rPr>
          <w:spacing w:val="-55"/>
        </w:rPr>
      </w:r>
      <w:r>
        <w:rPr>
          <w:spacing w:val="-1"/>
        </w:rPr>
        <w:t>力赋能给更多从事安全业务的第三方企业，从而带动网络安全产业链共同应对日益复杂多变的网</w:t>
      </w:r>
      <w:r>
        <w:rPr>
          <w:spacing w:val="-55"/>
        </w:rPr>
        <w:t> </w:t>
      </w:r>
      <w:r>
        <w:rPr>
          <w:spacing w:val="-55"/>
        </w:rPr>
      </w:r>
      <w:r>
        <w:rPr/>
        <w:t>络安全形势，共同构创国家安全生态未来。</w:t>
      </w:r>
    </w:p>
    <w:p>
      <w:pPr>
        <w:pStyle w:val="BodyText"/>
        <w:spacing w:line="357" w:lineRule="auto" w:before="31"/>
        <w:ind w:right="209" w:firstLine="419"/>
        <w:jc w:val="both"/>
      </w:pPr>
      <w:r>
        <w:rPr>
          <w:rFonts w:ascii="宋体" w:hAnsi="宋体" w:cs="宋体" w:eastAsia="宋体" w:hint="default"/>
        </w:rPr>
        <w:t>2018</w:t>
      </w:r>
      <w:r>
        <w:rPr>
          <w:rFonts w:ascii="宋体" w:hAnsi="宋体" w:cs="宋体" w:eastAsia="宋体" w:hint="default"/>
          <w:spacing w:val="-33"/>
        </w:rPr>
        <w:t> </w:t>
      </w:r>
      <w:r>
        <w:rPr/>
        <w:t>年</w:t>
      </w:r>
      <w:r>
        <w:rPr>
          <w:spacing w:val="-31"/>
        </w:rPr>
        <w:t> </w:t>
      </w:r>
      <w:r>
        <w:rPr>
          <w:rFonts w:ascii="宋体" w:hAnsi="宋体" w:cs="宋体" w:eastAsia="宋体" w:hint="default"/>
        </w:rPr>
        <w:t>10</w:t>
      </w:r>
      <w:r>
        <w:rPr>
          <w:rFonts w:ascii="宋体" w:hAnsi="宋体" w:cs="宋体" w:eastAsia="宋体" w:hint="default"/>
          <w:spacing w:val="-33"/>
        </w:rPr>
        <w:t> </w:t>
      </w:r>
      <w:r>
        <w:rPr/>
        <w:t>月，中国计算机行业最权威的学术机构——中国计算机学会发布了年度技术成果</w:t>
      </w:r>
      <w:r>
        <w:rPr>
          <w:w w:val="100"/>
        </w:rPr>
        <w:t> </w:t>
      </w:r>
      <w:r>
        <w:rPr/>
        <w:t>评选结果，“360</w:t>
      </w:r>
      <w:r>
        <w:rPr>
          <w:spacing w:val="5"/>
        </w:rPr>
        <w:t> </w:t>
      </w:r>
      <w:r>
        <w:rPr/>
        <w:t>安全大脑”获得“科学技术奖科技进步卓越奖”，成为国内首个获此殊荣的智</w:t>
      </w:r>
      <w:r>
        <w:rPr>
          <w:w w:val="100"/>
        </w:rPr>
        <w:t> </w:t>
      </w:r>
      <w:r>
        <w:rPr>
          <w:spacing w:val="-4"/>
        </w:rPr>
        <w:t>能安全技术成果。在</w:t>
      </w:r>
      <w:r>
        <w:rPr>
          <w:spacing w:val="-40"/>
        </w:rPr>
        <w:t> </w:t>
      </w:r>
      <w:r>
        <w:rPr>
          <w:rFonts w:ascii="宋体" w:hAnsi="宋体" w:cs="宋体" w:eastAsia="宋体" w:hint="default"/>
        </w:rPr>
        <w:t>11</w:t>
      </w:r>
      <w:r>
        <w:rPr>
          <w:rFonts w:ascii="宋体" w:hAnsi="宋体" w:cs="宋体" w:eastAsia="宋体" w:hint="default"/>
          <w:spacing w:val="-41"/>
        </w:rPr>
        <w:t> </w:t>
      </w:r>
      <w:r>
        <w:rPr>
          <w:spacing w:val="-3"/>
        </w:rPr>
        <w:t>月召开的</w:t>
      </w:r>
      <w:r>
        <w:rPr>
          <w:color w:val="333333"/>
          <w:spacing w:val="-3"/>
        </w:rPr>
        <w:t>乌镇互联网大会上，</w:t>
      </w:r>
      <w:r>
        <w:rPr>
          <w:spacing w:val="-3"/>
        </w:rPr>
        <w:t>“360</w:t>
      </w:r>
      <w:r>
        <w:rPr>
          <w:spacing w:val="-43"/>
        </w:rPr>
        <w:t> </w:t>
      </w:r>
      <w:r>
        <w:rPr/>
        <w:t>安全大脑”</w:t>
      </w:r>
      <w:r>
        <w:rPr>
          <w:color w:val="333333"/>
        </w:rPr>
        <w:t>获评世界互联网大会领先</w:t>
      </w:r>
      <w:r>
        <w:rPr>
          <w:color w:val="333333"/>
          <w:spacing w:val="-101"/>
        </w:rPr>
        <w:t> </w:t>
      </w:r>
      <w:r>
        <w:rPr>
          <w:color w:val="333333"/>
          <w:spacing w:val="-101"/>
        </w:rPr>
      </w:r>
      <w:r>
        <w:rPr>
          <w:color w:val="333333"/>
        </w:rPr>
        <w:t>科技成果。</w:t>
      </w:r>
      <w:r>
        <w:rPr/>
      </w:r>
    </w:p>
    <w:p>
      <w:pPr>
        <w:spacing w:line="240" w:lineRule="auto" w:before="0"/>
        <w:rPr>
          <w:rFonts w:ascii="宋体" w:hAnsi="宋体" w:cs="宋体" w:eastAsia="宋体" w:hint="default"/>
          <w:sz w:val="20"/>
          <w:szCs w:val="20"/>
        </w:rPr>
      </w:pPr>
    </w:p>
    <w:p>
      <w:pPr>
        <w:pStyle w:val="Heading5"/>
        <w:spacing w:line="355" w:lineRule="auto" w:before="176"/>
        <w:ind w:left="769" w:right="6445" w:hanging="632"/>
        <w:jc w:val="left"/>
        <w:rPr>
          <w:b w:val="0"/>
          <w:bCs w:val="0"/>
        </w:rPr>
      </w:pPr>
      <w:r>
        <w:rPr/>
        <w:t>（二）产品及服务体系</w:t>
      </w:r>
      <w:r>
        <w:rPr>
          <w:w w:val="100"/>
        </w:rPr>
        <w:t> </w:t>
      </w:r>
      <w:r>
        <w:rPr>
          <w:rFonts w:ascii="宋体" w:hAnsi="宋体" w:cs="宋体" w:eastAsia="宋体" w:hint="default"/>
        </w:rPr>
        <w:t>1</w:t>
      </w:r>
      <w:r>
        <w:rPr/>
        <w:t>、</w:t>
      </w:r>
      <w:r>
        <w:rPr>
          <w:rFonts w:ascii="宋体" w:hAnsi="宋体" w:cs="宋体" w:eastAsia="宋体" w:hint="default"/>
        </w:rPr>
        <w:t>360</w:t>
      </w:r>
      <w:r>
        <w:rPr>
          <w:rFonts w:ascii="宋体" w:hAnsi="宋体" w:cs="宋体" w:eastAsia="宋体" w:hint="default"/>
          <w:spacing w:val="-53"/>
        </w:rPr>
        <w:t> </w:t>
      </w:r>
      <w:r>
        <w:rPr/>
        <w:t>核心安全能力</w:t>
      </w:r>
      <w:r>
        <w:rPr>
          <w:b w:val="0"/>
          <w:bCs w:val="0"/>
        </w:rPr>
      </w:r>
    </w:p>
    <w:p>
      <w:pPr>
        <w:pStyle w:val="BodyText"/>
        <w:spacing w:line="240" w:lineRule="auto" w:before="34"/>
        <w:ind w:left="663" w:right="0"/>
        <w:jc w:val="left"/>
      </w:pPr>
      <w:r>
        <w:rPr/>
        <w:t>依托“</w:t>
      </w:r>
      <w:r>
        <w:rPr>
          <w:rFonts w:ascii="宋体" w:hAnsi="宋体" w:cs="宋体" w:eastAsia="宋体" w:hint="default"/>
        </w:rPr>
        <w:t>360</w:t>
      </w:r>
      <w:r>
        <w:rPr>
          <w:rFonts w:ascii="宋体" w:hAnsi="宋体" w:cs="宋体" w:eastAsia="宋体" w:hint="default"/>
          <w:spacing w:val="5"/>
        </w:rPr>
        <w:t> </w:t>
      </w:r>
      <w:r>
        <w:rPr/>
        <w:t>安全大脑”的核心技术及能力，公司目前的核心安全能力主要服务于以下领域：</w:t>
      </w:r>
    </w:p>
    <w:p>
      <w:pPr>
        <w:pStyle w:val="BodyText"/>
        <w:spacing w:line="355" w:lineRule="auto" w:before="133"/>
        <w:ind w:left="558" w:right="0"/>
        <w:jc w:val="left"/>
      </w:pPr>
      <w:r>
        <w:rPr/>
        <w:t>（</w:t>
      </w:r>
      <w:r>
        <w:rPr>
          <w:rFonts w:ascii="宋体" w:hAnsi="宋体" w:cs="宋体" w:eastAsia="宋体" w:hint="default"/>
        </w:rPr>
        <w:t>1</w:t>
      </w:r>
      <w:r>
        <w:rPr/>
        <w:t>）国家网络安全领域</w:t>
      </w:r>
      <w:r>
        <w:rPr>
          <w:w w:val="100"/>
        </w:rPr>
        <w:t> </w:t>
      </w:r>
      <w:r>
        <w:rPr>
          <w:spacing w:val="-1"/>
        </w:rPr>
        <w:t>经过在网络安全领域多年深耕及探索，公司开创性地推出了网络实战攻防演练平台、全网数</w:t>
      </w:r>
    </w:p>
    <w:p>
      <w:pPr>
        <w:pStyle w:val="BodyText"/>
        <w:spacing w:line="357" w:lineRule="auto" w:before="32"/>
        <w:ind w:right="207"/>
        <w:jc w:val="both"/>
      </w:pPr>
      <w:r>
        <w:rPr>
          <w:spacing w:val="-12"/>
          <w:w w:val="100"/>
        </w:rPr>
        <w:t>字资产测绘平台、全网</w:t>
      </w:r>
      <w:r>
        <w:rPr>
          <w:spacing w:val="-50"/>
          <w:w w:val="100"/>
        </w:rPr>
        <w:t> </w:t>
      </w:r>
      <w:r>
        <w:rPr>
          <w:rFonts w:ascii="宋体" w:hAnsi="宋体" w:cs="宋体" w:eastAsia="宋体" w:hint="default"/>
          <w:spacing w:val="-2"/>
          <w:w w:val="100"/>
        </w:rPr>
        <w:t>DDoS</w:t>
      </w:r>
      <w:r>
        <w:rPr>
          <w:rFonts w:ascii="宋体" w:hAnsi="宋体" w:cs="宋体" w:eastAsia="宋体" w:hint="default"/>
          <w:spacing w:val="-50"/>
          <w:w w:val="100"/>
        </w:rPr>
        <w:t> </w:t>
      </w:r>
      <w:r>
        <w:rPr>
          <w:spacing w:val="-8"/>
          <w:w w:val="100"/>
        </w:rPr>
        <w:t>攻击监测平台、全网扫描监测平台、网络安保协调平台等多个智能化、</w:t>
      </w:r>
      <w:r>
        <w:rPr>
          <w:w w:val="100"/>
        </w:rPr>
        <w:t> </w:t>
      </w:r>
      <w:r>
        <w:rPr>
          <w:spacing w:val="-1"/>
        </w:rPr>
        <w:t>可视化的调度分析平台，并针对各类网络威胁研发设计了态势感知系统、终端应急响应系统、攻</w:t>
      </w:r>
      <w:r>
        <w:rPr>
          <w:spacing w:val="-55"/>
        </w:rPr>
        <w:t> </w:t>
      </w:r>
      <w:r>
        <w:rPr>
          <w:spacing w:val="-55"/>
        </w:rPr>
      </w:r>
      <w:r>
        <w:rPr>
          <w:spacing w:val="-6"/>
        </w:rPr>
        <w:t>击溯源与威胁分析系统、虚拟化安全系统等作为解决方案，初步实现了“360 </w:t>
      </w:r>
      <w:r>
        <w:rPr/>
        <w:t>安全大脑”为国家、</w:t>
      </w:r>
      <w:r>
        <w:rPr>
          <w:spacing w:val="-93"/>
        </w:rPr>
        <w:t> </w:t>
      </w:r>
      <w:r>
        <w:rPr>
          <w:spacing w:val="-93"/>
        </w:rPr>
      </w:r>
      <w:r>
        <w:rPr/>
        <w:t>国防网络安全保驾护航的战略蓝图。上述平台、系统由</w:t>
      </w:r>
      <w:r>
        <w:rPr>
          <w:spacing w:val="-53"/>
        </w:rPr>
        <w:t> </w:t>
      </w:r>
      <w:r>
        <w:rPr>
          <w:rFonts w:ascii="宋体" w:hAnsi="宋体" w:cs="宋体" w:eastAsia="宋体" w:hint="default"/>
        </w:rPr>
        <w:t>360</w:t>
      </w:r>
      <w:r>
        <w:rPr>
          <w:rFonts w:ascii="宋体" w:hAnsi="宋体" w:cs="宋体" w:eastAsia="宋体" w:hint="default"/>
          <w:spacing w:val="-51"/>
        </w:rPr>
        <w:t> </w:t>
      </w:r>
      <w:r>
        <w:rPr/>
        <w:t>网络安全响应中心（</w:t>
      </w:r>
      <w:r>
        <w:rPr>
          <w:rFonts w:ascii="宋体" w:hAnsi="宋体" w:cs="宋体" w:eastAsia="宋体" w:hint="default"/>
        </w:rPr>
        <w:t>360-CERT</w:t>
      </w:r>
      <w:r>
        <w:rPr/>
        <w:t>）进行</w:t>
      </w:r>
      <w:r>
        <w:rPr>
          <w:spacing w:val="-3"/>
          <w:w w:val="100"/>
        </w:rPr>
        <w:t> </w:t>
      </w:r>
      <w:r>
        <w:rPr>
          <w:spacing w:val="-1"/>
        </w:rPr>
        <w:t>实时统一监测、分析、研判及调度协调，便于第一时间响应国内外重大网络安全事件，已多次在</w:t>
      </w:r>
      <w:r>
        <w:rPr>
          <w:spacing w:val="-55"/>
        </w:rPr>
        <w:t> </w:t>
      </w:r>
      <w:r>
        <w:rPr>
          <w:spacing w:val="-55"/>
        </w:rPr>
      </w:r>
      <w:r>
        <w:rPr/>
        <w:t>国家级重大活动安保配合工作中发挥重要作用。</w:t>
      </w:r>
    </w:p>
    <w:p>
      <w:pPr>
        <w:pStyle w:val="BodyText"/>
        <w:spacing w:line="357" w:lineRule="auto" w:before="33"/>
        <w:ind w:right="207" w:firstLine="419"/>
        <w:jc w:val="both"/>
      </w:pPr>
      <w:r>
        <w:rPr>
          <w:spacing w:val="-2"/>
        </w:rPr>
        <w:t>三六零是“国家大数据协同安全技术国家工程实验室”承建单位，该实验室也</w:t>
      </w:r>
      <w:r>
        <w:rPr>
          <w:color w:val="181818"/>
          <w:spacing w:val="-2"/>
        </w:rPr>
        <w:t>是大数据领域</w:t>
      </w:r>
      <w:r>
        <w:rPr>
          <w:color w:val="181818"/>
          <w:w w:val="100"/>
        </w:rPr>
        <w:t> </w:t>
      </w:r>
      <w:r>
        <w:rPr>
          <w:color w:val="181818"/>
          <w:spacing w:val="-1"/>
        </w:rPr>
        <w:t>唯一由民营企业承建的国家工程实验室，标志着公司的大数据分析能力及威胁情报、态势感知、</w:t>
      </w:r>
      <w:r>
        <w:rPr>
          <w:color w:val="181818"/>
          <w:spacing w:val="-55"/>
        </w:rPr>
        <w:t> </w:t>
      </w:r>
      <w:r>
        <w:rPr>
          <w:color w:val="181818"/>
          <w:spacing w:val="-55"/>
        </w:rPr>
      </w:r>
      <w:r>
        <w:rPr>
          <w:color w:val="181818"/>
          <w:spacing w:val="-1"/>
        </w:rPr>
        <w:t>漏洞挖掘、隐私保护等关键技术成果已获得国家层面认可。</w:t>
      </w:r>
      <w:r>
        <w:rPr>
          <w:spacing w:val="-1"/>
        </w:rPr>
        <w:t>为顺应国家制定的网络安全工作发展</w:t>
      </w:r>
      <w:r>
        <w:rPr>
          <w:spacing w:val="-55"/>
        </w:rPr>
        <w:t> </w:t>
      </w:r>
      <w:r>
        <w:rPr>
          <w:spacing w:val="-55"/>
        </w:rPr>
      </w:r>
      <w:r>
        <w:rPr>
          <w:spacing w:val="-1"/>
        </w:rPr>
        <w:t>方向，公司凭借在网络攻防领域累积的重要经验及核心安全专家人才优势，连续数年为国家部委</w:t>
      </w:r>
      <w:r>
        <w:rPr>
          <w:spacing w:val="-55"/>
        </w:rPr>
        <w:t> </w:t>
      </w:r>
      <w:r>
        <w:rPr>
          <w:spacing w:val="-55"/>
        </w:rPr>
      </w:r>
      <w:r>
        <w:rPr>
          <w:spacing w:val="-1"/>
        </w:rPr>
        <w:t>和重点行业机构提供实战型攻防演练服务，已取得众多重要成果，协助检验并提升了我国关键信</w:t>
      </w:r>
      <w:r>
        <w:rPr>
          <w:spacing w:val="-55"/>
        </w:rPr>
        <w:t> </w:t>
      </w:r>
      <w:r>
        <w:rPr>
          <w:spacing w:val="-55"/>
        </w:rPr>
      </w:r>
      <w:r>
        <w:rPr>
          <w:spacing w:val="-1"/>
        </w:rPr>
        <w:t>息基础设施安全防护、应急处置和指挥调度能力。在监测和应对国际网络威胁方面，三六零成功</w:t>
      </w:r>
      <w:r>
        <w:rPr>
          <w:spacing w:val="-55"/>
        </w:rPr>
        <w:t> </w:t>
      </w:r>
      <w:r>
        <w:rPr>
          <w:spacing w:val="-55"/>
        </w:rPr>
      </w:r>
      <w:r>
        <w:rPr>
          <w:spacing w:val="-4"/>
        </w:rPr>
        <w:t>溯源、发现多个境外高级持续性威胁攻击（</w:t>
      </w:r>
      <w:r>
        <w:rPr>
          <w:rFonts w:ascii="宋体" w:hAnsi="宋体" w:cs="宋体" w:eastAsia="宋体" w:hint="default"/>
          <w:spacing w:val="-4"/>
        </w:rPr>
        <w:t>APT</w:t>
      </w:r>
      <w:r>
        <w:rPr>
          <w:spacing w:val="-4"/>
        </w:rPr>
        <w:t>）组织，已成为国家、国防网络安全领域应急管理</w:t>
      </w:r>
      <w:r>
        <w:rPr>
          <w:spacing w:val="-29"/>
        </w:rPr>
        <w:t> </w:t>
      </w:r>
      <w:r>
        <w:rPr>
          <w:spacing w:val="-29"/>
        </w:rPr>
      </w:r>
      <w:r>
        <w:rPr/>
        <w:t>和安全保障的主要社会力量。</w:t>
      </w:r>
    </w:p>
    <w:p>
      <w:pPr>
        <w:pStyle w:val="BodyText"/>
        <w:spacing w:line="240" w:lineRule="auto" w:before="30"/>
        <w:ind w:left="558" w:right="0"/>
        <w:jc w:val="left"/>
      </w:pPr>
      <w:r>
        <w:rPr/>
        <w:t>公司通过上述的积累和储备，为未来政企业务的开展和落地奠定了良好基础。</w:t>
      </w:r>
    </w:p>
    <w:p>
      <w:pPr>
        <w:pStyle w:val="BodyText"/>
        <w:spacing w:line="240" w:lineRule="auto" w:before="135"/>
        <w:ind w:left="558" w:right="0"/>
        <w:jc w:val="left"/>
      </w:pPr>
      <w:r>
        <w:rPr/>
        <w:t>（</w:t>
      </w:r>
      <w:r>
        <w:rPr>
          <w:rFonts w:ascii="宋体" w:hAnsi="宋体" w:cs="宋体" w:eastAsia="宋体" w:hint="default"/>
        </w:rPr>
        <w:t>2</w:t>
      </w:r>
      <w:r>
        <w:rPr/>
        <w:t>）城市及社会安全领域</w:t>
      </w:r>
    </w:p>
    <w:p>
      <w:pPr>
        <w:spacing w:after="0" w:line="240" w:lineRule="auto"/>
        <w:jc w:val="left"/>
        <w:sectPr>
          <w:pgSz w:w="11910" w:h="16840"/>
          <w:pgMar w:header="855" w:footer="1217" w:top="1320" w:bottom="1400" w:left="1660" w:right="1060"/>
        </w:sectPr>
      </w:pPr>
    </w:p>
    <w:p>
      <w:pPr>
        <w:spacing w:line="240" w:lineRule="auto" w:before="4"/>
        <w:rPr>
          <w:rFonts w:ascii="宋体" w:hAnsi="宋体" w:cs="宋体" w:eastAsia="宋体" w:hint="default"/>
          <w:sz w:val="9"/>
          <w:szCs w:val="9"/>
        </w:rPr>
      </w:pPr>
    </w:p>
    <w:p>
      <w:pPr>
        <w:pStyle w:val="BodyText"/>
        <w:spacing w:line="357" w:lineRule="auto" w:before="36"/>
        <w:ind w:right="108" w:firstLine="419"/>
        <w:jc w:val="both"/>
      </w:pPr>
      <w:r>
        <w:rPr>
          <w:spacing w:val="-2"/>
        </w:rPr>
        <w:t>三六零城市安全重点业务包括社区安全、出行安全、应急管理、城市管理、公共安全等五大</w:t>
      </w:r>
      <w:r>
        <w:rPr>
          <w:w w:val="100"/>
        </w:rPr>
        <w:t> </w:t>
      </w:r>
      <w:r>
        <w:rPr>
          <w:spacing w:val="-1"/>
        </w:rPr>
        <w:t>板块，通过自研及与上下游软硬件厂商合作，构建城市安全整体解决方案并扩展自身在物理世界</w:t>
      </w:r>
      <w:r>
        <w:rPr>
          <w:spacing w:val="-55"/>
        </w:rPr>
        <w:t> </w:t>
      </w:r>
      <w:r>
        <w:rPr>
          <w:spacing w:val="-55"/>
        </w:rPr>
      </w:r>
      <w:r>
        <w:rPr>
          <w:spacing w:val="-1"/>
        </w:rPr>
        <w:t>的安全处理能力。公司将通过与地方政府进行战略合作、尝试培育生态企业代理运营的模式验证</w:t>
      </w:r>
      <w:r>
        <w:rPr>
          <w:spacing w:val="-55"/>
        </w:rPr>
        <w:t> </w:t>
      </w:r>
      <w:r>
        <w:rPr>
          <w:spacing w:val="-55"/>
        </w:rPr>
      </w:r>
      <w:r>
        <w:rPr/>
        <w:t>城市安全解决方案并拓展市场。</w:t>
      </w:r>
    </w:p>
    <w:p>
      <w:pPr>
        <w:pStyle w:val="BodyText"/>
        <w:spacing w:line="355" w:lineRule="auto" w:before="30"/>
        <w:ind w:right="107" w:firstLine="419"/>
        <w:jc w:val="both"/>
        <w:rPr>
          <w:rFonts w:ascii="宋体" w:hAnsi="宋体" w:cs="宋体" w:eastAsia="宋体" w:hint="default"/>
        </w:rPr>
      </w:pPr>
      <w:r>
        <w:rPr>
          <w:spacing w:val="-2"/>
        </w:rPr>
        <w:t>在社会安全领域，公司与公安机关联合发起反网络诈骗信息系统——猎网平台，向公众发布</w:t>
      </w:r>
      <w:r>
        <w:rPr>
          <w:w w:val="100"/>
        </w:rPr>
        <w:t> </w:t>
      </w:r>
      <w:r>
        <w:rPr>
          <w:spacing w:val="-3"/>
        </w:rPr>
        <w:t>网络安全研究报告并开放了威胁情报中心、</w:t>
      </w:r>
      <w:r>
        <w:rPr>
          <w:rFonts w:ascii="宋体" w:hAnsi="宋体" w:cs="宋体" w:eastAsia="宋体" w:hint="default"/>
          <w:spacing w:val="-3"/>
        </w:rPr>
        <w:t>DDoS </w:t>
      </w:r>
      <w:r>
        <w:rPr>
          <w:rFonts w:ascii="宋体" w:hAnsi="宋体" w:cs="宋体" w:eastAsia="宋体" w:hint="default"/>
          <w:spacing w:val="-5"/>
        </w:rPr>
        <w:t>Mon</w:t>
      </w:r>
      <w:r>
        <w:rPr>
          <w:spacing w:val="-5"/>
        </w:rPr>
        <w:t>（分布式拒绝服务攻击监测平台）、</w:t>
      </w:r>
      <w:r>
        <w:rPr>
          <w:rFonts w:ascii="宋体" w:hAnsi="宋体" w:cs="宋体" w:eastAsia="宋体" w:hint="default"/>
          <w:spacing w:val="-5"/>
        </w:rPr>
        <w:t>Scan</w:t>
      </w:r>
      <w:r>
        <w:rPr>
          <w:rFonts w:ascii="宋体" w:hAnsi="宋体" w:cs="宋体" w:eastAsia="宋体" w:hint="default"/>
          <w:spacing w:val="-20"/>
        </w:rPr>
        <w:t> </w:t>
      </w:r>
      <w:r>
        <w:rPr>
          <w:rFonts w:ascii="宋体" w:hAnsi="宋体" w:cs="宋体" w:eastAsia="宋体" w:hint="default"/>
        </w:rPr>
        <w:t>Mon</w:t>
      </w:r>
    </w:p>
    <w:p>
      <w:pPr>
        <w:pStyle w:val="BodyText"/>
        <w:spacing w:line="355" w:lineRule="auto" w:before="34"/>
        <w:ind w:right="108"/>
        <w:jc w:val="both"/>
      </w:pPr>
      <w:r>
        <w:rPr>
          <w:spacing w:val="-1"/>
        </w:rPr>
        <w:t>（攻击扫描监测平台）、热补丁服务等平台服务，为防范和打击网络攻击诈骗等违法犯罪行为、</w:t>
      </w:r>
      <w:r>
        <w:rPr>
          <w:spacing w:val="-55"/>
        </w:rPr>
        <w:t> </w:t>
      </w:r>
      <w:r>
        <w:rPr>
          <w:spacing w:val="-55"/>
        </w:rPr>
      </w:r>
      <w:r>
        <w:rPr/>
        <w:t>保护公众合法权益作出了积极的贡献。</w:t>
      </w:r>
    </w:p>
    <w:p>
      <w:pPr>
        <w:pStyle w:val="BodyText"/>
        <w:spacing w:line="357" w:lineRule="auto" w:before="33"/>
        <w:ind w:right="107" w:firstLine="419"/>
        <w:jc w:val="both"/>
      </w:pPr>
      <w:r>
        <w:rPr>
          <w:spacing w:val="-2"/>
        </w:rPr>
        <w:t>此外，三六零以更加开放的态度，充分发挥自身优势，力争突破产业瓶颈，成为信息安全领</w:t>
      </w:r>
      <w:r>
        <w:rPr>
          <w:w w:val="100"/>
        </w:rPr>
        <w:t> </w:t>
      </w:r>
      <w:r>
        <w:rPr/>
        <w:t>域的重要赋能者。公司与国内外主流手机厂商均建立了广泛的业务合作，通过</w:t>
      </w:r>
      <w:r>
        <w:rPr>
          <w:spacing w:val="-49"/>
        </w:rPr>
        <w:t> </w:t>
      </w:r>
      <w:r>
        <w:rPr>
          <w:rFonts w:ascii="宋体" w:hAnsi="宋体" w:cs="宋体" w:eastAsia="宋体" w:hint="default"/>
        </w:rPr>
        <w:t>SDK</w:t>
      </w:r>
      <w:r>
        <w:rPr>
          <w:rFonts w:ascii="宋体" w:hAnsi="宋体" w:cs="宋体" w:eastAsia="宋体" w:hint="default"/>
          <w:spacing w:val="-51"/>
        </w:rPr>
        <w:t> </w:t>
      </w:r>
      <w:r>
        <w:rPr/>
        <w:t>赋能的形式，</w:t>
      </w:r>
      <w:r>
        <w:rPr>
          <w:w w:val="100"/>
        </w:rPr>
        <w:t> </w:t>
      </w:r>
      <w:r>
        <w:rPr>
          <w:spacing w:val="-1"/>
        </w:rPr>
        <w:t>向合作伙伴提供病毒识别与查杀、垃圾短信和骚扰电话识别与拦截、终端空间清理等模块的安全</w:t>
      </w:r>
      <w:r>
        <w:rPr>
          <w:spacing w:val="-55"/>
        </w:rPr>
        <w:t> </w:t>
      </w:r>
      <w:r>
        <w:rPr>
          <w:spacing w:val="-55"/>
        </w:rPr>
      </w:r>
      <w:r>
        <w:rPr/>
        <w:t>能力输出，截至</w:t>
      </w:r>
      <w:r>
        <w:rPr>
          <w:spacing w:val="-53"/>
        </w:rPr>
        <w:t> </w:t>
      </w:r>
      <w:r>
        <w:rPr>
          <w:rFonts w:ascii="宋体" w:hAnsi="宋体" w:cs="宋体" w:eastAsia="宋体" w:hint="default"/>
        </w:rPr>
        <w:t>2018</w:t>
      </w:r>
      <w:r>
        <w:rPr>
          <w:rFonts w:ascii="宋体" w:hAnsi="宋体" w:cs="宋体" w:eastAsia="宋体" w:hint="default"/>
          <w:spacing w:val="-52"/>
        </w:rPr>
        <w:t> </w:t>
      </w:r>
      <w:r>
        <w:rPr/>
        <w:t>年末，已用安全能力赋能全球近</w:t>
      </w:r>
      <w:r>
        <w:rPr>
          <w:spacing w:val="-52"/>
        </w:rPr>
        <w:t> </w:t>
      </w:r>
      <w:r>
        <w:rPr>
          <w:rFonts w:ascii="宋体" w:hAnsi="宋体" w:cs="宋体" w:eastAsia="宋体" w:hint="default"/>
        </w:rPr>
        <w:t>10</w:t>
      </w:r>
      <w:r>
        <w:rPr>
          <w:rFonts w:ascii="宋体" w:hAnsi="宋体" w:cs="宋体" w:eastAsia="宋体" w:hint="default"/>
          <w:spacing w:val="-52"/>
        </w:rPr>
        <w:t> </w:t>
      </w:r>
      <w:r>
        <w:rPr/>
        <w:t>亿设备，进一步巩固并完善了自身的安</w:t>
      </w:r>
      <w:r>
        <w:rPr>
          <w:w w:val="100"/>
        </w:rPr>
        <w:t> </w:t>
      </w:r>
      <w:r>
        <w:rPr>
          <w:spacing w:val="-9"/>
          <w:w w:val="100"/>
        </w:rPr>
        <w:t>全大数据体系。</w:t>
      </w:r>
      <w:r>
        <w:rPr>
          <w:rFonts w:ascii="宋体" w:hAnsi="宋体" w:cs="宋体" w:eastAsia="宋体" w:hint="default"/>
          <w:spacing w:val="-9"/>
          <w:w w:val="100"/>
        </w:rPr>
        <w:t>2018</w:t>
      </w:r>
      <w:r>
        <w:rPr>
          <w:rFonts w:ascii="宋体" w:hAnsi="宋体" w:cs="宋体" w:eastAsia="宋体" w:hint="default"/>
          <w:spacing w:val="-36"/>
          <w:w w:val="100"/>
        </w:rPr>
        <w:t> </w:t>
      </w:r>
      <w:r>
        <w:rPr>
          <w:spacing w:val="-7"/>
          <w:w w:val="100"/>
        </w:rPr>
        <w:t>年，秉承“守护天下开发者”的意愿，三六零发布了主攻移动安全的品牌“天</w:t>
      </w:r>
      <w:r>
        <w:rPr>
          <w:spacing w:val="-97"/>
          <w:w w:val="100"/>
        </w:rPr>
        <w:t> </w:t>
      </w:r>
      <w:r>
        <w:rPr>
          <w:spacing w:val="-97"/>
          <w:w w:val="100"/>
        </w:rPr>
      </w:r>
      <w:r>
        <w:rPr/>
        <w:t>御”和威胁感知平台“问天”，以帮助客户有效应对移动互联网的安全挑战。</w:t>
      </w:r>
    </w:p>
    <w:p>
      <w:pPr>
        <w:pStyle w:val="BodyText"/>
        <w:spacing w:line="357" w:lineRule="auto" w:before="30"/>
        <w:ind w:left="558" w:right="0"/>
        <w:jc w:val="left"/>
      </w:pPr>
      <w:r>
        <w:rPr/>
        <w:t>（</w:t>
      </w:r>
      <w:r>
        <w:rPr>
          <w:rFonts w:ascii="宋体" w:hAnsi="宋体" w:cs="宋体" w:eastAsia="宋体" w:hint="default"/>
        </w:rPr>
        <w:t>3</w:t>
      </w:r>
      <w:r>
        <w:rPr/>
        <w:t>）家庭及个人用户安全领域</w:t>
      </w:r>
      <w:r>
        <w:rPr>
          <w:w w:val="100"/>
        </w:rPr>
        <w:t> </w:t>
      </w:r>
      <w:r>
        <w:rPr>
          <w:spacing w:val="-2"/>
        </w:rPr>
        <w:t>安全是互联网用户的基本需求，网络安全与每个人的生活息息相关。三六零通过向用户免费</w:t>
      </w:r>
    </w:p>
    <w:p>
      <w:pPr>
        <w:pStyle w:val="BodyText"/>
        <w:spacing w:line="355" w:lineRule="auto" w:before="30"/>
        <w:ind w:right="110"/>
        <w:jc w:val="both"/>
      </w:pPr>
      <w:r>
        <w:rPr/>
        <w:t>提供从</w:t>
      </w:r>
      <w:r>
        <w:rPr>
          <w:spacing w:val="-31"/>
        </w:rPr>
        <w:t> </w:t>
      </w:r>
      <w:r>
        <w:rPr>
          <w:rFonts w:ascii="宋体" w:hAnsi="宋体" w:cs="宋体" w:eastAsia="宋体" w:hint="default"/>
        </w:rPr>
        <w:t>PC</w:t>
      </w:r>
      <w:r>
        <w:rPr>
          <w:rFonts w:ascii="宋体" w:hAnsi="宋体" w:cs="宋体" w:eastAsia="宋体" w:hint="default"/>
          <w:spacing w:val="-34"/>
        </w:rPr>
        <w:t> </w:t>
      </w:r>
      <w:r>
        <w:rPr>
          <w:spacing w:val="-4"/>
        </w:rPr>
        <w:t>端到移动端的一揽子互联网安全产品和服务，打造连接互联网的安全入口，积累了大量</w:t>
      </w:r>
      <w:r>
        <w:rPr>
          <w:spacing w:val="-97"/>
        </w:rPr>
        <w:t> </w:t>
      </w:r>
      <w:r>
        <w:rPr>
          <w:spacing w:val="-97"/>
        </w:rPr>
      </w:r>
      <w:r>
        <w:rPr/>
        <w:t>忠实用户。</w:t>
      </w:r>
    </w:p>
    <w:p>
      <w:pPr>
        <w:pStyle w:val="BodyText"/>
        <w:spacing w:line="357" w:lineRule="auto" w:before="32"/>
        <w:ind w:right="108" w:firstLine="419"/>
        <w:jc w:val="both"/>
      </w:pPr>
      <w:r>
        <w:rPr/>
        <w:t>互联网安全产品是公司服务于广大互联网用户的主要载体，公司旗下的 </w:t>
      </w:r>
      <w:r>
        <w:rPr>
          <w:rFonts w:ascii="宋体" w:hAnsi="宋体" w:cs="宋体" w:eastAsia="宋体" w:hint="default"/>
        </w:rPr>
        <w:t>360</w:t>
      </w:r>
      <w:r>
        <w:rPr>
          <w:rFonts w:ascii="宋体" w:hAnsi="宋体" w:cs="宋体" w:eastAsia="宋体" w:hint="default"/>
          <w:spacing w:val="8"/>
        </w:rPr>
        <w:t> </w:t>
      </w:r>
      <w:r>
        <w:rPr/>
        <w:t>安全卫士、</w:t>
      </w:r>
      <w:r>
        <w:rPr>
          <w:rFonts w:ascii="宋体" w:hAnsi="宋体" w:cs="宋体" w:eastAsia="宋体" w:hint="default"/>
        </w:rPr>
        <w:t>360</w:t>
      </w:r>
      <w:r>
        <w:rPr>
          <w:rFonts w:ascii="宋体" w:hAnsi="宋体" w:cs="宋体" w:eastAsia="宋体" w:hint="default"/>
          <w:w w:val="100"/>
        </w:rPr>
        <w:t> </w:t>
      </w:r>
      <w:r>
        <w:rPr/>
        <w:t>手机卫士、</w:t>
      </w:r>
      <w:r>
        <w:rPr>
          <w:rFonts w:ascii="宋体" w:hAnsi="宋体" w:cs="宋体" w:eastAsia="宋体" w:hint="default"/>
        </w:rPr>
        <w:t>360</w:t>
      </w:r>
      <w:r>
        <w:rPr>
          <w:rFonts w:ascii="宋体" w:hAnsi="宋体" w:cs="宋体" w:eastAsia="宋体" w:hint="default"/>
          <w:spacing w:val="-41"/>
        </w:rPr>
        <w:t> </w:t>
      </w:r>
      <w:r>
        <w:rPr/>
        <w:t>杀毒、</w:t>
      </w:r>
      <w:r>
        <w:rPr>
          <w:rFonts w:ascii="宋体" w:hAnsi="宋体" w:cs="宋体" w:eastAsia="宋体" w:hint="default"/>
        </w:rPr>
        <w:t>360</w:t>
      </w:r>
      <w:r>
        <w:rPr>
          <w:rFonts w:ascii="宋体" w:hAnsi="宋体" w:cs="宋体" w:eastAsia="宋体" w:hint="default"/>
          <w:spacing w:val="-43"/>
        </w:rPr>
        <w:t> </w:t>
      </w:r>
      <w:r>
        <w:rPr/>
        <w:t>清理大师、</w:t>
      </w:r>
      <w:r>
        <w:rPr>
          <w:rFonts w:ascii="宋体" w:hAnsi="宋体" w:cs="宋体" w:eastAsia="宋体" w:hint="default"/>
        </w:rPr>
        <w:t>360</w:t>
      </w:r>
      <w:r>
        <w:rPr>
          <w:rFonts w:ascii="宋体" w:hAnsi="宋体" w:cs="宋体" w:eastAsia="宋体" w:hint="default"/>
          <w:spacing w:val="-41"/>
        </w:rPr>
        <w:t> </w:t>
      </w:r>
      <w:r>
        <w:rPr/>
        <w:t>安全浏览器、</w:t>
      </w:r>
      <w:r>
        <w:rPr>
          <w:rFonts w:ascii="宋体" w:hAnsi="宋体" w:cs="宋体" w:eastAsia="宋体" w:hint="default"/>
        </w:rPr>
        <w:t>360</w:t>
      </w:r>
      <w:r>
        <w:rPr>
          <w:rFonts w:ascii="宋体" w:hAnsi="宋体" w:cs="宋体" w:eastAsia="宋体" w:hint="default"/>
          <w:spacing w:val="-43"/>
        </w:rPr>
        <w:t> </w:t>
      </w:r>
      <w:r>
        <w:rPr/>
        <w:t>手机助手、</w:t>
      </w:r>
      <w:r>
        <w:rPr>
          <w:rFonts w:ascii="宋体" w:hAnsi="宋体" w:cs="宋体" w:eastAsia="宋体" w:hint="default"/>
        </w:rPr>
        <w:t>360</w:t>
      </w:r>
      <w:r>
        <w:rPr>
          <w:rFonts w:ascii="宋体" w:hAnsi="宋体" w:cs="宋体" w:eastAsia="宋体" w:hint="default"/>
          <w:spacing w:val="-43"/>
        </w:rPr>
        <w:t> </w:t>
      </w:r>
      <w:r>
        <w:rPr/>
        <w:t>软件管家等系列产品</w:t>
      </w:r>
      <w:r>
        <w:rPr>
          <w:w w:val="100"/>
        </w:rPr>
        <w:t> </w:t>
      </w:r>
      <w:r>
        <w:rPr/>
        <w:t>深受用户好评，“360”已成为国内家喻户晓的网络安全领导品牌。</w:t>
      </w:r>
    </w:p>
    <w:p>
      <w:pPr>
        <w:pStyle w:val="BodyText"/>
        <w:spacing w:line="357" w:lineRule="auto" w:before="30"/>
        <w:ind w:right="108" w:firstLine="419"/>
        <w:jc w:val="both"/>
      </w:pPr>
      <w:r>
        <w:rPr>
          <w:spacing w:val="-2"/>
        </w:rPr>
        <w:t>同时，围绕用户家庭安全，三六零推出了家庭防火墙、智能摄像机、行车记录仪、智能儿童</w:t>
      </w:r>
      <w:r>
        <w:rPr>
          <w:w w:val="100"/>
        </w:rPr>
        <w:t> </w:t>
      </w:r>
      <w:r>
        <w:rPr>
          <w:spacing w:val="-1"/>
        </w:rPr>
        <w:t>手表、智能门锁、智能门铃、扫地机器人等一系列智能硬件产品，致力于为“中坚力量”提供智</w:t>
      </w:r>
      <w:r>
        <w:rPr>
          <w:spacing w:val="-55"/>
        </w:rPr>
        <w:t> </w:t>
      </w:r>
      <w:r>
        <w:rPr>
          <w:spacing w:val="-55"/>
        </w:rPr>
      </w:r>
      <w:r>
        <w:rPr>
          <w:spacing w:val="-1"/>
        </w:rPr>
        <w:t>能、安心的生活解决方案，全方位守护家庭安全、儿童安全、老人安全和出行安全，让用户享受</w:t>
      </w:r>
      <w:r>
        <w:rPr>
          <w:spacing w:val="-55"/>
        </w:rPr>
        <w:t> </w:t>
      </w:r>
      <w:r>
        <w:rPr>
          <w:spacing w:val="-55"/>
        </w:rPr>
      </w:r>
      <w:r>
        <w:rPr/>
        <w:t>安全、安心、安康的智能家居生活。</w:t>
      </w:r>
    </w:p>
    <w:p>
      <w:pPr>
        <w:spacing w:line="355" w:lineRule="auto" w:before="30"/>
        <w:ind w:left="558" w:right="102"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、信息获取和内容变现产品</w:t>
      </w:r>
      <w:r>
        <w:rPr>
          <w:rFonts w:ascii="宋体" w:hAnsi="宋体" w:cs="宋体" w:eastAsia="宋体" w:hint="default"/>
          <w:b/>
          <w:bCs/>
          <w:w w:val="100"/>
          <w:sz w:val="21"/>
          <w:szCs w:val="21"/>
        </w:rPr>
        <w:t> </w:t>
      </w:r>
      <w:r>
        <w:rPr>
          <w:rFonts w:ascii="宋体" w:hAnsi="宋体" w:cs="宋体" w:eastAsia="宋体" w:hint="default"/>
          <w:sz w:val="21"/>
          <w:szCs w:val="21"/>
        </w:rPr>
        <w:t>三六零以安全产品为根基拓展了信息获取类产品和内容类产品。信息获取产品主要包括</w:t>
      </w:r>
      <w:r>
        <w:rPr>
          <w:rFonts w:ascii="宋体" w:hAnsi="宋体" w:cs="宋体" w:eastAsia="宋体" w:hint="default"/>
          <w:spacing w:val="6"/>
          <w:sz w:val="21"/>
          <w:szCs w:val="21"/>
        </w:rPr>
        <w:t> </w:t>
      </w:r>
      <w:r>
        <w:rPr>
          <w:rFonts w:ascii="宋体" w:hAnsi="宋体" w:cs="宋体" w:eastAsia="宋体" w:hint="default"/>
          <w:sz w:val="21"/>
          <w:szCs w:val="21"/>
        </w:rPr>
        <w:t>360</w:t>
      </w:r>
    </w:p>
    <w:p>
      <w:pPr>
        <w:pStyle w:val="BodyText"/>
        <w:spacing w:line="357" w:lineRule="auto" w:before="32"/>
        <w:ind w:right="107"/>
        <w:jc w:val="both"/>
      </w:pPr>
      <w:r>
        <w:rPr>
          <w:spacing w:val="-1"/>
        </w:rPr>
        <w:t>导航、搜索、浏览器等业务；内容类产品主要包括信息流、资讯类产品、游戏等。其中，在信息</w:t>
      </w:r>
      <w:r>
        <w:rPr>
          <w:spacing w:val="-55"/>
        </w:rPr>
        <w:t> </w:t>
      </w:r>
      <w:r>
        <w:rPr>
          <w:spacing w:val="-55"/>
        </w:rPr>
      </w:r>
      <w:r>
        <w:rPr/>
        <w:t>获取方面，</w:t>
      </w:r>
      <w:r>
        <w:rPr>
          <w:rFonts w:ascii="宋体" w:hAnsi="宋体" w:cs="宋体" w:eastAsia="宋体" w:hint="default"/>
        </w:rPr>
        <w:t>360</w:t>
      </w:r>
      <w:r>
        <w:rPr>
          <w:rFonts w:ascii="宋体" w:hAnsi="宋体" w:cs="宋体" w:eastAsia="宋体" w:hint="default"/>
          <w:spacing w:val="5"/>
        </w:rPr>
        <w:t> </w:t>
      </w:r>
      <w:r>
        <w:rPr/>
        <w:t>导航主要为用户提供门户、新闻、视频等各种分类的优质内容和网站入口；搜索</w:t>
      </w:r>
      <w:r>
        <w:rPr>
          <w:w w:val="100"/>
        </w:rPr>
        <w:t> </w:t>
      </w:r>
      <w:r>
        <w:rPr>
          <w:spacing w:val="-1"/>
        </w:rPr>
        <w:t>主要满足用户安全性、个性化的搜索需求；浏览器产品则凭借安全、极速、便捷的用户体验成为</w:t>
      </w:r>
      <w:r>
        <w:rPr>
          <w:spacing w:val="-55"/>
        </w:rPr>
        <w:t> </w:t>
      </w:r>
      <w:r>
        <w:rPr>
          <w:spacing w:val="-55"/>
        </w:rPr>
      </w:r>
      <w:r>
        <w:rPr>
          <w:spacing w:val="-1"/>
        </w:rPr>
        <w:t>各项软件产品的主要载体。上述业务有效拓展了公司的互联网服务范围，增强了对用户画像的精</w:t>
      </w:r>
      <w:r>
        <w:rPr>
          <w:spacing w:val="-55"/>
        </w:rPr>
        <w:t> </w:t>
      </w:r>
      <w:r>
        <w:rPr>
          <w:spacing w:val="-55"/>
        </w:rPr>
      </w:r>
      <w:r>
        <w:rPr>
          <w:spacing w:val="-6"/>
          <w:w w:val="100"/>
        </w:rPr>
        <w:t>准把握，提升了用户粘性和公司商业化精准服务能力。公司已逐渐形成了从信息安全到信息获取、</w:t>
      </w:r>
      <w:r>
        <w:rPr>
          <w:w w:val="100"/>
        </w:rPr>
        <w:t> </w:t>
      </w:r>
      <w:r>
        <w:rPr/>
        <w:t>内容聚合的完整安全信息、内容服务链条。</w:t>
      </w:r>
    </w:p>
    <w:p>
      <w:pPr>
        <w:spacing w:after="0" w:line="357" w:lineRule="auto"/>
        <w:jc w:val="both"/>
        <w:sectPr>
          <w:pgSz w:w="11910" w:h="16840"/>
          <w:pgMar w:header="855" w:footer="1217" w:top="1320" w:bottom="1400" w:left="1660" w:right="1160"/>
        </w:sectPr>
      </w:pPr>
    </w:p>
    <w:p>
      <w:pPr>
        <w:spacing w:line="240" w:lineRule="auto" w:before="4"/>
        <w:rPr>
          <w:rFonts w:ascii="宋体" w:hAnsi="宋体" w:cs="宋体" w:eastAsia="宋体" w:hint="default"/>
          <w:sz w:val="9"/>
          <w:szCs w:val="9"/>
        </w:rPr>
      </w:pPr>
    </w:p>
    <w:p>
      <w:pPr>
        <w:pStyle w:val="BodyText"/>
        <w:spacing w:line="357" w:lineRule="auto" w:before="36"/>
        <w:ind w:left="218" w:right="228" w:firstLine="419"/>
        <w:jc w:val="both"/>
      </w:pPr>
      <w:r>
        <w:rPr>
          <w:spacing w:val="-2"/>
        </w:rPr>
        <w:t>在此基础上，公司开拓的商业化产品及服务体系主要包括互联网广告及服务、互联网增值服</w:t>
      </w:r>
      <w:r>
        <w:rPr>
          <w:w w:val="100"/>
        </w:rPr>
        <w:t> </w:t>
      </w:r>
      <w:r>
        <w:rPr>
          <w:spacing w:val="-9"/>
        </w:rPr>
        <w:t>务（以游戏业务为主）等。三六零采用“免费提供安全产品</w:t>
      </w:r>
      <w:r>
        <w:rPr>
          <w:rFonts w:ascii="宋体" w:hAnsi="宋体" w:cs="宋体" w:eastAsia="宋体" w:hint="default"/>
          <w:spacing w:val="-9"/>
        </w:rPr>
        <w:t>+</w:t>
      </w:r>
      <w:r>
        <w:rPr>
          <w:spacing w:val="-9"/>
        </w:rPr>
        <w:t>商业化变现”的模式经营并获取收入，</w:t>
      </w:r>
      <w:r>
        <w:rPr>
          <w:spacing w:val="-22"/>
        </w:rPr>
        <w:t> </w:t>
      </w:r>
      <w:r>
        <w:rPr>
          <w:spacing w:val="-22"/>
        </w:rPr>
      </w:r>
      <w:r>
        <w:rPr>
          <w:spacing w:val="-1"/>
        </w:rPr>
        <w:t>免费且高品质的安全服务、信息获取及内容类产品使三六零获得了深厚的用户基础及有效的流量</w:t>
      </w:r>
      <w:r>
        <w:rPr>
          <w:spacing w:val="-55"/>
        </w:rPr>
        <w:t> </w:t>
      </w:r>
      <w:r>
        <w:rPr>
          <w:spacing w:val="-55"/>
        </w:rPr>
      </w:r>
      <w:r>
        <w:rPr/>
        <w:t>入口，为三六零商业化产品及服务提供了载体。</w:t>
      </w:r>
    </w:p>
    <w:p>
      <w:pPr>
        <w:spacing w:line="355" w:lineRule="auto" w:before="30"/>
        <w:ind w:left="638" w:right="234"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z w:val="21"/>
          <w:szCs w:val="21"/>
        </w:rPr>
        <w:t>IoT</w:t>
      </w:r>
      <w:r>
        <w:rPr>
          <w:rFonts w:ascii="宋体" w:hAnsi="宋体" w:cs="宋体" w:eastAsia="宋体" w:hint="default"/>
          <w:b/>
          <w:bCs/>
          <w:spacing w:val="-54"/>
          <w:sz w:val="21"/>
          <w:szCs w:val="21"/>
        </w:rPr>
        <w:t> </w:t>
      </w:r>
      <w:r>
        <w:rPr>
          <w:rFonts w:ascii="宋体" w:hAnsi="宋体" w:cs="宋体" w:eastAsia="宋体" w:hint="default"/>
          <w:b/>
          <w:bCs/>
          <w:sz w:val="21"/>
          <w:szCs w:val="21"/>
        </w:rPr>
        <w:t>物联网安全产品及服务</w:t>
      </w:r>
      <w:r>
        <w:rPr>
          <w:rFonts w:ascii="宋体" w:hAnsi="宋体" w:cs="宋体" w:eastAsia="宋体" w:hint="default"/>
          <w:b/>
          <w:bCs/>
          <w:w w:val="100"/>
          <w:sz w:val="21"/>
          <w:szCs w:val="21"/>
        </w:rPr>
        <w:t> </w:t>
      </w:r>
      <w:r>
        <w:rPr>
          <w:rFonts w:ascii="宋体" w:hAnsi="宋体" w:cs="宋体" w:eastAsia="宋体" w:hint="default"/>
          <w:spacing w:val="-2"/>
          <w:sz w:val="21"/>
          <w:szCs w:val="21"/>
        </w:rPr>
        <w:t>随着万物互联时代的到来，智能硬件、智能家居、工业互联网等设备实现联网，导致网络攻</w:t>
      </w:r>
    </w:p>
    <w:p>
      <w:pPr>
        <w:pStyle w:val="BodyText"/>
        <w:spacing w:line="357" w:lineRule="auto" w:before="34"/>
        <w:ind w:left="218" w:right="228"/>
        <w:jc w:val="both"/>
      </w:pPr>
      <w:r>
        <w:rPr>
          <w:spacing w:val="-1"/>
        </w:rPr>
        <w:t>击威胁范围不断扩大，互联网及物联网的整体防护难度大大增加。三六零提前布局，积极投入研</w:t>
      </w:r>
      <w:r>
        <w:rPr>
          <w:spacing w:val="-56"/>
        </w:rPr>
        <w:t> </w:t>
      </w:r>
      <w:r>
        <w:rPr>
          <w:spacing w:val="-56"/>
        </w:rPr>
      </w:r>
      <w:r>
        <w:rPr>
          <w:spacing w:val="-1"/>
        </w:rPr>
        <w:t>发资源，在智能硬件安全、车联网安全、工业互联网安全、无线电安全等研究领域取得了多项突</w:t>
      </w:r>
      <w:r>
        <w:rPr>
          <w:spacing w:val="-55"/>
        </w:rPr>
        <w:t> </w:t>
      </w:r>
      <w:r>
        <w:rPr>
          <w:spacing w:val="-55"/>
        </w:rPr>
      </w:r>
      <w:r>
        <w:rPr/>
        <w:t>破，积累了丰富经验，并居于行业领先地位。</w:t>
      </w:r>
    </w:p>
    <w:p>
      <w:pPr>
        <w:pStyle w:val="BodyText"/>
        <w:spacing w:line="357" w:lineRule="auto" w:before="30"/>
        <w:ind w:left="218" w:right="228" w:firstLine="419"/>
        <w:jc w:val="both"/>
      </w:pPr>
      <w:r>
        <w:rPr>
          <w:rFonts w:ascii="宋体" w:hAnsi="宋体" w:cs="宋体" w:eastAsia="宋体" w:hint="default"/>
        </w:rPr>
        <w:t>IoT</w:t>
      </w:r>
      <w:r>
        <w:rPr>
          <w:rFonts w:ascii="宋体" w:hAnsi="宋体" w:cs="宋体" w:eastAsia="宋体" w:hint="default"/>
          <w:spacing w:val="4"/>
        </w:rPr>
        <w:t> </w:t>
      </w:r>
      <w:r>
        <w:rPr/>
        <w:t>物联网安全产品及服务是三六零的重要业务方向之一，公司在传统互联网安全业务基础</w:t>
      </w:r>
      <w:r>
        <w:rPr>
          <w:w w:val="100"/>
        </w:rPr>
        <w:t> </w:t>
      </w:r>
      <w:r>
        <w:rPr>
          <w:spacing w:val="-1"/>
        </w:rPr>
        <w:t>上，不断拓展业务边界，设计研发出家庭防火墙、智能摄像机、行车记录仪、智能儿童手表、智</w:t>
      </w:r>
      <w:r>
        <w:rPr>
          <w:spacing w:val="-55"/>
        </w:rPr>
        <w:t> </w:t>
      </w:r>
      <w:r>
        <w:rPr>
          <w:spacing w:val="-55"/>
        </w:rPr>
      </w:r>
      <w:r>
        <w:rPr/>
        <w:t>能门锁、可视门铃、扫地机器人等一系列智能硬件，全面保障用户的家庭生活安全。</w:t>
      </w:r>
    </w:p>
    <w:p>
      <w:pPr>
        <w:pStyle w:val="BodyText"/>
        <w:spacing w:line="357" w:lineRule="auto" w:before="30"/>
        <w:ind w:left="218" w:right="227" w:firstLine="419"/>
        <w:jc w:val="both"/>
      </w:pPr>
      <w:r>
        <w:rPr/>
        <w:t>在车联网安全领域，三六零拥有国内首支专注于汽车信息安全研究领域的安全团队——</w:t>
      </w:r>
      <w:r>
        <w:rPr>
          <w:rFonts w:ascii="宋体" w:hAnsi="宋体" w:cs="宋体" w:eastAsia="宋体" w:hint="default"/>
        </w:rPr>
        <w:t>360</w:t>
      </w:r>
      <w:r>
        <w:rPr>
          <w:rFonts w:ascii="宋体" w:hAnsi="宋体" w:cs="宋体" w:eastAsia="宋体" w:hint="default"/>
          <w:w w:val="100"/>
        </w:rPr>
        <w:t> </w:t>
      </w:r>
      <w:r>
        <w:rPr/>
        <w:t>智能网联汽车信息安全实验室（</w:t>
      </w:r>
      <w:r>
        <w:rPr>
          <w:rFonts w:ascii="宋体" w:hAnsi="宋体" w:cs="宋体" w:eastAsia="宋体" w:hint="default"/>
        </w:rPr>
        <w:t>SKYGO</w:t>
      </w:r>
      <w:r>
        <w:rPr>
          <w:rFonts w:ascii="宋体" w:hAnsi="宋体" w:cs="宋体" w:eastAsia="宋体" w:hint="default"/>
          <w:spacing w:val="7"/>
        </w:rPr>
        <w:t> </w:t>
      </w:r>
      <w:r>
        <w:rPr>
          <w:rFonts w:ascii="宋体" w:hAnsi="宋体" w:cs="宋体" w:eastAsia="宋体" w:hint="default"/>
        </w:rPr>
        <w:t>Team</w:t>
      </w:r>
      <w:r>
        <w:rPr/>
        <w:t>），该实验室专注于智能汽车漏洞挖掘与安全研究，</w:t>
      </w:r>
      <w:r>
        <w:rPr>
          <w:w w:val="100"/>
        </w:rPr>
        <w:t> </w:t>
      </w:r>
      <w:r>
        <w:rPr>
          <w:spacing w:val="-1"/>
        </w:rPr>
        <w:t>是全球首个破解特斯拉系统并获得官方致谢的团队。三六零针对智能网联汽车提供安全评估及整</w:t>
      </w:r>
      <w:r>
        <w:rPr>
          <w:spacing w:val="-55"/>
        </w:rPr>
        <w:t> </w:t>
      </w:r>
      <w:r>
        <w:rPr>
          <w:spacing w:val="-55"/>
        </w:rPr>
      </w:r>
      <w:r>
        <w:rPr>
          <w:spacing w:val="-1"/>
        </w:rPr>
        <w:t>体安全解决方案，通过产品开发、方案集成等方式向国内自主品牌联网汽车提供安全服务保障，</w:t>
      </w:r>
      <w:r>
        <w:rPr>
          <w:spacing w:val="-55"/>
        </w:rPr>
        <w:t> </w:t>
      </w:r>
      <w:r>
        <w:rPr>
          <w:spacing w:val="-55"/>
        </w:rPr>
      </w:r>
      <w:r>
        <w:rPr/>
        <w:t>全方位保护万物互联时代的汽车信息安全。</w:t>
      </w:r>
    </w:p>
    <w:p>
      <w:pPr>
        <w:spacing w:line="240" w:lineRule="auto" w:before="0"/>
        <w:rPr>
          <w:rFonts w:ascii="宋体" w:hAnsi="宋体" w:cs="宋体" w:eastAsia="宋体" w:hint="default"/>
          <w:sz w:val="20"/>
          <w:szCs w:val="20"/>
        </w:rPr>
      </w:pPr>
    </w:p>
    <w:p>
      <w:pPr>
        <w:pStyle w:val="Heading5"/>
        <w:spacing w:line="240" w:lineRule="auto" w:before="140"/>
        <w:ind w:right="0"/>
        <w:jc w:val="both"/>
        <w:rPr>
          <w:b w:val="0"/>
          <w:bCs w:val="0"/>
        </w:rPr>
      </w:pPr>
      <w:r>
        <w:rPr/>
        <w:t>二、报告期内公司主要资产发生重大变化情况的说明</w:t>
      </w:r>
      <w:r>
        <w:rPr>
          <w:b w:val="0"/>
          <w:bCs w:val="0"/>
        </w:rPr>
      </w:r>
    </w:p>
    <w:p>
      <w:pPr>
        <w:pStyle w:val="BodyText"/>
        <w:spacing w:line="240" w:lineRule="auto" w:before="56"/>
        <w:ind w:left="218" w:right="0"/>
        <w:jc w:val="both"/>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tabs>
          <w:tab w:pos="1260" w:val="left" w:leader="none"/>
        </w:tabs>
        <w:spacing w:line="240" w:lineRule="auto"/>
        <w:ind w:left="0" w:right="347"/>
        <w:jc w:val="right"/>
      </w:pPr>
      <w:r>
        <w:rPr>
          <w:spacing w:val="-2"/>
        </w:rPr>
        <w:t>单位：千元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099"/>
        <w:gridCol w:w="1421"/>
        <w:gridCol w:w="1416"/>
        <w:gridCol w:w="1275"/>
        <w:gridCol w:w="3838"/>
      </w:tblGrid>
      <w:tr>
        <w:trPr>
          <w:trHeight w:val="564" w:hRule="exact"/>
        </w:trPr>
        <w:tc>
          <w:tcPr>
            <w:tcW w:w="10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2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hAnsi="宋体" w:cs="宋体" w:eastAsia="宋体" w:hint="default"/>
                <w:sz w:val="21"/>
                <w:szCs w:val="21"/>
              </w:rPr>
              <w:t>增减比例</w:t>
            </w:r>
          </w:p>
        </w:tc>
        <w:tc>
          <w:tcPr>
            <w:tcW w:w="38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1112" w:hRule="exact"/>
        </w:trPr>
        <w:tc>
          <w:tcPr>
            <w:tcW w:w="10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9" w:right="0"/>
              <w:jc w:val="left"/>
              <w:rPr>
                <w:rFonts w:ascii="宋体" w:hAnsi="宋体" w:cs="宋体" w:eastAsia="宋体" w:hint="default"/>
                <w:sz w:val="21"/>
                <w:szCs w:val="21"/>
              </w:rPr>
            </w:pPr>
            <w:r>
              <w:rPr>
                <w:rFonts w:ascii="宋体"/>
                <w:sz w:val="21"/>
              </w:rPr>
              <w:t>14,976,988</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4" w:right="0"/>
              <w:jc w:val="left"/>
              <w:rPr>
                <w:rFonts w:ascii="宋体" w:hAnsi="宋体" w:cs="宋体" w:eastAsia="宋体" w:hint="default"/>
                <w:sz w:val="21"/>
                <w:szCs w:val="21"/>
              </w:rPr>
            </w:pPr>
            <w:r>
              <w:rPr>
                <w:rFonts w:ascii="宋体"/>
                <w:sz w:val="21"/>
              </w:rPr>
              <w:t>10,012,695</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5" w:right="0"/>
              <w:jc w:val="left"/>
              <w:rPr>
                <w:rFonts w:ascii="宋体" w:hAnsi="宋体" w:cs="宋体" w:eastAsia="宋体" w:hint="default"/>
                <w:sz w:val="21"/>
                <w:szCs w:val="21"/>
              </w:rPr>
            </w:pPr>
            <w:r>
              <w:rPr>
                <w:rFonts w:ascii="宋体"/>
                <w:sz w:val="21"/>
              </w:rPr>
              <w:t>49.58%</w:t>
            </w:r>
          </w:p>
        </w:tc>
        <w:tc>
          <w:tcPr>
            <w:tcW w:w="383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pacing w:val="-5"/>
                <w:sz w:val="21"/>
                <w:szCs w:val="21"/>
              </w:rPr>
              <w:t>本年增加主要为：</w:t>
            </w:r>
            <w:r>
              <w:rPr>
                <w:rFonts w:ascii="宋体" w:hAnsi="宋体" w:cs="宋体" w:eastAsia="宋体" w:hint="default"/>
                <w:spacing w:val="-5"/>
                <w:sz w:val="21"/>
                <w:szCs w:val="21"/>
              </w:rPr>
              <w:t>1</w:t>
            </w:r>
            <w:r>
              <w:rPr>
                <w:rFonts w:ascii="宋体" w:hAnsi="宋体" w:cs="宋体" w:eastAsia="宋体" w:hint="default"/>
                <w:spacing w:val="-5"/>
                <w:sz w:val="21"/>
                <w:szCs w:val="21"/>
              </w:rPr>
              <w:t>）经营活动产生现金</w:t>
            </w:r>
          </w:p>
          <w:p>
            <w:pPr>
              <w:pStyle w:val="TableParagraph"/>
              <w:spacing w:line="237" w:lineRule="auto" w:before="2"/>
              <w:ind w:left="98" w:right="91"/>
              <w:jc w:val="left"/>
              <w:rPr>
                <w:rFonts w:ascii="宋体" w:hAnsi="宋体" w:cs="宋体" w:eastAsia="宋体" w:hint="default"/>
                <w:sz w:val="21"/>
                <w:szCs w:val="21"/>
              </w:rPr>
            </w:pPr>
            <w:r>
              <w:rPr>
                <w:rFonts w:ascii="宋体" w:hAnsi="宋体" w:cs="宋体" w:eastAsia="宋体" w:hint="default"/>
                <w:sz w:val="21"/>
                <w:szCs w:val="21"/>
              </w:rPr>
              <w:t>流量净额</w:t>
            </w:r>
            <w:r>
              <w:rPr>
                <w:rFonts w:ascii="宋体" w:hAnsi="宋体" w:cs="宋体" w:eastAsia="宋体" w:hint="default"/>
                <w:spacing w:val="-47"/>
                <w:sz w:val="21"/>
                <w:szCs w:val="21"/>
              </w:rPr>
              <w:t> </w:t>
            </w:r>
            <w:r>
              <w:rPr>
                <w:rFonts w:ascii="宋体" w:hAnsi="宋体" w:cs="宋体" w:eastAsia="宋体" w:hint="default"/>
                <w:sz w:val="21"/>
                <w:szCs w:val="21"/>
              </w:rPr>
              <w:t>37.48</w:t>
            </w:r>
            <w:r>
              <w:rPr>
                <w:rFonts w:ascii="宋体" w:hAnsi="宋体" w:cs="宋体" w:eastAsia="宋体" w:hint="default"/>
                <w:spacing w:val="-50"/>
                <w:sz w:val="21"/>
                <w:szCs w:val="21"/>
              </w:rPr>
              <w:t> </w:t>
            </w:r>
            <w:r>
              <w:rPr>
                <w:rFonts w:ascii="宋体" w:hAnsi="宋体" w:cs="宋体" w:eastAsia="宋体" w:hint="default"/>
                <w:spacing w:val="-6"/>
                <w:sz w:val="21"/>
                <w:szCs w:val="21"/>
              </w:rPr>
              <w:t>亿；</w:t>
            </w:r>
            <w:r>
              <w:rPr>
                <w:rFonts w:ascii="宋体" w:hAnsi="宋体" w:cs="宋体" w:eastAsia="宋体" w:hint="default"/>
                <w:spacing w:val="-6"/>
                <w:sz w:val="21"/>
                <w:szCs w:val="21"/>
              </w:rPr>
              <w:t>2</w:t>
            </w:r>
            <w:r>
              <w:rPr>
                <w:rFonts w:ascii="宋体" w:hAnsi="宋体" w:cs="宋体" w:eastAsia="宋体" w:hint="default"/>
                <w:spacing w:val="-6"/>
                <w:sz w:val="21"/>
                <w:szCs w:val="21"/>
              </w:rPr>
              <w:t>）收到苏州工业园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区江南嘉捷机电科技有限公司支付的</w:t>
            </w:r>
            <w:r>
              <w:rPr>
                <w:rFonts w:ascii="宋体" w:hAnsi="宋体" w:cs="宋体" w:eastAsia="宋体" w:hint="default"/>
                <w:w w:val="100"/>
                <w:sz w:val="21"/>
                <w:szCs w:val="21"/>
              </w:rPr>
              <w:t> </w:t>
            </w:r>
            <w:r>
              <w:rPr>
                <w:rFonts w:ascii="宋体" w:hAnsi="宋体" w:cs="宋体" w:eastAsia="宋体" w:hint="default"/>
                <w:sz w:val="21"/>
                <w:szCs w:val="21"/>
              </w:rPr>
              <w:t>16.90</w:t>
            </w:r>
            <w:r>
              <w:rPr>
                <w:rFonts w:ascii="宋体" w:hAnsi="宋体" w:cs="宋体" w:eastAsia="宋体" w:hint="default"/>
                <w:spacing w:val="-1"/>
                <w:sz w:val="21"/>
                <w:szCs w:val="21"/>
              </w:rPr>
              <w:t> </w:t>
            </w:r>
            <w:r>
              <w:rPr>
                <w:rFonts w:ascii="宋体" w:hAnsi="宋体" w:cs="宋体" w:eastAsia="宋体" w:hint="default"/>
                <w:sz w:val="21"/>
                <w:szCs w:val="21"/>
              </w:rPr>
              <w:t>亿元股权转让对价款</w:t>
            </w:r>
          </w:p>
        </w:tc>
      </w:tr>
    </w:tbl>
    <w:p>
      <w:pPr>
        <w:spacing w:line="240" w:lineRule="auto" w:before="5"/>
        <w:rPr>
          <w:rFonts w:ascii="宋体" w:hAnsi="宋体" w:cs="宋体" w:eastAsia="宋体" w:hint="default"/>
          <w:sz w:val="15"/>
          <w:szCs w:val="15"/>
        </w:rPr>
      </w:pPr>
    </w:p>
    <w:p>
      <w:pPr>
        <w:pStyle w:val="BodyText"/>
        <w:tabs>
          <w:tab w:pos="4156" w:val="left" w:leader="none"/>
        </w:tabs>
        <w:spacing w:line="240" w:lineRule="auto" w:before="36"/>
        <w:ind w:left="218" w:right="234"/>
        <w:jc w:val="left"/>
      </w:pPr>
      <w:r>
        <w:rPr/>
        <w:t>其中：境外资产</w:t>
      </w:r>
      <w:r>
        <w:rPr>
          <w:spacing w:val="-56"/>
        </w:rPr>
        <w:t> </w:t>
      </w:r>
      <w:r>
        <w:rPr>
          <w:rFonts w:ascii="宋体" w:hAnsi="宋体" w:cs="宋体" w:eastAsia="宋体" w:hint="default"/>
        </w:rPr>
        <w:t>3,614,405</w:t>
      </w:r>
      <w:r>
        <w:rPr/>
        <w:t>（单位：千元</w:t>
        <w:tab/>
        <w:t>币种：人民币），占总资产的比例为</w:t>
      </w:r>
      <w:r>
        <w:rPr>
          <w:spacing w:val="-59"/>
        </w:rPr>
        <w:t> </w:t>
      </w:r>
      <w:r>
        <w:rPr>
          <w:rFonts w:ascii="宋体" w:hAnsi="宋体" w:cs="宋体" w:eastAsia="宋体" w:hint="default"/>
        </w:rPr>
        <w:t>12.32%</w:t>
      </w:r>
      <w:r>
        <w:rPr/>
        <w:t>。</w:t>
      </w:r>
    </w:p>
    <w:p>
      <w:pPr>
        <w:spacing w:line="240" w:lineRule="auto" w:before="2"/>
        <w:rPr>
          <w:rFonts w:ascii="宋体" w:hAnsi="宋体" w:cs="宋体" w:eastAsia="宋体" w:hint="default"/>
          <w:sz w:val="28"/>
          <w:szCs w:val="28"/>
        </w:rPr>
      </w:pPr>
    </w:p>
    <w:p>
      <w:pPr>
        <w:pStyle w:val="Heading5"/>
        <w:spacing w:line="240" w:lineRule="auto"/>
        <w:ind w:right="234"/>
        <w:jc w:val="left"/>
        <w:rPr>
          <w:b w:val="0"/>
          <w:bCs w:val="0"/>
        </w:rPr>
      </w:pPr>
      <w:r>
        <w:rPr/>
        <w:t>三、报告期内核心竞争力分析</w:t>
      </w:r>
      <w:r>
        <w:rPr>
          <w:b w:val="0"/>
          <w:bCs w:val="0"/>
        </w:rPr>
      </w:r>
    </w:p>
    <w:p>
      <w:pPr>
        <w:pStyle w:val="Heading3"/>
        <w:tabs>
          <w:tab w:pos="1177" w:val="left" w:leader="none"/>
        </w:tabs>
        <w:spacing w:line="240" w:lineRule="auto" w:before="52"/>
        <w:ind w:right="234"/>
        <w:jc w:val="left"/>
      </w:pPr>
      <w:r>
        <w:rPr/>
        <w:t>√适用</w:t>
        <w:tab/>
        <w:t>□不适用</w:t>
      </w:r>
    </w:p>
    <w:p>
      <w:pPr>
        <w:tabs>
          <w:tab w:pos="1057" w:val="left" w:leader="none"/>
        </w:tabs>
        <w:spacing w:line="410" w:lineRule="auto" w:before="61"/>
        <w:ind w:left="638" w:right="234" w:hanging="42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z w:val="21"/>
          <w:szCs w:val="21"/>
        </w:rPr>
        <w:t>核心人才优势</w:t>
      </w:r>
      <w:r>
        <w:rPr>
          <w:rFonts w:ascii="宋体" w:hAnsi="宋体" w:cs="宋体" w:eastAsia="宋体" w:hint="default"/>
          <w:b/>
          <w:bCs/>
          <w:spacing w:val="-104"/>
          <w:sz w:val="21"/>
          <w:szCs w:val="21"/>
        </w:rPr>
        <w:t> </w:t>
      </w:r>
      <w:r>
        <w:rPr>
          <w:rFonts w:ascii="宋体" w:hAnsi="宋体" w:cs="宋体" w:eastAsia="宋体" w:hint="default"/>
          <w:spacing w:val="-2"/>
          <w:sz w:val="21"/>
          <w:szCs w:val="21"/>
        </w:rPr>
        <w:t>公司一直十分重视加强核心人员的培养与储备，通过建立有竞争力的薪酬福利体系，确保核</w:t>
      </w:r>
    </w:p>
    <w:p>
      <w:pPr>
        <w:pStyle w:val="BodyText"/>
        <w:spacing w:line="259" w:lineRule="exact"/>
        <w:ind w:left="218" w:right="124"/>
        <w:jc w:val="left"/>
      </w:pPr>
      <w:r>
        <w:rPr/>
        <w:t>心人员的持续稳定；通过建立优秀人才培养模式，内外相结合的培训体系，实现核心人员的成长</w:t>
      </w:r>
    </w:p>
    <w:p>
      <w:pPr>
        <w:pStyle w:val="BodyText"/>
        <w:spacing w:line="355" w:lineRule="auto" w:before="133"/>
        <w:ind w:left="218" w:right="234"/>
        <w:jc w:val="left"/>
      </w:pPr>
      <w:r>
        <w:rPr>
          <w:spacing w:val="-1"/>
        </w:rPr>
        <w:t>和梯队建设，有效地降低人才流失的风险；借鉴业界优秀管理架构，建立适合公司业务特点的运</w:t>
      </w:r>
      <w:r>
        <w:rPr>
          <w:spacing w:val="-55"/>
        </w:rPr>
        <w:t> </w:t>
      </w:r>
      <w:r>
        <w:rPr>
          <w:spacing w:val="-55"/>
        </w:rPr>
      </w:r>
      <w:r>
        <w:rPr/>
        <w:t>营平台，让各类人才专精所长，充分发挥自己的才能，增强团队凝聚力和员工归属感。</w:t>
      </w:r>
    </w:p>
    <w:p>
      <w:pPr>
        <w:spacing w:after="0" w:line="355" w:lineRule="auto"/>
        <w:jc w:val="left"/>
        <w:sectPr>
          <w:pgSz w:w="11910" w:h="16840"/>
          <w:pgMar w:header="855" w:footer="1217" w:top="1320" w:bottom="1400" w:left="1580" w:right="1040"/>
        </w:sectPr>
      </w:pPr>
    </w:p>
    <w:p>
      <w:pPr>
        <w:spacing w:line="240" w:lineRule="auto" w:before="4"/>
        <w:rPr>
          <w:rFonts w:ascii="宋体" w:hAnsi="宋体" w:cs="宋体" w:eastAsia="宋体" w:hint="default"/>
          <w:sz w:val="9"/>
          <w:szCs w:val="9"/>
        </w:rPr>
      </w:pPr>
    </w:p>
    <w:p>
      <w:pPr>
        <w:pStyle w:val="BodyText"/>
        <w:spacing w:line="357" w:lineRule="auto" w:before="36"/>
        <w:ind w:right="0" w:firstLine="419"/>
        <w:jc w:val="left"/>
      </w:pPr>
      <w:r>
        <w:rPr/>
        <w:t>在网络安全技术领域，公司拥有十余支代表全球顶尖技术水平的安全专家团队，包括主攻漏</w:t>
      </w:r>
      <w:r>
        <w:rPr>
          <w:w w:val="100"/>
        </w:rPr>
        <w:t> </w:t>
      </w:r>
      <w:r>
        <w:rPr>
          <w:spacing w:val="-7"/>
          <w:w w:val="100"/>
        </w:rPr>
        <w:t>洞挖掘与利用的伏尔甘团队（</w:t>
      </w:r>
      <w:r>
        <w:rPr>
          <w:rFonts w:ascii="宋体" w:hAnsi="宋体" w:cs="宋体" w:eastAsia="宋体" w:hint="default"/>
          <w:spacing w:val="-7"/>
          <w:w w:val="100"/>
        </w:rPr>
        <w:t>Vulcan</w:t>
      </w:r>
      <w:r>
        <w:rPr>
          <w:rFonts w:ascii="宋体" w:hAnsi="宋体" w:cs="宋体" w:eastAsia="宋体" w:hint="default"/>
          <w:spacing w:val="-51"/>
          <w:w w:val="100"/>
        </w:rPr>
        <w:t> </w:t>
      </w:r>
      <w:r>
        <w:rPr>
          <w:rFonts w:ascii="宋体" w:hAnsi="宋体" w:cs="宋体" w:eastAsia="宋体" w:hint="default"/>
          <w:spacing w:val="-27"/>
          <w:w w:val="100"/>
        </w:rPr>
        <w:t>Team</w:t>
      </w:r>
      <w:r>
        <w:rPr>
          <w:spacing w:val="-27"/>
          <w:w w:val="100"/>
        </w:rPr>
        <w:t>）；针对</w:t>
      </w:r>
      <w:r>
        <w:rPr>
          <w:spacing w:val="-49"/>
          <w:w w:val="100"/>
        </w:rPr>
        <w:t> </w:t>
      </w:r>
      <w:r>
        <w:rPr>
          <w:rFonts w:ascii="宋体" w:hAnsi="宋体" w:cs="宋体" w:eastAsia="宋体" w:hint="default"/>
          <w:w w:val="100"/>
        </w:rPr>
        <w:t>PC</w:t>
      </w:r>
      <w:r>
        <w:rPr>
          <w:rFonts w:ascii="宋体" w:hAnsi="宋体" w:cs="宋体" w:eastAsia="宋体" w:hint="default"/>
          <w:spacing w:val="-51"/>
          <w:w w:val="100"/>
        </w:rPr>
        <w:t> </w:t>
      </w:r>
      <w:r>
        <w:rPr>
          <w:spacing w:val="-6"/>
          <w:w w:val="100"/>
        </w:rPr>
        <w:t>与移动内核研发的冰刃实验室（</w:t>
      </w:r>
      <w:r>
        <w:rPr>
          <w:rFonts w:ascii="宋体" w:hAnsi="宋体" w:cs="宋体" w:eastAsia="宋体" w:hint="default"/>
          <w:spacing w:val="-6"/>
          <w:w w:val="100"/>
        </w:rPr>
        <w:t>AceSword</w:t>
      </w:r>
      <w:r>
        <w:rPr>
          <w:rFonts w:ascii="宋体" w:hAnsi="宋体" w:cs="宋体" w:eastAsia="宋体" w:hint="default"/>
          <w:spacing w:val="-49"/>
          <w:w w:val="100"/>
        </w:rPr>
        <w:t> </w:t>
      </w:r>
      <w:r>
        <w:rPr>
          <w:rFonts w:ascii="宋体" w:hAnsi="宋体" w:cs="宋体" w:eastAsia="宋体" w:hint="default"/>
          <w:spacing w:val="-44"/>
          <w:w w:val="100"/>
        </w:rPr>
        <w:t>Lab</w:t>
      </w:r>
      <w:r>
        <w:rPr>
          <w:spacing w:val="-44"/>
          <w:w w:val="100"/>
        </w:rPr>
        <w:t>）；</w:t>
      </w:r>
      <w:r>
        <w:rPr>
          <w:spacing w:val="-104"/>
          <w:w w:val="100"/>
        </w:rPr>
        <w:t> </w:t>
      </w:r>
      <w:r>
        <w:rPr/>
        <w:t>致力于安卓系统及移动浏览器漏洞挖掘与利用的阿尔法团队（</w:t>
      </w:r>
      <w:r>
        <w:rPr>
          <w:rFonts w:ascii="宋体" w:hAnsi="宋体" w:cs="宋体" w:eastAsia="宋体" w:hint="default"/>
        </w:rPr>
        <w:t>Alpha</w:t>
      </w:r>
      <w:r>
        <w:rPr>
          <w:rFonts w:ascii="宋体" w:hAnsi="宋体" w:cs="宋体" w:eastAsia="宋体" w:hint="default"/>
          <w:spacing w:val="-2"/>
        </w:rPr>
        <w:t> </w:t>
      </w:r>
      <w:r>
        <w:rPr>
          <w:rFonts w:ascii="宋体" w:hAnsi="宋体" w:cs="宋体" w:eastAsia="宋体" w:hint="default"/>
        </w:rPr>
        <w:t>Team</w:t>
      </w:r>
      <w:r>
        <w:rPr/>
        <w:t>）；专注于</w:t>
      </w:r>
      <w:r>
        <w:rPr>
          <w:spacing w:val="-48"/>
        </w:rPr>
        <w:t> </w:t>
      </w:r>
      <w:r>
        <w:rPr>
          <w:rFonts w:ascii="宋体" w:hAnsi="宋体" w:cs="宋体" w:eastAsia="宋体" w:hint="default"/>
        </w:rPr>
        <w:t>APT</w:t>
      </w:r>
      <w:r>
        <w:rPr>
          <w:rFonts w:ascii="宋体" w:hAnsi="宋体" w:cs="宋体" w:eastAsia="宋体" w:hint="default"/>
          <w:spacing w:val="-47"/>
        </w:rPr>
        <w:t> </w:t>
      </w:r>
      <w:r>
        <w:rPr>
          <w:spacing w:val="-3"/>
        </w:rPr>
        <w:t>攻击、</w:t>
      </w:r>
      <w:r>
        <w:rPr>
          <w:spacing w:val="-3"/>
          <w:w w:val="100"/>
        </w:rPr>
        <w:t> </w:t>
      </w:r>
      <w:r>
        <w:rPr>
          <w:rFonts w:ascii="宋体" w:hAnsi="宋体" w:cs="宋体" w:eastAsia="宋体" w:hint="default"/>
        </w:rPr>
        <w:t>0day </w:t>
      </w:r>
      <w:r>
        <w:rPr>
          <w:spacing w:val="-3"/>
        </w:rPr>
        <w:t>漏洞等高级威胁攻击的追日团队和应急响应团队；深入研究安卓系统病毒分析、移动威胁预</w:t>
      </w:r>
      <w:r>
        <w:rPr>
          <w:spacing w:val="-88"/>
        </w:rPr>
        <w:t> </w:t>
      </w:r>
      <w:r>
        <w:rPr>
          <w:spacing w:val="-88"/>
        </w:rPr>
      </w:r>
      <w:r>
        <w:rPr/>
        <w:t>警的</w:t>
      </w:r>
      <w:r>
        <w:rPr>
          <w:spacing w:val="-50"/>
        </w:rPr>
        <w:t> </w:t>
      </w:r>
      <w:r>
        <w:rPr>
          <w:rFonts w:ascii="宋体" w:hAnsi="宋体" w:cs="宋体" w:eastAsia="宋体" w:hint="default"/>
        </w:rPr>
        <w:t>360</w:t>
      </w:r>
      <w:r>
        <w:rPr>
          <w:rFonts w:ascii="宋体" w:hAnsi="宋体" w:cs="宋体" w:eastAsia="宋体" w:hint="default"/>
          <w:spacing w:val="-48"/>
        </w:rPr>
        <w:t> </w:t>
      </w:r>
      <w:r>
        <w:rPr/>
        <w:t>烽火实验室等。此外，公司还拥有包括智能网联汽车安全实验室、网络攻防实验室、无</w:t>
      </w:r>
      <w:r>
        <w:rPr>
          <w:w w:val="100"/>
        </w:rPr>
        <w:t> </w:t>
      </w:r>
      <w:r>
        <w:rPr/>
        <w:t>线电安全研究院、人工智能安全研究院、</w:t>
      </w:r>
      <w:r>
        <w:rPr>
          <w:rFonts w:ascii="宋体" w:hAnsi="宋体" w:cs="宋体" w:eastAsia="宋体" w:hint="default"/>
        </w:rPr>
        <w:t>IOT </w:t>
      </w:r>
      <w:r>
        <w:rPr/>
        <w:t>安全研究院、黑客研究院在内的多个网络安全研究</w:t>
      </w:r>
      <w:r>
        <w:rPr>
          <w:spacing w:val="-97"/>
        </w:rPr>
        <w:t> </w:t>
      </w:r>
      <w:r>
        <w:rPr>
          <w:spacing w:val="-97"/>
        </w:rPr>
      </w:r>
      <w:r>
        <w:rPr/>
        <w:t>院，以及专门服务于</w:t>
      </w:r>
      <w:r>
        <w:rPr>
          <w:spacing w:val="-54"/>
        </w:rPr>
        <w:t> </w:t>
      </w:r>
      <w:r>
        <w:rPr>
          <w:rFonts w:ascii="宋体" w:hAnsi="宋体" w:cs="宋体" w:eastAsia="宋体" w:hint="default"/>
        </w:rPr>
        <w:t>360</w:t>
      </w:r>
      <w:r>
        <w:rPr>
          <w:rFonts w:ascii="宋体" w:hAnsi="宋体" w:cs="宋体" w:eastAsia="宋体" w:hint="default"/>
          <w:spacing w:val="-55"/>
        </w:rPr>
        <w:t> </w:t>
      </w:r>
      <w:r>
        <w:rPr/>
        <w:t>内部防御体系以及国家级安全体系建设的信息安全部。</w:t>
      </w:r>
    </w:p>
    <w:p>
      <w:pPr>
        <w:pStyle w:val="BodyText"/>
        <w:spacing w:line="357" w:lineRule="auto" w:before="30"/>
        <w:ind w:right="207" w:firstLine="419"/>
        <w:jc w:val="both"/>
      </w:pPr>
      <w:r>
        <w:rPr>
          <w:rFonts w:ascii="宋体" w:hAnsi="宋体" w:cs="宋体" w:eastAsia="宋体" w:hint="default"/>
        </w:rPr>
        <w:t>2018</w:t>
      </w:r>
      <w:r>
        <w:rPr>
          <w:rFonts w:ascii="宋体" w:hAnsi="宋体" w:cs="宋体" w:eastAsia="宋体" w:hint="default"/>
          <w:spacing w:val="-47"/>
        </w:rPr>
        <w:t> </w:t>
      </w:r>
      <w:r>
        <w:rPr/>
        <w:t>年</w:t>
      </w:r>
      <w:r>
        <w:rPr>
          <w:spacing w:val="-45"/>
        </w:rPr>
        <w:t> </w:t>
      </w:r>
      <w:r>
        <w:rPr>
          <w:rFonts w:ascii="宋体" w:hAnsi="宋体" w:cs="宋体" w:eastAsia="宋体" w:hint="default"/>
        </w:rPr>
        <w:t>8</w:t>
      </w:r>
      <w:r>
        <w:rPr>
          <w:rFonts w:ascii="宋体" w:hAnsi="宋体" w:cs="宋体" w:eastAsia="宋体" w:hint="default"/>
          <w:spacing w:val="-47"/>
        </w:rPr>
        <w:t> </w:t>
      </w:r>
      <w:r>
        <w:rPr>
          <w:spacing w:val="-4"/>
        </w:rPr>
        <w:t>月，微软发布全球</w:t>
      </w:r>
      <w:r>
        <w:rPr>
          <w:spacing w:val="-45"/>
        </w:rPr>
        <w:t> </w:t>
      </w:r>
      <w:r>
        <w:rPr>
          <w:rFonts w:ascii="宋体" w:hAnsi="宋体" w:cs="宋体" w:eastAsia="宋体" w:hint="default"/>
        </w:rPr>
        <w:t>Top100</w:t>
      </w:r>
      <w:r>
        <w:rPr>
          <w:rFonts w:ascii="宋体" w:hAnsi="宋体" w:cs="宋体" w:eastAsia="宋体" w:hint="default"/>
          <w:spacing w:val="-47"/>
        </w:rPr>
        <w:t> </w:t>
      </w:r>
      <w:r>
        <w:rPr>
          <w:spacing w:val="-3"/>
        </w:rPr>
        <w:t>安全贡献榜，三六零共</w:t>
      </w:r>
      <w:r>
        <w:rPr>
          <w:spacing w:val="-45"/>
        </w:rPr>
        <w:t> </w:t>
      </w:r>
      <w:r>
        <w:rPr>
          <w:rFonts w:ascii="宋体" w:hAnsi="宋体" w:cs="宋体" w:eastAsia="宋体" w:hint="default"/>
        </w:rPr>
        <w:t>13</w:t>
      </w:r>
      <w:r>
        <w:rPr>
          <w:rFonts w:ascii="宋体" w:hAnsi="宋体" w:cs="宋体" w:eastAsia="宋体" w:hint="default"/>
          <w:spacing w:val="-47"/>
        </w:rPr>
        <w:t> </w:t>
      </w:r>
      <w:r>
        <w:rPr>
          <w:spacing w:val="-3"/>
        </w:rPr>
        <w:t>人荣耀登榜，进榜人数和综合</w:t>
      </w:r>
      <w:r>
        <w:rPr>
          <w:w w:val="100"/>
        </w:rPr>
        <w:t> </w:t>
      </w:r>
      <w:r>
        <w:rPr>
          <w:spacing w:val="-1"/>
        </w:rPr>
        <w:t>排名遥遥领先。其中，来自伏尔甘团队的安全专家连续两年名列全球第三，是华人在此榜单中的</w:t>
      </w:r>
      <w:r>
        <w:rPr>
          <w:spacing w:val="-56"/>
        </w:rPr>
        <w:t> </w:t>
      </w:r>
      <w:r>
        <w:rPr>
          <w:spacing w:val="-56"/>
        </w:rPr>
      </w:r>
      <w:r>
        <w:rPr>
          <w:spacing w:val="-4"/>
        </w:rPr>
        <w:t>最高排名。报告期内，</w:t>
      </w:r>
      <w:r>
        <w:rPr>
          <w:rFonts w:ascii="宋体" w:hAnsi="宋体" w:cs="宋体" w:eastAsia="宋体" w:hint="default"/>
          <w:spacing w:val="-4"/>
        </w:rPr>
        <w:t>360 </w:t>
      </w:r>
      <w:r>
        <w:rPr>
          <w:spacing w:val="-5"/>
        </w:rPr>
        <w:t>安全专家发现的“穿云箭”、“虚拟机逃逸”、“苹果越狱组合攻击”</w:t>
      </w:r>
      <w:r>
        <w:rPr>
          <w:spacing w:val="-97"/>
        </w:rPr>
        <w:t> </w:t>
      </w:r>
      <w:r>
        <w:rPr>
          <w:spacing w:val="-97"/>
        </w:rPr>
      </w:r>
      <w:r>
        <w:rPr>
          <w:spacing w:val="-5"/>
        </w:rPr>
        <w:t>等高危漏洞分别获得谷歌、微软和苹果公司的史上最高漏洞奖励。在</w:t>
      </w:r>
      <w:r>
        <w:rPr>
          <w:spacing w:val="-32"/>
        </w:rPr>
        <w:t> </w:t>
      </w:r>
      <w:r>
        <w:rPr>
          <w:rFonts w:ascii="宋体" w:hAnsi="宋体" w:cs="宋体" w:eastAsia="宋体" w:hint="default"/>
        </w:rPr>
        <w:t>2018</w:t>
      </w:r>
      <w:r>
        <w:rPr>
          <w:rFonts w:ascii="宋体" w:hAnsi="宋体" w:cs="宋体" w:eastAsia="宋体" w:hint="default"/>
          <w:spacing w:val="-35"/>
        </w:rPr>
        <w:t> </w:t>
      </w:r>
      <w:r>
        <w:rPr/>
        <w:t>首届“天府杯”国际网</w:t>
      </w:r>
      <w:r>
        <w:rPr>
          <w:spacing w:val="-97"/>
        </w:rPr>
        <w:t> </w:t>
      </w:r>
      <w:r>
        <w:rPr>
          <w:spacing w:val="-97"/>
        </w:rPr>
      </w:r>
      <w:r>
        <w:rPr/>
        <w:t>络安全大赛上，</w:t>
      </w:r>
      <w:r>
        <w:rPr>
          <w:rFonts w:ascii="宋体" w:hAnsi="宋体" w:cs="宋体" w:eastAsia="宋体" w:hint="default"/>
        </w:rPr>
        <w:t>360</w:t>
      </w:r>
      <w:r>
        <w:rPr>
          <w:rFonts w:ascii="宋体" w:hAnsi="宋体" w:cs="宋体" w:eastAsia="宋体" w:hint="default"/>
          <w:spacing w:val="7"/>
        </w:rPr>
        <w:t> </w:t>
      </w:r>
      <w:r>
        <w:rPr/>
        <w:t>安全专家团队连续攻破苹果、微软、谷歌等知名厂商的十二个目标，获得全</w:t>
      </w:r>
      <w:r>
        <w:rPr>
          <w:w w:val="100"/>
        </w:rPr>
        <w:t> </w:t>
      </w:r>
      <w:r>
        <w:rPr/>
        <w:t>球破解总冠军和最佳个人奖项。</w:t>
      </w:r>
    </w:p>
    <w:p>
      <w:pPr>
        <w:spacing w:line="240" w:lineRule="auto" w:before="0"/>
        <w:rPr>
          <w:rFonts w:ascii="宋体" w:hAnsi="宋体" w:cs="宋体" w:eastAsia="宋体" w:hint="default"/>
          <w:sz w:val="20"/>
          <w:szCs w:val="20"/>
        </w:rPr>
      </w:pPr>
    </w:p>
    <w:p>
      <w:pPr>
        <w:spacing w:line="326" w:lineRule="auto" w:before="176"/>
        <w:ind w:left="558" w:right="0"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技术创新优势</w:t>
      </w:r>
      <w:r>
        <w:rPr>
          <w:rFonts w:ascii="宋体" w:hAnsi="宋体" w:cs="宋体" w:eastAsia="宋体" w:hint="default"/>
          <w:b/>
          <w:bCs/>
          <w:spacing w:val="-102"/>
          <w:sz w:val="21"/>
          <w:szCs w:val="21"/>
        </w:rPr>
        <w:t> </w:t>
      </w:r>
      <w:r>
        <w:rPr>
          <w:rFonts w:ascii="宋体" w:hAnsi="宋体" w:cs="宋体" w:eastAsia="宋体" w:hint="default"/>
          <w:spacing w:val="-2"/>
          <w:sz w:val="21"/>
          <w:szCs w:val="21"/>
        </w:rPr>
        <w:t>三六零始终以技术研发为核心，以技术创新作为公司整体业务持续发展的动力。公司的技术</w:t>
      </w:r>
    </w:p>
    <w:p>
      <w:pPr>
        <w:pStyle w:val="BodyText"/>
        <w:spacing w:line="240" w:lineRule="auto" w:before="58"/>
        <w:ind w:right="0"/>
        <w:jc w:val="left"/>
      </w:pPr>
      <w:r>
        <w:rPr/>
        <w:t>创新优势与人才优势密不可分，围绕上述核心安全专家团队，公司已形成了逾</w:t>
      </w:r>
      <w:r>
        <w:rPr>
          <w:spacing w:val="-51"/>
        </w:rPr>
        <w:t> </w:t>
      </w:r>
      <w:r>
        <w:rPr>
          <w:rFonts w:ascii="宋体" w:hAnsi="宋体" w:cs="宋体" w:eastAsia="宋体" w:hint="default"/>
        </w:rPr>
        <w:t>3,800</w:t>
      </w:r>
      <w:r>
        <w:rPr>
          <w:rFonts w:ascii="宋体" w:hAnsi="宋体" w:cs="宋体" w:eastAsia="宋体" w:hint="default"/>
          <w:spacing w:val="-51"/>
        </w:rPr>
        <w:t> </w:t>
      </w:r>
      <w:r>
        <w:rPr/>
        <w:t>人的研发团</w:t>
      </w:r>
    </w:p>
    <w:p>
      <w:pPr>
        <w:pStyle w:val="BodyText"/>
        <w:spacing w:line="357" w:lineRule="auto" w:before="133"/>
        <w:ind w:right="207"/>
        <w:jc w:val="both"/>
      </w:pPr>
      <w:r>
        <w:rPr/>
        <w:t>队，研发技术专利数量不断攀升。截至</w:t>
      </w:r>
      <w:r>
        <w:rPr>
          <w:spacing w:val="-51"/>
        </w:rPr>
        <w:t> </w:t>
      </w:r>
      <w:r>
        <w:rPr>
          <w:rFonts w:ascii="宋体" w:hAnsi="宋体" w:cs="宋体" w:eastAsia="宋体" w:hint="default"/>
        </w:rPr>
        <w:t>2018</w:t>
      </w:r>
      <w:r>
        <w:rPr>
          <w:rFonts w:ascii="宋体" w:hAnsi="宋体" w:cs="宋体" w:eastAsia="宋体" w:hint="default"/>
          <w:spacing w:val="-54"/>
        </w:rPr>
        <w:t> </w:t>
      </w:r>
      <w:r>
        <w:rPr/>
        <w:t>年末，公司专利申请总量超</w:t>
      </w:r>
      <w:r>
        <w:rPr>
          <w:spacing w:val="-51"/>
        </w:rPr>
        <w:t> </w:t>
      </w:r>
      <w:r>
        <w:rPr>
          <w:rFonts w:ascii="宋体" w:hAnsi="宋体" w:cs="宋体" w:eastAsia="宋体" w:hint="default"/>
        </w:rPr>
        <w:t>12,000</w:t>
      </w:r>
      <w:r>
        <w:rPr>
          <w:rFonts w:ascii="宋体" w:hAnsi="宋体" w:cs="宋体" w:eastAsia="宋体" w:hint="default"/>
          <w:spacing w:val="-51"/>
        </w:rPr>
        <w:t> </w:t>
      </w:r>
      <w:r>
        <w:rPr/>
        <w:t>件，授权专利总</w:t>
      </w:r>
      <w:r>
        <w:rPr>
          <w:w w:val="100"/>
        </w:rPr>
        <w:t> </w:t>
      </w:r>
      <w:r>
        <w:rPr/>
        <w:t>量近</w:t>
      </w:r>
      <w:r>
        <w:rPr>
          <w:spacing w:val="-41"/>
        </w:rPr>
        <w:t> </w:t>
      </w:r>
      <w:r>
        <w:rPr>
          <w:rFonts w:ascii="宋体" w:hAnsi="宋体" w:cs="宋体" w:eastAsia="宋体" w:hint="default"/>
        </w:rPr>
        <w:t>4,200</w:t>
      </w:r>
      <w:r>
        <w:rPr>
          <w:rFonts w:ascii="宋体" w:hAnsi="宋体" w:cs="宋体" w:eastAsia="宋体" w:hint="default"/>
          <w:spacing w:val="-41"/>
        </w:rPr>
        <w:t> </w:t>
      </w:r>
      <w:r>
        <w:rPr/>
        <w:t>件。凭借在技术专利创新方面积累和突破，</w:t>
      </w:r>
      <w:r>
        <w:rPr>
          <w:rFonts w:ascii="宋体" w:hAnsi="宋体" w:cs="宋体" w:eastAsia="宋体" w:hint="default"/>
        </w:rPr>
        <w:t>360</w:t>
      </w:r>
      <w:r>
        <w:rPr>
          <w:rFonts w:ascii="宋体" w:hAnsi="宋体" w:cs="宋体" w:eastAsia="宋体" w:hint="default"/>
          <w:spacing w:val="-43"/>
        </w:rPr>
        <w:t> </w:t>
      </w:r>
      <w:r>
        <w:rPr/>
        <w:t>杀毒引擎</w:t>
      </w:r>
      <w:r>
        <w:rPr>
          <w:spacing w:val="-41"/>
        </w:rPr>
        <w:t> </w:t>
      </w:r>
      <w:r>
        <w:rPr>
          <w:rFonts w:ascii="宋体" w:hAnsi="宋体" w:cs="宋体" w:eastAsia="宋体" w:hint="default"/>
        </w:rPr>
        <w:t>QVM</w:t>
      </w:r>
      <w:r>
        <w:rPr>
          <w:rFonts w:ascii="宋体" w:hAnsi="宋体" w:cs="宋体" w:eastAsia="宋体" w:hint="default"/>
          <w:spacing w:val="-41"/>
        </w:rPr>
        <w:t> </w:t>
      </w:r>
      <w:r>
        <w:rPr/>
        <w:t>的核心技术之一荣获了</w:t>
      </w:r>
      <w:r>
        <w:rPr>
          <w:w w:val="100"/>
        </w:rPr>
        <w:t> </w:t>
      </w:r>
      <w:r>
        <w:rPr>
          <w:spacing w:val="-4"/>
        </w:rPr>
        <w:t>第五届北京市发明专利奖一等奖，三六零成为</w:t>
      </w:r>
      <w:r>
        <w:rPr>
          <w:spacing w:val="-25"/>
        </w:rPr>
        <w:t> </w:t>
      </w:r>
      <w:r>
        <w:rPr>
          <w:rFonts w:ascii="宋体" w:hAnsi="宋体" w:cs="宋体" w:eastAsia="宋体" w:hint="default"/>
        </w:rPr>
        <w:t>10</w:t>
      </w:r>
      <w:r>
        <w:rPr>
          <w:rFonts w:ascii="宋体" w:hAnsi="宋体" w:cs="宋体" w:eastAsia="宋体" w:hint="default"/>
          <w:spacing w:val="-28"/>
        </w:rPr>
        <w:t> </w:t>
      </w:r>
      <w:r>
        <w:rPr>
          <w:spacing w:val="-4"/>
        </w:rPr>
        <w:t>年来首次获颁该奖项一等奖的互联网企业，该杀</w:t>
      </w:r>
      <w:r>
        <w:rPr>
          <w:spacing w:val="-94"/>
        </w:rPr>
        <w:t> </w:t>
      </w:r>
      <w:r>
        <w:rPr>
          <w:spacing w:val="-94"/>
        </w:rPr>
      </w:r>
      <w:r>
        <w:rPr>
          <w:spacing w:val="-1"/>
        </w:rPr>
        <w:t>毒引擎的另一核心基础性专利则成为获得首届“中国好专利”奖的唯一互联网专利。三六零全资</w:t>
      </w:r>
      <w:r>
        <w:rPr>
          <w:spacing w:val="-55"/>
        </w:rPr>
        <w:t> </w:t>
      </w:r>
      <w:r>
        <w:rPr>
          <w:spacing w:val="-55"/>
        </w:rPr>
      </w:r>
      <w:r>
        <w:rPr>
          <w:spacing w:val="-1"/>
        </w:rPr>
        <w:t>子公司奇虎科技于报告期内被认定为“中关村国家自主创新示范区商标品牌工作示范单位”并连</w:t>
      </w:r>
      <w:r>
        <w:rPr>
          <w:spacing w:val="-55"/>
        </w:rPr>
        <w:t> </w:t>
      </w:r>
      <w:r>
        <w:rPr>
          <w:spacing w:val="-55"/>
        </w:rPr>
      </w:r>
      <w:r>
        <w:rPr/>
        <w:t>续荣获“</w:t>
      </w:r>
      <w:r>
        <w:rPr>
          <w:rFonts w:ascii="宋体" w:hAnsi="宋体" w:cs="宋体" w:eastAsia="宋体" w:hint="default"/>
        </w:rPr>
        <w:t>2018</w:t>
      </w:r>
      <w:r>
        <w:rPr>
          <w:rFonts w:ascii="宋体" w:hAnsi="宋体" w:cs="宋体" w:eastAsia="宋体" w:hint="default"/>
          <w:spacing w:val="-24"/>
        </w:rPr>
        <w:t> </w:t>
      </w:r>
      <w:r>
        <w:rPr/>
        <w:t>年中关村知识产权领军企业”称号；公司也荣膺</w:t>
      </w:r>
      <w:r>
        <w:rPr>
          <w:spacing w:val="-26"/>
        </w:rPr>
        <w:t> </w:t>
      </w:r>
      <w:r>
        <w:rPr>
          <w:rFonts w:ascii="宋体" w:hAnsi="宋体" w:cs="宋体" w:eastAsia="宋体" w:hint="default"/>
        </w:rPr>
        <w:t>2018</w:t>
      </w:r>
      <w:r>
        <w:rPr>
          <w:rFonts w:ascii="宋体" w:hAnsi="宋体" w:cs="宋体" w:eastAsia="宋体" w:hint="default"/>
          <w:spacing w:val="-26"/>
        </w:rPr>
        <w:t> </w:t>
      </w:r>
      <w:r>
        <w:rPr/>
        <w:t>中国大陆创新企业百强第</w:t>
      </w:r>
      <w:r>
        <w:rPr>
          <w:spacing w:val="-24"/>
        </w:rPr>
        <w:t> </w:t>
      </w:r>
      <w:r>
        <w:rPr>
          <w:rFonts w:ascii="宋体" w:hAnsi="宋体" w:cs="宋体" w:eastAsia="宋体" w:hint="default"/>
        </w:rPr>
        <w:t>I</w:t>
      </w:r>
      <w:r>
        <w:rPr>
          <w:rFonts w:ascii="宋体" w:hAnsi="宋体" w:cs="宋体" w:eastAsia="宋体" w:hint="default"/>
          <w:w w:val="100"/>
        </w:rPr>
        <w:t> </w:t>
      </w:r>
      <w:r>
        <w:rPr/>
        <w:t>梯级。</w:t>
      </w:r>
    </w:p>
    <w:p>
      <w:pPr>
        <w:pStyle w:val="BodyText"/>
        <w:spacing w:line="357" w:lineRule="auto" w:before="33"/>
        <w:ind w:right="207" w:firstLine="419"/>
        <w:jc w:val="both"/>
      </w:pPr>
      <w:r>
        <w:rPr>
          <w:spacing w:val="-7"/>
          <w:w w:val="100"/>
        </w:rPr>
        <w:t>核心技术是三六零产品及服务体系的基础，包括互联网基础核心技术与核心安全技术。其中，</w:t>
      </w:r>
      <w:r>
        <w:rPr>
          <w:w w:val="100"/>
        </w:rPr>
        <w:t> </w:t>
      </w:r>
      <w:r>
        <w:rPr/>
        <w:t>互联网基础核心技术主要包括“</w:t>
      </w:r>
      <w:r>
        <w:rPr>
          <w:rFonts w:ascii="宋体" w:hAnsi="宋体" w:cs="宋体" w:eastAsia="宋体" w:hint="default"/>
        </w:rPr>
        <w:t>IMABCDE</w:t>
      </w:r>
      <w:r>
        <w:rPr/>
        <w:t>”（</w:t>
      </w:r>
      <w:r>
        <w:rPr>
          <w:rFonts w:ascii="宋体" w:hAnsi="宋体" w:cs="宋体" w:eastAsia="宋体" w:hint="default"/>
        </w:rPr>
        <w:t>I-IoT</w:t>
      </w:r>
      <w:r>
        <w:rPr>
          <w:rFonts w:ascii="宋体" w:hAnsi="宋体" w:cs="宋体" w:eastAsia="宋体" w:hint="default"/>
          <w:spacing w:val="-43"/>
        </w:rPr>
        <w:t> </w:t>
      </w:r>
      <w:r>
        <w:rPr>
          <w:spacing w:val="-3"/>
        </w:rPr>
        <w:t>智能感知、</w:t>
      </w:r>
      <w:r>
        <w:rPr>
          <w:rFonts w:ascii="宋体" w:hAnsi="宋体" w:cs="宋体" w:eastAsia="宋体" w:hint="default"/>
          <w:spacing w:val="-3"/>
        </w:rPr>
        <w:t>M-</w:t>
      </w:r>
      <w:r>
        <w:rPr>
          <w:spacing w:val="-3"/>
        </w:rPr>
        <w:t>移动通信、</w:t>
      </w:r>
      <w:r>
        <w:rPr>
          <w:rFonts w:ascii="宋体" w:hAnsi="宋体" w:cs="宋体" w:eastAsia="宋体" w:hint="default"/>
          <w:spacing w:val="-3"/>
        </w:rPr>
        <w:t>A-</w:t>
      </w:r>
      <w:r>
        <w:rPr>
          <w:spacing w:val="-3"/>
        </w:rPr>
        <w:t>人工智能、</w:t>
      </w:r>
      <w:r>
        <w:rPr>
          <w:rFonts w:ascii="宋体" w:hAnsi="宋体" w:cs="宋体" w:eastAsia="宋体" w:hint="default"/>
          <w:spacing w:val="-3"/>
        </w:rPr>
        <w:t>B-</w:t>
      </w:r>
      <w:r>
        <w:rPr>
          <w:spacing w:val="-3"/>
        </w:rPr>
        <w:t>区块</w:t>
      </w:r>
      <w:r>
        <w:rPr>
          <w:spacing w:val="-99"/>
        </w:rPr>
        <w:t> </w:t>
      </w:r>
      <w:r>
        <w:rPr>
          <w:spacing w:val="-1"/>
        </w:rPr>
        <w:t>链、</w:t>
      </w:r>
      <w:r>
        <w:rPr>
          <w:rFonts w:ascii="宋体" w:hAnsi="宋体" w:cs="宋体" w:eastAsia="宋体" w:hint="default"/>
          <w:spacing w:val="-1"/>
        </w:rPr>
        <w:t>C-</w:t>
      </w:r>
      <w:r>
        <w:rPr>
          <w:spacing w:val="-1"/>
        </w:rPr>
        <w:t>云计算、</w:t>
      </w:r>
      <w:r>
        <w:rPr>
          <w:rFonts w:ascii="宋体" w:hAnsi="宋体" w:cs="宋体" w:eastAsia="宋体" w:hint="default"/>
          <w:spacing w:val="-1"/>
        </w:rPr>
        <w:t>D-</w:t>
      </w:r>
      <w:r>
        <w:rPr>
          <w:spacing w:val="-1"/>
        </w:rPr>
        <w:t>大数据、</w:t>
      </w:r>
      <w:r>
        <w:rPr>
          <w:rFonts w:ascii="宋体" w:hAnsi="宋体" w:cs="宋体" w:eastAsia="宋体" w:hint="default"/>
          <w:spacing w:val="-1"/>
        </w:rPr>
        <w:t>E-</w:t>
      </w:r>
      <w:r>
        <w:rPr>
          <w:spacing w:val="-1"/>
        </w:rPr>
        <w:t>边缘计算）七大核心技术。通过技术之间的交叉融合，公司构建了</w:t>
      </w:r>
      <w:r>
        <w:rPr>
          <w:spacing w:val="-54"/>
        </w:rPr>
        <w:t> </w:t>
      </w:r>
      <w:r>
        <w:rPr>
          <w:spacing w:val="-54"/>
        </w:rPr>
      </w:r>
      <w:r>
        <w:rPr/>
        <w:t>全球最大的分布式智能安全系统——“</w:t>
      </w:r>
      <w:r>
        <w:rPr>
          <w:rFonts w:ascii="宋体" w:hAnsi="宋体" w:cs="宋体" w:eastAsia="宋体" w:hint="default"/>
        </w:rPr>
        <w:t>360</w:t>
      </w:r>
      <w:r>
        <w:rPr>
          <w:rFonts w:ascii="宋体" w:hAnsi="宋体" w:cs="宋体" w:eastAsia="宋体" w:hint="default"/>
          <w:spacing w:val="-33"/>
        </w:rPr>
        <w:t> </w:t>
      </w:r>
      <w:r>
        <w:rPr>
          <w:spacing w:val="-3"/>
        </w:rPr>
        <w:t>安全大脑”，由此形成了以“</w:t>
      </w:r>
      <w:r>
        <w:rPr>
          <w:rFonts w:ascii="宋体" w:hAnsi="宋体" w:cs="宋体" w:eastAsia="宋体" w:hint="default"/>
          <w:spacing w:val="-3"/>
        </w:rPr>
        <w:t>IMABCDE</w:t>
      </w:r>
      <w:r>
        <w:rPr>
          <w:spacing w:val="-3"/>
        </w:rPr>
        <w:t>”基础核心技术</w:t>
      </w:r>
      <w:r>
        <w:rPr>
          <w:spacing w:val="-95"/>
        </w:rPr>
        <w:t> </w:t>
      </w:r>
      <w:r>
        <w:rPr>
          <w:spacing w:val="-95"/>
        </w:rPr>
      </w:r>
      <w:r>
        <w:rPr/>
        <w:t>为支撑、以</w:t>
      </w:r>
      <w:r>
        <w:rPr>
          <w:spacing w:val="8"/>
        </w:rPr>
        <w:t> </w:t>
      </w:r>
      <w:r>
        <w:rPr>
          <w:rFonts w:ascii="宋体" w:hAnsi="宋体" w:cs="宋体" w:eastAsia="宋体" w:hint="default"/>
        </w:rPr>
        <w:t>S-</w:t>
      </w:r>
      <w:r>
        <w:rPr/>
        <w:t>核心安全技术为保障，相辅相成、互为裨益、协同发展的“</w:t>
      </w:r>
      <w:r>
        <w:rPr>
          <w:rFonts w:ascii="宋体" w:hAnsi="宋体" w:cs="宋体" w:eastAsia="宋体" w:hint="default"/>
        </w:rPr>
        <w:t>IMABCDE+S</w:t>
      </w:r>
      <w:r>
        <w:rPr/>
        <w:t>”综合技术</w:t>
      </w:r>
      <w:r>
        <w:rPr>
          <w:w w:val="100"/>
        </w:rPr>
        <w:t> </w:t>
      </w:r>
      <w:r>
        <w:rPr/>
        <w:t>体系，也奠定了公司向“大安全”领域进行业务扩张的战略基石。</w:t>
      </w:r>
    </w:p>
    <w:p>
      <w:pPr>
        <w:spacing w:line="240" w:lineRule="auto" w:before="0"/>
        <w:rPr>
          <w:rFonts w:ascii="宋体" w:hAnsi="宋体" w:cs="宋体" w:eastAsia="宋体" w:hint="default"/>
          <w:sz w:val="20"/>
          <w:szCs w:val="20"/>
        </w:rPr>
      </w:pPr>
    </w:p>
    <w:p>
      <w:pPr>
        <w:spacing w:line="324" w:lineRule="auto" w:before="176"/>
        <w:ind w:left="558" w:right="0"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大数据资源优势</w:t>
      </w:r>
      <w:r>
        <w:rPr>
          <w:rFonts w:ascii="宋体" w:hAnsi="宋体" w:cs="宋体" w:eastAsia="宋体" w:hint="default"/>
          <w:b/>
          <w:bCs/>
          <w:spacing w:val="-102"/>
          <w:sz w:val="21"/>
          <w:szCs w:val="21"/>
        </w:rPr>
        <w:t> </w:t>
      </w:r>
      <w:r>
        <w:rPr>
          <w:rFonts w:ascii="宋体" w:hAnsi="宋体" w:cs="宋体" w:eastAsia="宋体" w:hint="default"/>
          <w:spacing w:val="-2"/>
          <w:sz w:val="21"/>
          <w:szCs w:val="21"/>
        </w:rPr>
        <w:t>公司是首家在安全软件领域引入白名单、云查杀等大数据技术的公司，也是第一家用大数据</w:t>
      </w:r>
    </w:p>
    <w:p>
      <w:pPr>
        <w:pStyle w:val="BodyText"/>
        <w:spacing w:line="240" w:lineRule="auto" w:before="62"/>
        <w:ind w:right="0"/>
        <w:jc w:val="left"/>
      </w:pPr>
      <w:r>
        <w:rPr/>
        <w:t>提升安全感知能力的公司，引领了个人信息安全软件的变革与发展。公司持续地通过对安全数据</w:t>
      </w:r>
    </w:p>
    <w:p>
      <w:pPr>
        <w:spacing w:after="0" w:line="240" w:lineRule="auto"/>
        <w:jc w:val="left"/>
        <w:sectPr>
          <w:footerReference w:type="default" r:id="rId11"/>
          <w:pgSz w:w="11910" w:h="16840"/>
          <w:pgMar w:footer="1217" w:header="855" w:top="1320" w:bottom="1400" w:left="1660" w:right="1060"/>
          <w:pgNumType w:start="14"/>
        </w:sectPr>
      </w:pPr>
    </w:p>
    <w:p>
      <w:pPr>
        <w:spacing w:line="240" w:lineRule="auto" w:before="4"/>
        <w:rPr>
          <w:rFonts w:ascii="宋体" w:hAnsi="宋体" w:cs="宋体" w:eastAsia="宋体" w:hint="default"/>
          <w:sz w:val="9"/>
          <w:szCs w:val="9"/>
        </w:rPr>
      </w:pPr>
    </w:p>
    <w:p>
      <w:pPr>
        <w:pStyle w:val="BodyText"/>
        <w:spacing w:line="357" w:lineRule="auto" w:before="36"/>
        <w:ind w:right="107"/>
        <w:jc w:val="both"/>
      </w:pPr>
      <w:r>
        <w:rPr>
          <w:spacing w:val="-5"/>
        </w:rPr>
        <w:t>进行积淀和分析，形成了数据量庞大的、跨越</w:t>
      </w:r>
      <w:r>
        <w:rPr>
          <w:spacing w:val="-28"/>
        </w:rPr>
        <w:t> </w:t>
      </w:r>
      <w:r>
        <w:rPr>
          <w:rFonts w:ascii="宋体" w:hAnsi="宋体" w:cs="宋体" w:eastAsia="宋体" w:hint="default"/>
        </w:rPr>
        <w:t>PC</w:t>
      </w:r>
      <w:r>
        <w:rPr>
          <w:rFonts w:ascii="宋体" w:hAnsi="宋体" w:cs="宋体" w:eastAsia="宋体" w:hint="default"/>
          <w:spacing w:val="-25"/>
        </w:rPr>
        <w:t> </w:t>
      </w:r>
      <w:r>
        <w:rPr>
          <w:spacing w:val="-3"/>
        </w:rPr>
        <w:t>端和移动端的大数据体系。目前公司已拥有国内</w:t>
      </w:r>
      <w:r>
        <w:rPr>
          <w:spacing w:val="-95"/>
        </w:rPr>
        <w:t> </w:t>
      </w:r>
      <w:r>
        <w:rPr>
          <w:spacing w:val="-95"/>
        </w:rPr>
      </w:r>
      <w:r>
        <w:rPr>
          <w:spacing w:val="-1"/>
        </w:rPr>
        <w:t>领先的实时网络安全数据库，包括最大的程序文件样本库和存活网址库以及最全的程序行为日志</w:t>
      </w:r>
      <w:r>
        <w:rPr>
          <w:spacing w:val="-56"/>
        </w:rPr>
        <w:t> </w:t>
      </w:r>
      <w:r>
        <w:rPr>
          <w:spacing w:val="-56"/>
        </w:rPr>
      </w:r>
      <w:r>
        <w:rPr/>
        <w:t>库和全球域名信息库。</w:t>
      </w:r>
    </w:p>
    <w:p>
      <w:pPr>
        <w:pStyle w:val="BodyText"/>
        <w:spacing w:line="357" w:lineRule="auto" w:before="30"/>
        <w:ind w:right="107" w:firstLine="419"/>
        <w:jc w:val="both"/>
      </w:pPr>
      <w:r>
        <w:rPr/>
        <w:t>“</w:t>
      </w:r>
      <w:r>
        <w:rPr>
          <w:rFonts w:ascii="宋体" w:hAnsi="宋体" w:cs="宋体" w:eastAsia="宋体" w:hint="default"/>
        </w:rPr>
        <w:t>360</w:t>
      </w:r>
      <w:r>
        <w:rPr>
          <w:rFonts w:ascii="宋体" w:hAnsi="宋体" w:cs="宋体" w:eastAsia="宋体" w:hint="default"/>
          <w:spacing w:val="4"/>
        </w:rPr>
        <w:t> </w:t>
      </w:r>
      <w:r>
        <w:rPr/>
        <w:t>安全大脑”运用人工智能技术，自动分析和处理十余亿台终端产生的每年近百万亿的</w:t>
      </w:r>
      <w:r>
        <w:rPr>
          <w:w w:val="100"/>
        </w:rPr>
        <w:t> </w:t>
      </w:r>
      <w:r>
        <w:rPr>
          <w:spacing w:val="-1"/>
        </w:rPr>
        <w:t>全网安全行为数据，年样本数据新增量超过百亿，在国内安全数据量排名第一。作为安全大脑生</w:t>
      </w:r>
      <w:r>
        <w:rPr>
          <w:spacing w:val="-56"/>
        </w:rPr>
        <w:t> </w:t>
      </w:r>
      <w:r>
        <w:rPr>
          <w:spacing w:val="-56"/>
        </w:rPr>
      </w:r>
      <w:r>
        <w:rPr>
          <w:spacing w:val="-1"/>
        </w:rPr>
        <w:t>态建设的重要一环，公司已开始对外开放多项安全数据资源，积极支持国家安全机构及上下游安</w:t>
      </w:r>
      <w:r>
        <w:rPr>
          <w:spacing w:val="-55"/>
        </w:rPr>
        <w:t> </w:t>
      </w:r>
      <w:r>
        <w:rPr>
          <w:spacing w:val="-55"/>
        </w:rPr>
      </w:r>
      <w:r>
        <w:rPr/>
        <w:t>全厂商利用三六零开放数据开展攻击分析、欺诈预防以及其他网络安全相关研究。</w:t>
      </w:r>
    </w:p>
    <w:p>
      <w:pPr>
        <w:pStyle w:val="BodyText"/>
        <w:spacing w:line="357" w:lineRule="auto" w:before="30"/>
        <w:ind w:right="107" w:firstLine="419"/>
        <w:jc w:val="both"/>
      </w:pPr>
      <w:r>
        <w:rPr>
          <w:spacing w:val="-4"/>
        </w:rPr>
        <w:t>随着万物互联时代的来临，用户安全需求日益宽泛。从 </w:t>
      </w:r>
      <w:r>
        <w:rPr>
          <w:rFonts w:ascii="宋体" w:hAnsi="宋体" w:cs="宋体" w:eastAsia="宋体" w:hint="default"/>
        </w:rPr>
        <w:t>PC</w:t>
      </w:r>
      <w:r>
        <w:rPr>
          <w:rFonts w:ascii="宋体" w:hAnsi="宋体" w:cs="宋体" w:eastAsia="宋体" w:hint="default"/>
          <w:spacing w:val="-56"/>
        </w:rPr>
        <w:t> </w:t>
      </w:r>
      <w:r>
        <w:rPr>
          <w:spacing w:val="-4"/>
        </w:rPr>
        <w:t>端、移动端的网络安全到物联网的</w:t>
      </w:r>
      <w:r>
        <w:rPr>
          <w:w w:val="100"/>
        </w:rPr>
        <w:t> </w:t>
      </w:r>
      <w:r>
        <w:rPr>
          <w:spacing w:val="-1"/>
        </w:rPr>
        <w:t>信息安全乃至物理空间安全，安全概念的外延不断延伸。依靠长期积累的安全大数据基础，公司</w:t>
      </w:r>
      <w:r>
        <w:rPr>
          <w:spacing w:val="-55"/>
        </w:rPr>
        <w:t> </w:t>
      </w:r>
      <w:r>
        <w:rPr>
          <w:spacing w:val="-55"/>
        </w:rPr>
      </w:r>
      <w:r>
        <w:rPr/>
        <w:t>的安全能力将进一步在国家、城市、企业和个人层面发挥更大价值。</w:t>
      </w:r>
    </w:p>
    <w:p>
      <w:pPr>
        <w:spacing w:line="240" w:lineRule="auto" w:before="0"/>
        <w:rPr>
          <w:rFonts w:ascii="宋体" w:hAnsi="宋体" w:cs="宋体" w:eastAsia="宋体" w:hint="default"/>
          <w:sz w:val="20"/>
          <w:szCs w:val="20"/>
        </w:rPr>
      </w:pPr>
    </w:p>
    <w:p>
      <w:pPr>
        <w:spacing w:line="324" w:lineRule="auto" w:before="179"/>
        <w:ind w:left="558" w:right="0"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平台化运营优势</w:t>
      </w:r>
      <w:r>
        <w:rPr>
          <w:rFonts w:ascii="宋体" w:hAnsi="宋体" w:cs="宋体" w:eastAsia="宋体" w:hint="default"/>
          <w:b/>
          <w:bCs/>
          <w:spacing w:val="-102"/>
          <w:sz w:val="21"/>
          <w:szCs w:val="21"/>
        </w:rPr>
        <w:t> </w:t>
      </w:r>
      <w:r>
        <w:rPr>
          <w:rFonts w:ascii="宋体" w:hAnsi="宋体" w:cs="宋体" w:eastAsia="宋体" w:hint="default"/>
          <w:spacing w:val="-7"/>
          <w:sz w:val="21"/>
          <w:szCs w:val="21"/>
        </w:rPr>
        <w:t>报告期内，公司坚持价值驱动的指导思想，以业务需求为核心，积极开展大中场平台化运营，</w:t>
      </w:r>
    </w:p>
    <w:p>
      <w:pPr>
        <w:pStyle w:val="BodyText"/>
        <w:spacing w:line="357" w:lineRule="auto" w:before="59"/>
        <w:ind w:right="108"/>
        <w:jc w:val="both"/>
      </w:pPr>
      <w:r>
        <w:rPr>
          <w:spacing w:val="-4"/>
        </w:rPr>
        <w:t>在大数据、</w:t>
      </w:r>
      <w:r>
        <w:rPr>
          <w:rFonts w:ascii="宋体" w:hAnsi="宋体" w:cs="宋体" w:eastAsia="宋体" w:hint="default"/>
          <w:spacing w:val="-4"/>
        </w:rPr>
        <w:t>AI </w:t>
      </w:r>
      <w:r>
        <w:rPr>
          <w:spacing w:val="-3"/>
        </w:rPr>
        <w:t>工程、云计算工程等平台能力建设方面取得了卓越的成效，先后构建了第四代大数</w:t>
      </w:r>
      <w:r>
        <w:rPr>
          <w:spacing w:val="-69"/>
        </w:rPr>
        <w:t> </w:t>
      </w:r>
      <w:r>
        <w:rPr>
          <w:spacing w:val="-69"/>
        </w:rPr>
      </w:r>
      <w:r>
        <w:rPr>
          <w:spacing w:val="-3"/>
        </w:rPr>
        <w:t>据基础架构、分布式图数据库、机器学习算法优化、大规模键值存储、</w:t>
      </w:r>
      <w:r>
        <w:rPr>
          <w:rFonts w:ascii="宋体" w:hAnsi="宋体" w:cs="宋体" w:eastAsia="宋体" w:hint="default"/>
          <w:spacing w:val="-3"/>
        </w:rPr>
        <w:t>BAAS</w:t>
      </w:r>
      <w:r>
        <w:rPr>
          <w:rFonts w:ascii="宋体" w:hAnsi="宋体" w:cs="宋体" w:eastAsia="宋体" w:hint="default"/>
          <w:spacing w:val="-18"/>
        </w:rPr>
        <w:t> </w:t>
      </w:r>
      <w:r>
        <w:rPr/>
        <w:t>平台等领先的平台技</w:t>
      </w:r>
      <w:r>
        <w:rPr>
          <w:spacing w:val="-88"/>
        </w:rPr>
        <w:t> </w:t>
      </w:r>
      <w:r>
        <w:rPr>
          <w:spacing w:val="-88"/>
        </w:rPr>
      </w:r>
      <w:r>
        <w:rPr/>
        <w:t>术，进一步促进了公司核心竞争力的提升。</w:t>
      </w:r>
    </w:p>
    <w:p>
      <w:pPr>
        <w:pStyle w:val="BodyText"/>
        <w:spacing w:line="355" w:lineRule="auto" w:before="30"/>
        <w:ind w:right="108" w:firstLine="419"/>
        <w:jc w:val="both"/>
      </w:pPr>
      <w:r>
        <w:rPr>
          <w:spacing w:val="-1"/>
        </w:rPr>
        <w:t>此外，通过大中场建设，公司实现了集团全域大数据统一治理应用，推动云平台向智能化方</w:t>
      </w:r>
      <w:r>
        <w:rPr>
          <w:w w:val="100"/>
        </w:rPr>
        <w:t> </w:t>
      </w:r>
      <w:r>
        <w:rPr>
          <w:spacing w:val="-1"/>
        </w:rPr>
        <w:t>向演进，基础数据、算法、技术可有效打通，为业务人员提供“多、快、好、省”的民主化核心</w:t>
      </w:r>
      <w:r>
        <w:rPr>
          <w:spacing w:val="-55"/>
        </w:rPr>
        <w:t> </w:t>
      </w:r>
      <w:r>
        <w:rPr>
          <w:spacing w:val="-55"/>
        </w:rPr>
      </w:r>
      <w:r>
        <w:rPr>
          <w:spacing w:val="-4"/>
        </w:rPr>
        <w:t>技术平台服务能力，提升了技术生产率及研发效能，降低了人员及</w:t>
      </w:r>
      <w:r>
        <w:rPr>
          <w:spacing w:val="-24"/>
        </w:rPr>
        <w:t> </w:t>
      </w:r>
      <w:r>
        <w:rPr>
          <w:rFonts w:ascii="宋体" w:hAnsi="宋体" w:cs="宋体" w:eastAsia="宋体" w:hint="default"/>
        </w:rPr>
        <w:t>IT</w:t>
      </w:r>
      <w:r>
        <w:rPr>
          <w:rFonts w:ascii="宋体" w:hAnsi="宋体" w:cs="宋体" w:eastAsia="宋体" w:hint="default"/>
          <w:spacing w:val="-20"/>
        </w:rPr>
        <w:t> </w:t>
      </w:r>
      <w:r>
        <w:rPr>
          <w:spacing w:val="-5"/>
        </w:rPr>
        <w:t>硬件开销，减少了资源能耗</w:t>
      </w:r>
      <w:r>
        <w:rPr>
          <w:spacing w:val="-93"/>
        </w:rPr>
        <w:t> </w:t>
      </w:r>
      <w:r>
        <w:rPr>
          <w:spacing w:val="-93"/>
        </w:rPr>
      </w:r>
      <w:r>
        <w:rPr/>
        <w:t>及重复开发，有效地实现了降本增效。</w:t>
      </w:r>
    </w:p>
    <w:p>
      <w:pPr>
        <w:pStyle w:val="BodyText"/>
        <w:spacing w:line="357" w:lineRule="auto" w:before="34"/>
        <w:ind w:right="107" w:firstLine="419"/>
        <w:jc w:val="both"/>
      </w:pPr>
      <w:r>
        <w:rPr/>
        <w:t>大中场平台化运营也为“</w:t>
      </w:r>
      <w:r>
        <w:rPr>
          <w:rFonts w:ascii="宋体" w:hAnsi="宋体" w:cs="宋体" w:eastAsia="宋体" w:hint="default"/>
        </w:rPr>
        <w:t>360</w:t>
      </w:r>
      <w:r>
        <w:rPr>
          <w:rFonts w:ascii="宋体" w:hAnsi="宋体" w:cs="宋体" w:eastAsia="宋体" w:hint="default"/>
          <w:spacing w:val="7"/>
        </w:rPr>
        <w:t> </w:t>
      </w:r>
      <w:r>
        <w:rPr/>
        <w:t>安全大脑”提供了关键的核心技术支持。通过构建的完整一站</w:t>
      </w:r>
      <w:r>
        <w:rPr>
          <w:w w:val="100"/>
        </w:rPr>
        <w:t> </w:t>
      </w:r>
      <w:r>
        <w:rPr>
          <w:spacing w:val="-5"/>
        </w:rPr>
        <w:t>式大数据平台，发挥</w:t>
      </w:r>
      <w:r>
        <w:rPr>
          <w:spacing w:val="-25"/>
        </w:rPr>
        <w:t> </w:t>
      </w:r>
      <w:r>
        <w:rPr>
          <w:rFonts w:ascii="宋体" w:hAnsi="宋体" w:cs="宋体" w:eastAsia="宋体" w:hint="default"/>
        </w:rPr>
        <w:t>AI</w:t>
      </w:r>
      <w:r>
        <w:rPr>
          <w:rFonts w:ascii="宋体" w:hAnsi="宋体" w:cs="宋体" w:eastAsia="宋体" w:hint="default"/>
          <w:spacing w:val="-20"/>
        </w:rPr>
        <w:t> </w:t>
      </w:r>
      <w:r>
        <w:rPr>
          <w:spacing w:val="-4"/>
        </w:rPr>
        <w:t>技术的核心能力，结合专家知识和算法之间的充分协同，实现了半自动化</w:t>
      </w:r>
      <w:r>
        <w:rPr>
          <w:spacing w:val="-94"/>
        </w:rPr>
        <w:t> </w:t>
      </w:r>
      <w:r>
        <w:rPr>
          <w:spacing w:val="-94"/>
        </w:rPr>
      </w:r>
      <w:r>
        <w:rPr/>
        <w:t>甚至自动化的安全问题分析及智能攻防。通过平台赋能，“</w:t>
      </w:r>
      <w:r>
        <w:rPr>
          <w:rFonts w:ascii="宋体" w:hAnsi="宋体" w:cs="宋体" w:eastAsia="宋体" w:hint="default"/>
        </w:rPr>
        <w:t>360</w:t>
      </w:r>
      <w:r>
        <w:rPr>
          <w:rFonts w:ascii="宋体" w:hAnsi="宋体" w:cs="宋体" w:eastAsia="宋体" w:hint="default"/>
          <w:spacing w:val="7"/>
        </w:rPr>
        <w:t> </w:t>
      </w:r>
      <w:r>
        <w:rPr/>
        <w:t>安全大脑”可进一步完成国家、</w:t>
      </w:r>
      <w:r>
        <w:rPr>
          <w:w w:val="100"/>
        </w:rPr>
        <w:t> </w:t>
      </w:r>
      <w:r>
        <w:rPr>
          <w:spacing w:val="-1"/>
        </w:rPr>
        <w:t>城市、社区、家庭的分层构建，算法、数据和安全能力的开放问题也将得到解决，最终实现兼容</w:t>
      </w:r>
      <w:r>
        <w:rPr>
          <w:spacing w:val="-55"/>
        </w:rPr>
        <w:t> </w:t>
      </w:r>
      <w:r>
        <w:rPr>
          <w:spacing w:val="-55"/>
        </w:rPr>
      </w:r>
      <w:r>
        <w:rPr/>
        <w:t>并蓄的产业生态建设。</w:t>
      </w:r>
    </w:p>
    <w:p>
      <w:pPr>
        <w:spacing w:line="240" w:lineRule="auto" w:before="0"/>
        <w:rPr>
          <w:rFonts w:ascii="宋体" w:hAnsi="宋体" w:cs="宋体" w:eastAsia="宋体" w:hint="default"/>
          <w:sz w:val="20"/>
          <w:szCs w:val="20"/>
        </w:rPr>
      </w:pPr>
    </w:p>
    <w:p>
      <w:pPr>
        <w:spacing w:line="324" w:lineRule="auto" w:before="176"/>
        <w:ind w:left="558" w:right="0"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五</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品牌及影响力优势</w:t>
      </w:r>
      <w:r>
        <w:rPr>
          <w:rFonts w:ascii="宋体" w:hAnsi="宋体" w:cs="宋体" w:eastAsia="宋体" w:hint="default"/>
          <w:b/>
          <w:bCs/>
          <w:spacing w:val="-101"/>
          <w:sz w:val="21"/>
          <w:szCs w:val="21"/>
        </w:rPr>
        <w:t> </w:t>
      </w:r>
      <w:r>
        <w:rPr>
          <w:rFonts w:ascii="宋体" w:hAnsi="宋体" w:cs="宋体" w:eastAsia="宋体" w:hint="default"/>
          <w:spacing w:val="-2"/>
          <w:sz w:val="21"/>
          <w:szCs w:val="21"/>
        </w:rPr>
        <w:t>对于互联网公司，特别是互联网安全公司而言，用户对品牌的信任度和认可度极其重要。知</w:t>
      </w:r>
    </w:p>
    <w:p>
      <w:pPr>
        <w:pStyle w:val="BodyText"/>
        <w:spacing w:line="357" w:lineRule="auto" w:before="59"/>
        <w:ind w:right="108"/>
        <w:jc w:val="both"/>
      </w:pPr>
      <w:r>
        <w:rPr>
          <w:spacing w:val="-1"/>
        </w:rPr>
        <w:t>名品牌有助于吸引优质的合作伙伴，并在研发与运营方面增加同行业企业之间合作的机会，进而</w:t>
      </w:r>
      <w:r>
        <w:rPr>
          <w:spacing w:val="-55"/>
        </w:rPr>
        <w:t> </w:t>
      </w:r>
      <w:r>
        <w:rPr>
          <w:spacing w:val="-55"/>
        </w:rPr>
      </w:r>
      <w:r>
        <w:rPr>
          <w:spacing w:val="-1"/>
        </w:rPr>
        <w:t>有利于公司建立良性的商业关系，也为公司进行市场推广、广告客户开发、新业务模式拓展创造</w:t>
      </w:r>
      <w:r>
        <w:rPr>
          <w:spacing w:val="-56"/>
        </w:rPr>
        <w:t> </w:t>
      </w:r>
      <w:r>
        <w:rPr>
          <w:spacing w:val="-56"/>
        </w:rPr>
      </w:r>
      <w:r>
        <w:rPr>
          <w:spacing w:val="-2"/>
        </w:rPr>
        <w:t>了优良条件。另外，品牌知名度及影响力还能够帮助公司吸引优秀人才，增强员工自豪感和归属</w:t>
      </w:r>
      <w:r>
        <w:rPr>
          <w:spacing w:val="-15"/>
        </w:rPr>
        <w:t> </w:t>
      </w:r>
      <w:r>
        <w:rPr>
          <w:spacing w:val="-15"/>
        </w:rPr>
      </w:r>
      <w:r>
        <w:rPr/>
        <w:t>感，激励员工为企业创造出更大的价值。</w:t>
      </w:r>
    </w:p>
    <w:p>
      <w:pPr>
        <w:pStyle w:val="BodyText"/>
        <w:spacing w:line="357" w:lineRule="auto" w:before="30"/>
        <w:ind w:right="107" w:firstLine="419"/>
        <w:jc w:val="both"/>
      </w:pPr>
      <w:r>
        <w:rPr/>
        <w:t>三六零旗下的</w:t>
      </w:r>
      <w:r>
        <w:rPr>
          <w:spacing w:val="-35"/>
        </w:rPr>
        <w:t> </w:t>
      </w:r>
      <w:r>
        <w:rPr>
          <w:rFonts w:ascii="宋体" w:hAnsi="宋体" w:cs="宋体" w:eastAsia="宋体" w:hint="default"/>
        </w:rPr>
        <w:t>360</w:t>
      </w:r>
      <w:r>
        <w:rPr>
          <w:rFonts w:ascii="宋体" w:hAnsi="宋体" w:cs="宋体" w:eastAsia="宋体" w:hint="default"/>
          <w:spacing w:val="-35"/>
        </w:rPr>
        <w:t> </w:t>
      </w:r>
      <w:r>
        <w:rPr/>
        <w:t>安全卫士、</w:t>
      </w:r>
      <w:r>
        <w:rPr>
          <w:rFonts w:ascii="宋体" w:hAnsi="宋体" w:cs="宋体" w:eastAsia="宋体" w:hint="default"/>
        </w:rPr>
        <w:t>360</w:t>
      </w:r>
      <w:r>
        <w:rPr>
          <w:rFonts w:ascii="宋体" w:hAnsi="宋体" w:cs="宋体" w:eastAsia="宋体" w:hint="default"/>
          <w:spacing w:val="-36"/>
        </w:rPr>
        <w:t> </w:t>
      </w:r>
      <w:r>
        <w:rPr/>
        <w:t>手机卫士、</w:t>
      </w:r>
      <w:r>
        <w:rPr>
          <w:rFonts w:ascii="宋体" w:hAnsi="宋体" w:cs="宋体" w:eastAsia="宋体" w:hint="default"/>
        </w:rPr>
        <w:t>360</w:t>
      </w:r>
      <w:r>
        <w:rPr>
          <w:rFonts w:ascii="宋体" w:hAnsi="宋体" w:cs="宋体" w:eastAsia="宋体" w:hint="default"/>
          <w:spacing w:val="-36"/>
        </w:rPr>
        <w:t> </w:t>
      </w:r>
      <w:r>
        <w:rPr/>
        <w:t>手机助手、</w:t>
      </w:r>
      <w:r>
        <w:rPr>
          <w:rFonts w:ascii="宋体" w:hAnsi="宋体" w:cs="宋体" w:eastAsia="宋体" w:hint="default"/>
        </w:rPr>
        <w:t>360</w:t>
      </w:r>
      <w:r>
        <w:rPr>
          <w:rFonts w:ascii="宋体" w:hAnsi="宋体" w:cs="宋体" w:eastAsia="宋体" w:hint="default"/>
          <w:spacing w:val="-36"/>
        </w:rPr>
        <w:t> </w:t>
      </w:r>
      <w:r>
        <w:rPr/>
        <w:t>杀毒、</w:t>
      </w:r>
      <w:r>
        <w:rPr>
          <w:rFonts w:ascii="宋体" w:hAnsi="宋体" w:cs="宋体" w:eastAsia="宋体" w:hint="default"/>
        </w:rPr>
        <w:t>360</w:t>
      </w:r>
      <w:r>
        <w:rPr>
          <w:rFonts w:ascii="宋体" w:hAnsi="宋体" w:cs="宋体" w:eastAsia="宋体" w:hint="default"/>
          <w:spacing w:val="-35"/>
        </w:rPr>
        <w:t> </w:t>
      </w:r>
      <w:r>
        <w:rPr/>
        <w:t>清理大师、</w:t>
      </w:r>
      <w:r>
        <w:rPr>
          <w:rFonts w:ascii="宋体" w:hAnsi="宋体" w:cs="宋体" w:eastAsia="宋体" w:hint="default"/>
        </w:rPr>
        <w:t>360</w:t>
      </w:r>
      <w:r>
        <w:rPr>
          <w:rFonts w:ascii="宋体" w:hAnsi="宋体" w:cs="宋体" w:eastAsia="宋体" w:hint="default"/>
          <w:w w:val="100"/>
        </w:rPr>
        <w:t> </w:t>
      </w:r>
      <w:r>
        <w:rPr>
          <w:spacing w:val="-1"/>
        </w:rPr>
        <w:t>浏览器等产品受到市场高度认可，凭借安全产品先进的技术水平和良好的用户体验，成功树立了</w:t>
      </w:r>
    </w:p>
    <w:p>
      <w:pPr>
        <w:spacing w:after="0" w:line="357" w:lineRule="auto"/>
        <w:jc w:val="both"/>
        <w:sectPr>
          <w:footerReference w:type="default" r:id="rId12"/>
          <w:pgSz w:w="11910" w:h="16840"/>
          <w:pgMar w:footer="1217" w:header="855" w:top="1320" w:bottom="1400" w:left="1660" w:right="1160"/>
          <w:pgNumType w:start="15"/>
        </w:sectPr>
      </w:pPr>
    </w:p>
    <w:p>
      <w:pPr>
        <w:spacing w:line="240" w:lineRule="auto" w:before="4"/>
        <w:rPr>
          <w:rFonts w:ascii="宋体" w:hAnsi="宋体" w:cs="宋体" w:eastAsia="宋体" w:hint="default"/>
          <w:sz w:val="9"/>
          <w:szCs w:val="9"/>
        </w:rPr>
      </w:pPr>
    </w:p>
    <w:p>
      <w:pPr>
        <w:pStyle w:val="BodyText"/>
        <w:spacing w:line="357" w:lineRule="auto" w:before="36"/>
        <w:ind w:right="0"/>
        <w:jc w:val="left"/>
      </w:pPr>
      <w:r>
        <w:rPr>
          <w:spacing w:val="-4"/>
        </w:rPr>
        <w:t>良好的品牌形象。“</w:t>
      </w:r>
      <w:r>
        <w:rPr>
          <w:rFonts w:ascii="宋体" w:hAnsi="宋体" w:cs="宋体" w:eastAsia="宋体" w:hint="default"/>
          <w:spacing w:val="-4"/>
        </w:rPr>
        <w:t>360</w:t>
      </w:r>
      <w:r>
        <w:rPr>
          <w:spacing w:val="-4"/>
        </w:rPr>
        <w:t>”已是国内家喻户晓的网络安全品牌、互联网领域内的知名品牌，具备广</w:t>
      </w:r>
      <w:r>
        <w:rPr>
          <w:spacing w:val="-30"/>
        </w:rPr>
        <w:t> </w:t>
      </w:r>
      <w:r>
        <w:rPr>
          <w:spacing w:val="-30"/>
        </w:rPr>
      </w:r>
      <w:r>
        <w:rPr/>
        <w:t>泛的品牌影响力和用户信任度。</w:t>
      </w:r>
    </w:p>
    <w:p>
      <w:pPr>
        <w:spacing w:line="240" w:lineRule="auto" w:before="0"/>
        <w:rPr>
          <w:rFonts w:ascii="宋体" w:hAnsi="宋体" w:cs="宋体" w:eastAsia="宋体" w:hint="default"/>
          <w:sz w:val="20"/>
          <w:szCs w:val="20"/>
        </w:rPr>
      </w:pPr>
    </w:p>
    <w:p>
      <w:pPr>
        <w:spacing w:line="324" w:lineRule="auto" w:before="176"/>
        <w:ind w:left="558" w:right="0"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六</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用户规模优势</w:t>
      </w:r>
      <w:r>
        <w:rPr>
          <w:rFonts w:ascii="宋体" w:hAnsi="宋体" w:cs="宋体" w:eastAsia="宋体" w:hint="default"/>
          <w:b/>
          <w:bCs/>
          <w:spacing w:val="-102"/>
          <w:sz w:val="21"/>
          <w:szCs w:val="21"/>
        </w:rPr>
        <w:t> </w:t>
      </w:r>
      <w:r>
        <w:rPr>
          <w:rFonts w:ascii="宋体" w:hAnsi="宋体" w:cs="宋体" w:eastAsia="宋体" w:hint="default"/>
          <w:spacing w:val="-2"/>
          <w:sz w:val="21"/>
          <w:szCs w:val="21"/>
        </w:rPr>
        <w:t>用户基础和流量是互联网企业持续发展的重要基础。公司是个人安全产品免费的首倡者，将</w:t>
      </w:r>
    </w:p>
    <w:p>
      <w:pPr>
        <w:pStyle w:val="BodyText"/>
        <w:spacing w:line="357" w:lineRule="auto" w:before="59"/>
        <w:ind w:left="0" w:right="107"/>
        <w:jc w:val="right"/>
      </w:pPr>
      <w:r>
        <w:rPr>
          <w:rFonts w:ascii="宋体" w:hAnsi="宋体" w:cs="宋体" w:eastAsia="宋体" w:hint="default"/>
        </w:rPr>
        <w:t>360</w:t>
      </w:r>
      <w:r>
        <w:rPr>
          <w:rFonts w:ascii="宋体" w:hAnsi="宋体" w:cs="宋体" w:eastAsia="宋体" w:hint="default"/>
          <w:spacing w:val="-50"/>
        </w:rPr>
        <w:t> </w:t>
      </w:r>
      <w:r>
        <w:rPr>
          <w:spacing w:val="-4"/>
        </w:rPr>
        <w:t>安全卫士、</w:t>
      </w:r>
      <w:r>
        <w:rPr>
          <w:rFonts w:ascii="宋体" w:hAnsi="宋体" w:cs="宋体" w:eastAsia="宋体" w:hint="default"/>
          <w:spacing w:val="-4"/>
        </w:rPr>
        <w:t>360</w:t>
      </w:r>
      <w:r>
        <w:rPr>
          <w:rFonts w:ascii="宋体" w:hAnsi="宋体" w:cs="宋体" w:eastAsia="宋体" w:hint="default"/>
          <w:spacing w:val="-50"/>
        </w:rPr>
        <w:t> </w:t>
      </w:r>
      <w:r>
        <w:rPr>
          <w:spacing w:val="-3"/>
        </w:rPr>
        <w:t>手机卫士、</w:t>
      </w:r>
      <w:r>
        <w:rPr>
          <w:rFonts w:ascii="宋体" w:hAnsi="宋体" w:cs="宋体" w:eastAsia="宋体" w:hint="default"/>
          <w:spacing w:val="-3"/>
        </w:rPr>
        <w:t>360</w:t>
      </w:r>
      <w:r>
        <w:rPr>
          <w:rFonts w:ascii="宋体" w:hAnsi="宋体" w:cs="宋体" w:eastAsia="宋体" w:hint="default"/>
          <w:spacing w:val="-53"/>
        </w:rPr>
        <w:t> </w:t>
      </w:r>
      <w:r>
        <w:rPr/>
        <w:t>杀毒等系列安全产品免费提供给数亿互联网用户，开拓和积累</w:t>
      </w:r>
      <w:r>
        <w:rPr>
          <w:w w:val="100"/>
        </w:rPr>
        <w:t> </w:t>
      </w:r>
      <w:r>
        <w:rPr>
          <w:spacing w:val="-4"/>
        </w:rPr>
        <w:t>了广泛的用户基础。根据第三方艾瑞咨询的数据，截至</w:t>
      </w:r>
      <w:r>
        <w:rPr>
          <w:spacing w:val="-46"/>
        </w:rPr>
        <w:t> </w:t>
      </w:r>
      <w:r>
        <w:rPr>
          <w:rFonts w:ascii="宋体" w:hAnsi="宋体" w:cs="宋体" w:eastAsia="宋体" w:hint="default"/>
        </w:rPr>
        <w:t>2018</w:t>
      </w:r>
      <w:r>
        <w:rPr>
          <w:rFonts w:ascii="宋体" w:hAnsi="宋体" w:cs="宋体" w:eastAsia="宋体" w:hint="default"/>
          <w:spacing w:val="-49"/>
        </w:rPr>
        <w:t> </w:t>
      </w:r>
      <w:r>
        <w:rPr/>
        <w:t>年</w:t>
      </w:r>
      <w:r>
        <w:rPr>
          <w:spacing w:val="-46"/>
        </w:rPr>
        <w:t> </w:t>
      </w:r>
      <w:r>
        <w:rPr>
          <w:rFonts w:ascii="宋体" w:hAnsi="宋体" w:cs="宋体" w:eastAsia="宋体" w:hint="default"/>
        </w:rPr>
        <w:t>12</w:t>
      </w:r>
      <w:r>
        <w:rPr>
          <w:rFonts w:ascii="宋体" w:hAnsi="宋体" w:cs="宋体" w:eastAsia="宋体" w:hint="default"/>
          <w:spacing w:val="-49"/>
        </w:rPr>
        <w:t> </w:t>
      </w:r>
      <w:r>
        <w:rPr>
          <w:spacing w:val="-9"/>
        </w:rPr>
        <w:t>月，公司</w:t>
      </w:r>
      <w:r>
        <w:rPr>
          <w:spacing w:val="-49"/>
        </w:rPr>
        <w:t> </w:t>
      </w:r>
      <w:r>
        <w:rPr>
          <w:rFonts w:ascii="宋体" w:hAnsi="宋体" w:cs="宋体" w:eastAsia="宋体" w:hint="default"/>
        </w:rPr>
        <w:t>PC</w:t>
      </w:r>
      <w:r>
        <w:rPr>
          <w:rFonts w:ascii="宋体" w:hAnsi="宋体" w:cs="宋体" w:eastAsia="宋体" w:hint="default"/>
          <w:spacing w:val="-45"/>
        </w:rPr>
        <w:t> </w:t>
      </w:r>
      <w:r>
        <w:rPr/>
        <w:t>安全产品的市场渗</w:t>
      </w:r>
      <w:r>
        <w:rPr>
          <w:w w:val="100"/>
        </w:rPr>
        <w:t> </w:t>
      </w:r>
      <w:r>
        <w:rPr/>
        <w:t>透率为</w:t>
      </w:r>
      <w:r>
        <w:rPr>
          <w:spacing w:val="-42"/>
        </w:rPr>
        <w:t> </w:t>
      </w:r>
      <w:r>
        <w:rPr>
          <w:rFonts w:ascii="宋体" w:hAnsi="宋体" w:cs="宋体" w:eastAsia="宋体" w:hint="default"/>
          <w:spacing w:val="-3"/>
        </w:rPr>
        <w:t>96.98%</w:t>
      </w:r>
      <w:r>
        <w:rPr>
          <w:spacing w:val="-3"/>
        </w:rPr>
        <w:t>，平均月活跃用户数平稳保持在</w:t>
      </w:r>
      <w:r>
        <w:rPr>
          <w:spacing w:val="-42"/>
        </w:rPr>
        <w:t> </w:t>
      </w:r>
      <w:r>
        <w:rPr>
          <w:rFonts w:ascii="宋体" w:hAnsi="宋体" w:cs="宋体" w:eastAsia="宋体" w:hint="default"/>
        </w:rPr>
        <w:t>5</w:t>
      </w:r>
      <w:r>
        <w:rPr>
          <w:rFonts w:ascii="宋体" w:hAnsi="宋体" w:cs="宋体" w:eastAsia="宋体" w:hint="default"/>
          <w:spacing w:val="-42"/>
        </w:rPr>
        <w:t> </w:t>
      </w:r>
      <w:r>
        <w:rPr>
          <w:spacing w:val="-5"/>
        </w:rPr>
        <w:t>亿以上，安全市场持续排名第一；</w:t>
      </w:r>
      <w:r>
        <w:rPr>
          <w:rFonts w:ascii="宋体" w:hAnsi="宋体" w:cs="宋体" w:eastAsia="宋体" w:hint="default"/>
          <w:spacing w:val="-5"/>
        </w:rPr>
        <w:t>PC</w:t>
      </w:r>
      <w:r>
        <w:rPr>
          <w:rFonts w:ascii="宋体" w:hAnsi="宋体" w:cs="宋体" w:eastAsia="宋体" w:hint="default"/>
          <w:spacing w:val="-42"/>
        </w:rPr>
        <w:t> </w:t>
      </w:r>
      <w:r>
        <w:rPr/>
        <w:t>浏览器市场</w:t>
      </w:r>
      <w:r>
        <w:rPr>
          <w:w w:val="100"/>
        </w:rPr>
        <w:t> </w:t>
      </w:r>
      <w:r>
        <w:rPr/>
        <w:t>渗透率为</w:t>
      </w:r>
      <w:r>
        <w:rPr>
          <w:spacing w:val="-42"/>
        </w:rPr>
        <w:t> </w:t>
      </w:r>
      <w:r>
        <w:rPr>
          <w:rFonts w:ascii="宋体" w:hAnsi="宋体" w:cs="宋体" w:eastAsia="宋体" w:hint="default"/>
          <w:spacing w:val="-6"/>
        </w:rPr>
        <w:t>82.11%</w:t>
      </w:r>
      <w:r>
        <w:rPr>
          <w:spacing w:val="-6"/>
        </w:rPr>
        <w:t>，平均月活跃用户数超达</w:t>
      </w:r>
      <w:r>
        <w:rPr>
          <w:spacing w:val="-42"/>
        </w:rPr>
        <w:t> </w:t>
      </w:r>
      <w:r>
        <w:rPr>
          <w:rFonts w:ascii="宋体" w:hAnsi="宋体" w:cs="宋体" w:eastAsia="宋体" w:hint="default"/>
        </w:rPr>
        <w:t>4.3</w:t>
      </w:r>
      <w:r>
        <w:rPr>
          <w:rFonts w:ascii="宋体" w:hAnsi="宋体" w:cs="宋体" w:eastAsia="宋体" w:hint="default"/>
          <w:spacing w:val="-44"/>
        </w:rPr>
        <w:t> </w:t>
      </w:r>
      <w:r>
        <w:rPr>
          <w:spacing w:val="-6"/>
        </w:rPr>
        <w:t>亿；移动安全产品的平均月活跃用户数达</w:t>
      </w:r>
      <w:r>
        <w:rPr>
          <w:spacing w:val="-40"/>
        </w:rPr>
        <w:t> </w:t>
      </w:r>
      <w:r>
        <w:rPr>
          <w:rFonts w:ascii="宋体" w:hAnsi="宋体" w:cs="宋体" w:eastAsia="宋体" w:hint="default"/>
        </w:rPr>
        <w:t>4.63</w:t>
      </w:r>
      <w:r>
        <w:rPr>
          <w:rFonts w:ascii="宋体" w:hAnsi="宋体" w:cs="宋体" w:eastAsia="宋体" w:hint="default"/>
          <w:spacing w:val="-44"/>
        </w:rPr>
        <w:t> </w:t>
      </w:r>
      <w:r>
        <w:rPr/>
        <w:t>亿。</w:t>
      </w:r>
      <w:r>
        <w:rPr>
          <w:w w:val="100"/>
        </w:rPr>
        <w:t> </w:t>
      </w:r>
      <w:r>
        <w:rPr>
          <w:spacing w:val="-1"/>
        </w:rPr>
        <w:t>广泛的用户基础为三六零提供了持续的网络安全样本数据及网络行为数据，有助于实时扩充</w:t>
      </w:r>
      <w:r>
        <w:rPr>
          <w:w w:val="100"/>
        </w:rPr>
        <w:t> </w:t>
      </w:r>
      <w:r>
        <w:rPr>
          <w:spacing w:val="-2"/>
        </w:rPr>
        <w:t>并更新公司的动态大数据资源。借助海量的用户基础，公司推出的新产品、新业务可得以迅速推</w:t>
      </w:r>
      <w:r>
        <w:rPr>
          <w:spacing w:val="-33"/>
        </w:rPr>
        <w:t> </w:t>
      </w:r>
      <w:r>
        <w:rPr>
          <w:spacing w:val="-33"/>
        </w:rPr>
      </w:r>
      <w:r>
        <w:rPr>
          <w:spacing w:val="-2"/>
        </w:rPr>
        <w:t>广、拓展，降低了推广时间及成本。此外，庞大的用户规模也为公司筑建了强大的竞争壁垒，保</w:t>
      </w:r>
    </w:p>
    <w:p>
      <w:pPr>
        <w:pStyle w:val="BodyText"/>
        <w:spacing w:line="240" w:lineRule="auto" w:before="30"/>
        <w:ind w:right="0"/>
        <w:jc w:val="left"/>
      </w:pPr>
      <w:r>
        <w:rPr/>
        <w:t>证了公司在行业竞争中的竞争优势。</w:t>
      </w:r>
    </w:p>
    <w:p>
      <w:pPr>
        <w:spacing w:after="0" w:line="240" w:lineRule="auto"/>
        <w:jc w:val="left"/>
        <w:sectPr>
          <w:pgSz w:w="11910" w:h="16840"/>
          <w:pgMar w:header="855" w:footer="1217" w:top="1320" w:bottom="1400" w:left="1660" w:right="1160"/>
        </w:sectPr>
      </w:pPr>
    </w:p>
    <w:p>
      <w:pPr>
        <w:spacing w:line="240" w:lineRule="auto" w:before="12"/>
        <w:rPr>
          <w:rFonts w:ascii="宋体" w:hAnsi="宋体" w:cs="宋体" w:eastAsia="宋体" w:hint="default"/>
          <w:sz w:val="9"/>
          <w:szCs w:val="9"/>
        </w:rPr>
      </w:pPr>
    </w:p>
    <w:p>
      <w:pPr>
        <w:pStyle w:val="Heading1"/>
        <w:tabs>
          <w:tab w:pos="3918" w:val="left" w:leader="none"/>
        </w:tabs>
        <w:spacing w:line="240" w:lineRule="auto"/>
        <w:ind w:left="2658" w:right="0"/>
        <w:jc w:val="left"/>
        <w:rPr>
          <w:b w:val="0"/>
          <w:bCs w:val="0"/>
        </w:rPr>
      </w:pPr>
      <w:bookmarkStart w:name="_TOC_250008"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pStyle w:val="Heading5"/>
        <w:spacing w:line="240" w:lineRule="auto"/>
        <w:ind w:left="138" w:right="0"/>
        <w:jc w:val="left"/>
        <w:rPr>
          <w:b w:val="0"/>
          <w:bCs w:val="0"/>
        </w:rPr>
      </w:pPr>
      <w:r>
        <w:rPr/>
        <w:t>一、经营情况讨论与分析</w:t>
      </w:r>
      <w:r>
        <w:rPr>
          <w:b w:val="0"/>
          <w:bCs w:val="0"/>
        </w:rPr>
      </w:r>
    </w:p>
    <w:p>
      <w:pPr>
        <w:pStyle w:val="BodyText"/>
        <w:spacing w:line="355" w:lineRule="auto" w:before="58"/>
        <w:ind w:right="207" w:firstLine="419"/>
        <w:jc w:val="both"/>
      </w:pPr>
      <w:r>
        <w:rPr>
          <w:rFonts w:ascii="宋体" w:hAnsi="宋体" w:cs="宋体" w:eastAsia="宋体" w:hint="default"/>
        </w:rPr>
        <w:t>2018</w:t>
      </w:r>
      <w:r>
        <w:rPr>
          <w:rFonts w:ascii="宋体" w:hAnsi="宋体" w:cs="宋体" w:eastAsia="宋体" w:hint="default"/>
          <w:spacing w:val="-44"/>
        </w:rPr>
        <w:t> </w:t>
      </w:r>
      <w:r>
        <w:rPr/>
        <w:t>年</w:t>
      </w:r>
      <w:r>
        <w:rPr>
          <w:spacing w:val="-42"/>
        </w:rPr>
        <w:t> </w:t>
      </w:r>
      <w:r>
        <w:rPr>
          <w:rFonts w:ascii="宋体" w:hAnsi="宋体" w:cs="宋体" w:eastAsia="宋体" w:hint="default"/>
        </w:rPr>
        <w:t>2</w:t>
      </w:r>
      <w:r>
        <w:rPr>
          <w:rFonts w:ascii="宋体" w:hAnsi="宋体" w:cs="宋体" w:eastAsia="宋体" w:hint="default"/>
          <w:spacing w:val="-44"/>
        </w:rPr>
        <w:t> </w:t>
      </w:r>
      <w:r>
        <w:rPr>
          <w:spacing w:val="-3"/>
        </w:rPr>
        <w:t>月，三六零通过重组上市顺利回归</w:t>
      </w:r>
      <w:r>
        <w:rPr>
          <w:spacing w:val="-42"/>
        </w:rPr>
        <w:t> </w:t>
      </w:r>
      <w:r>
        <w:rPr>
          <w:rFonts w:ascii="宋体" w:hAnsi="宋体" w:cs="宋体" w:eastAsia="宋体" w:hint="default"/>
        </w:rPr>
        <w:t>A</w:t>
      </w:r>
      <w:r>
        <w:rPr>
          <w:rFonts w:ascii="宋体" w:hAnsi="宋体" w:cs="宋体" w:eastAsia="宋体" w:hint="default"/>
          <w:spacing w:val="-44"/>
        </w:rPr>
        <w:t> </w:t>
      </w:r>
      <w:r>
        <w:rPr>
          <w:spacing w:val="-3"/>
        </w:rPr>
        <w:t>股，成为沪市“新经济、新蓝筹”的标志性上</w:t>
      </w:r>
      <w:r>
        <w:rPr>
          <w:w w:val="100"/>
        </w:rPr>
        <w:t> </w:t>
      </w:r>
      <w:r>
        <w:rPr/>
        <w:t>市公司之一。回归</w:t>
      </w:r>
      <w:r>
        <w:rPr>
          <w:spacing w:val="-54"/>
        </w:rPr>
        <w:t> </w:t>
      </w:r>
      <w:r>
        <w:rPr>
          <w:rFonts w:ascii="宋体" w:hAnsi="宋体" w:cs="宋体" w:eastAsia="宋体" w:hint="default"/>
        </w:rPr>
        <w:t>A</w:t>
      </w:r>
      <w:r>
        <w:rPr>
          <w:rFonts w:ascii="宋体" w:hAnsi="宋体" w:cs="宋体" w:eastAsia="宋体" w:hint="default"/>
          <w:spacing w:val="-56"/>
        </w:rPr>
        <w:t> </w:t>
      </w:r>
      <w:r>
        <w:rPr/>
        <w:t>股后，公司全面实施“大安全”战略，互联网业务所形成的客户、数据、技</w:t>
      </w:r>
      <w:r>
        <w:rPr>
          <w:w w:val="100"/>
        </w:rPr>
        <w:t> </w:t>
      </w:r>
      <w:r>
        <w:rPr>
          <w:spacing w:val="-2"/>
        </w:rPr>
        <w:t>术、资金等资源，为公司下一步深化国家、政府、企业和个人的网络安全建设、为用户提供更加</w:t>
      </w:r>
      <w:r>
        <w:rPr>
          <w:spacing w:val="-25"/>
        </w:rPr>
        <w:t> </w:t>
      </w:r>
      <w:r>
        <w:rPr>
          <w:spacing w:val="-25"/>
        </w:rPr>
      </w:r>
      <w:r>
        <w:rPr/>
        <w:t>全面的安全保障打下了坚实基础。</w:t>
      </w:r>
    </w:p>
    <w:p>
      <w:pPr>
        <w:pStyle w:val="BodyText"/>
        <w:spacing w:line="357" w:lineRule="auto" w:before="34"/>
        <w:ind w:right="217" w:firstLine="419"/>
        <w:jc w:val="both"/>
      </w:pPr>
      <w:r>
        <w:rPr>
          <w:spacing w:val="-2"/>
        </w:rPr>
        <w:t>报告期内，公司以互联网商业模式为主，通过免费互联网产品获取用户，并通过互联网广告</w:t>
      </w:r>
      <w:r>
        <w:rPr>
          <w:w w:val="100"/>
        </w:rPr>
        <w:t> </w:t>
      </w:r>
      <w:r>
        <w:rPr>
          <w:spacing w:val="-2"/>
        </w:rPr>
        <w:t>及服务、游戏以主的互联网增值服务和智能硬件业务进行变现，具体情况详见本节“二、报告期</w:t>
      </w:r>
      <w:r>
        <w:rPr>
          <w:spacing w:val="-25"/>
        </w:rPr>
        <w:t> </w:t>
      </w:r>
      <w:r>
        <w:rPr>
          <w:spacing w:val="-25"/>
        </w:rPr>
      </w:r>
      <w:r>
        <w:rPr/>
        <w:t>内主要经营情况”。</w:t>
      </w:r>
    </w:p>
    <w:p>
      <w:pPr>
        <w:pStyle w:val="BodyText"/>
        <w:spacing w:line="357" w:lineRule="auto" w:before="30"/>
        <w:ind w:right="217" w:firstLine="419"/>
        <w:jc w:val="both"/>
      </w:pPr>
      <w:r>
        <w:rPr>
          <w:spacing w:val="-2"/>
        </w:rPr>
        <w:t>三六零作为国内最大的互联网安全公司，坚持以“大安全”战略方向，高度重视安全技术、</w:t>
      </w:r>
      <w:r>
        <w:rPr>
          <w:w w:val="100"/>
        </w:rPr>
        <w:t> </w:t>
      </w:r>
      <w:r>
        <w:rPr>
          <w:spacing w:val="-2"/>
        </w:rPr>
        <w:t>数据、产品、服务方面的投入，在提升核心安全能力、布局城市及社会安全、加强家庭安全及个</w:t>
      </w:r>
      <w:r>
        <w:rPr>
          <w:spacing w:val="-25"/>
        </w:rPr>
        <w:t> </w:t>
      </w:r>
      <w:r>
        <w:rPr>
          <w:spacing w:val="-25"/>
        </w:rPr>
      </w:r>
      <w:r>
        <w:rPr>
          <w:spacing w:val="-2"/>
        </w:rPr>
        <w:t>人互联网安全以及车联网安全及移动安全合作方面做了大量工作，为后续开展政企安全业务进行</w:t>
      </w:r>
      <w:r>
        <w:rPr>
          <w:spacing w:val="-25"/>
        </w:rPr>
        <w:t> </w:t>
      </w:r>
      <w:r>
        <w:rPr>
          <w:spacing w:val="-25"/>
        </w:rPr>
      </w:r>
      <w:r>
        <w:rPr/>
        <w:t>了探索和储备，具体为：</w:t>
      </w:r>
    </w:p>
    <w:p>
      <w:pPr>
        <w:tabs>
          <w:tab w:pos="977" w:val="left" w:leader="none"/>
        </w:tabs>
        <w:spacing w:line="355" w:lineRule="auto" w:before="30"/>
        <w:ind w:left="558" w:right="220" w:hanging="42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z w:val="21"/>
          <w:szCs w:val="21"/>
        </w:rPr>
        <w:t>核心安全能力</w:t>
      </w:r>
      <w:r>
        <w:rPr>
          <w:rFonts w:ascii="宋体" w:hAnsi="宋体" w:cs="宋体" w:eastAsia="宋体" w:hint="default"/>
          <w:b/>
          <w:bCs/>
          <w:spacing w:val="-104"/>
          <w:sz w:val="21"/>
          <w:szCs w:val="21"/>
        </w:rPr>
        <w:t> </w:t>
      </w:r>
      <w:r>
        <w:rPr>
          <w:rFonts w:ascii="宋体" w:hAnsi="宋体" w:cs="宋体" w:eastAsia="宋体" w:hint="default"/>
          <w:spacing w:val="-2"/>
          <w:sz w:val="21"/>
          <w:szCs w:val="21"/>
        </w:rPr>
        <w:t>近年来，国际网络安全形势日益复杂多变，我国网信事业也面临着严峻的挑战和考验。习近</w:t>
      </w:r>
    </w:p>
    <w:p>
      <w:pPr>
        <w:pStyle w:val="BodyText"/>
        <w:spacing w:line="357" w:lineRule="auto" w:before="34"/>
        <w:ind w:right="0"/>
        <w:jc w:val="left"/>
      </w:pPr>
      <w:r>
        <w:rPr>
          <w:spacing w:val="-2"/>
          <w:w w:val="100"/>
        </w:rPr>
        <w:t>平总书记在</w:t>
      </w:r>
      <w:r>
        <w:rPr>
          <w:spacing w:val="-47"/>
          <w:w w:val="100"/>
        </w:rPr>
        <w:t> </w:t>
      </w:r>
      <w:r>
        <w:rPr>
          <w:rFonts w:ascii="宋体" w:hAnsi="宋体" w:cs="宋体" w:eastAsia="宋体" w:hint="default"/>
          <w:spacing w:val="-1"/>
          <w:w w:val="100"/>
        </w:rPr>
        <w:t>2018</w:t>
      </w:r>
      <w:r>
        <w:rPr>
          <w:rFonts w:ascii="宋体" w:hAnsi="宋体" w:cs="宋体" w:eastAsia="宋体" w:hint="default"/>
          <w:spacing w:val="-47"/>
          <w:w w:val="100"/>
        </w:rPr>
        <w:t> </w:t>
      </w:r>
      <w:r>
        <w:rPr>
          <w:w w:val="100"/>
        </w:rPr>
        <w:t>年</w:t>
      </w:r>
      <w:r>
        <w:rPr>
          <w:spacing w:val="-49"/>
          <w:w w:val="100"/>
        </w:rPr>
        <w:t> </w:t>
      </w:r>
      <w:r>
        <w:rPr>
          <w:rFonts w:ascii="宋体" w:hAnsi="宋体" w:cs="宋体" w:eastAsia="宋体" w:hint="default"/>
          <w:w w:val="100"/>
        </w:rPr>
        <w:t>4</w:t>
      </w:r>
      <w:r>
        <w:rPr>
          <w:rFonts w:ascii="宋体" w:hAnsi="宋体" w:cs="宋体" w:eastAsia="宋体" w:hint="default"/>
          <w:spacing w:val="-47"/>
          <w:w w:val="100"/>
        </w:rPr>
        <w:t> </w:t>
      </w:r>
      <w:r>
        <w:rPr>
          <w:spacing w:val="-5"/>
          <w:w w:val="100"/>
        </w:rPr>
        <w:t>月全国网络安全和信息化工作会议上发表重要讲话，阐明了在新的历史条件</w:t>
      </w:r>
      <w:r>
        <w:rPr>
          <w:spacing w:val="-103"/>
          <w:w w:val="100"/>
        </w:rPr>
        <w:t> </w:t>
      </w:r>
      <w:r>
        <w:rPr>
          <w:spacing w:val="-103"/>
          <w:w w:val="100"/>
        </w:rPr>
      </w:r>
      <w:r>
        <w:rPr/>
        <w:t>下，如何构建网络安全能力体系，建设网络强国的重大战略问题。</w:t>
      </w:r>
    </w:p>
    <w:p>
      <w:pPr>
        <w:pStyle w:val="BodyText"/>
        <w:spacing w:line="357" w:lineRule="auto" w:before="30"/>
        <w:ind w:right="99" w:firstLine="419"/>
        <w:jc w:val="left"/>
      </w:pPr>
      <w:r>
        <w:rPr/>
        <w:t>为响应国家号召，报告期内三六零全面实施“大安全”战略，凭借多年来在互联网安全领域</w:t>
      </w:r>
      <w:r>
        <w:rPr>
          <w:w w:val="100"/>
        </w:rPr>
        <w:t> </w:t>
      </w:r>
      <w:r>
        <w:rPr>
          <w:spacing w:val="-4"/>
        </w:rPr>
        <w:t>的积累的先进技术和成功经验，公司综合运用“IMABCDE”等核心技术以及顶尖安全专家的分析能</w:t>
      </w:r>
      <w:r>
        <w:rPr>
          <w:spacing w:val="-22"/>
        </w:rPr>
        <w:t> </w:t>
      </w:r>
      <w:r>
        <w:rPr>
          <w:spacing w:val="-22"/>
        </w:rPr>
      </w:r>
      <w:r>
        <w:rPr/>
        <w:t>力，在万物互联时代通过“360</w:t>
      </w:r>
      <w:r>
        <w:rPr>
          <w:spacing w:val="-56"/>
        </w:rPr>
        <w:t> </w:t>
      </w:r>
      <w:r>
        <w:rPr/>
        <w:t>安全大脑”为国家、社会及用户提供更加智能化、整体化的安全</w:t>
      </w:r>
      <w:r>
        <w:rPr>
          <w:w w:val="100"/>
        </w:rPr>
        <w:t> </w:t>
      </w:r>
      <w:r>
        <w:rPr>
          <w:spacing w:val="-7"/>
        </w:rPr>
        <w:t>策略。“360</w:t>
      </w:r>
      <w:r>
        <w:rPr>
          <w:spacing w:val="-52"/>
        </w:rPr>
        <w:t> </w:t>
      </w:r>
      <w:r>
        <w:rPr/>
        <w:t>安全大脑”的设计初衷就是为针对国家层面的网络威胁及攻击提供整体化解决方案。</w:t>
      </w:r>
      <w:r>
        <w:rPr>
          <w:w w:val="100"/>
        </w:rPr>
        <w:t> </w:t>
      </w:r>
      <w:r>
        <w:rPr/>
        <w:t>三六零已将该平台的感知、推理、预警等五项核心能力，以及衍生而来的态势感知、攻击监测、</w:t>
      </w:r>
      <w:r>
        <w:rPr>
          <w:w w:val="100"/>
        </w:rPr>
        <w:t> </w:t>
      </w:r>
      <w:r>
        <w:rPr>
          <w:spacing w:val="-6"/>
        </w:rPr>
        <w:t>网络安保指挥等具体操作平台及系统，广泛运用于国家级重大活动的安保准备、保障过程中。</w:t>
      </w:r>
      <w:r>
        <w:rPr>
          <w:rFonts w:ascii="宋体" w:hAnsi="宋体" w:cs="宋体" w:eastAsia="宋体" w:hint="default"/>
          <w:spacing w:val="-6"/>
        </w:rPr>
        <w:t>2018</w:t>
      </w:r>
      <w:r>
        <w:rPr>
          <w:rFonts w:ascii="宋体" w:hAnsi="宋体" w:cs="宋体" w:eastAsia="宋体" w:hint="default"/>
          <w:spacing w:val="-42"/>
        </w:rPr>
        <w:t> </w:t>
      </w:r>
      <w:r>
        <w:rPr>
          <w:rFonts w:ascii="宋体" w:hAnsi="宋体" w:cs="宋体" w:eastAsia="宋体" w:hint="default"/>
          <w:spacing w:val="-42"/>
        </w:rPr>
      </w:r>
      <w:r>
        <w:rPr/>
        <w:t>年，三六零作为重要安全保障单位积极参与了两会、博鳌论坛、中非论坛、世界互联网大会、网</w:t>
      </w:r>
      <w:r>
        <w:rPr>
          <w:w w:val="100"/>
        </w:rPr>
        <w:t> </w:t>
      </w:r>
      <w:r>
        <w:rPr/>
        <w:t>络安全宣传周、上合青岛峰会等重大活动的网络安保工作。</w:t>
      </w:r>
    </w:p>
    <w:p>
      <w:pPr>
        <w:pStyle w:val="BodyText"/>
        <w:spacing w:line="357" w:lineRule="auto" w:before="30"/>
        <w:ind w:right="207" w:firstLine="419"/>
        <w:jc w:val="both"/>
      </w:pPr>
      <w:r>
        <w:rPr>
          <w:spacing w:val="-2"/>
        </w:rPr>
        <w:t>攻防能力是公司的核心安全能力之一。报告期内，公司为十余个国家部委、监管机构及央企</w:t>
      </w:r>
      <w:r>
        <w:rPr>
          <w:w w:val="100"/>
        </w:rPr>
        <w:t> </w:t>
      </w:r>
      <w:r>
        <w:rPr>
          <w:spacing w:val="-2"/>
        </w:rPr>
        <w:t>国企等提供网络攻防实战演练服务，演练规模空前。通过演练，使国家重点单位及机构能够切实</w:t>
      </w:r>
      <w:r>
        <w:rPr>
          <w:spacing w:val="-25"/>
        </w:rPr>
        <w:t> </w:t>
      </w:r>
      <w:r>
        <w:rPr>
          <w:spacing w:val="-25"/>
        </w:rPr>
      </w:r>
      <w:r>
        <w:rPr>
          <w:spacing w:val="-2"/>
        </w:rPr>
        <w:t>了解网络攻击对核心业务和数据的实际影响，锁定其防守的薄弱环节，从而向可防御有组织进攻</w:t>
      </w:r>
      <w:r>
        <w:rPr>
          <w:spacing w:val="-25"/>
        </w:rPr>
        <w:t> </w:t>
      </w:r>
      <w:r>
        <w:rPr>
          <w:spacing w:val="-25"/>
        </w:rPr>
      </w:r>
      <w:r>
        <w:rPr>
          <w:spacing w:val="-2"/>
        </w:rPr>
        <w:t>的能力迈进。这一服务也有助于积极应对网络安全形势新变化、有效应对快速演变的网络威胁，</w:t>
      </w:r>
      <w:r>
        <w:rPr>
          <w:spacing w:val="-25"/>
        </w:rPr>
        <w:t> </w:t>
      </w:r>
      <w:r>
        <w:rPr>
          <w:spacing w:val="-25"/>
        </w:rPr>
      </w:r>
      <w:r>
        <w:rPr>
          <w:spacing w:val="-2"/>
        </w:rPr>
        <w:t>进而改善互联网网络安全环境、有力促进我国关键基础设施网络安全保障能力不断提升。借助大</w:t>
      </w:r>
      <w:r>
        <w:rPr>
          <w:spacing w:val="-25"/>
        </w:rPr>
        <w:t> </w:t>
      </w:r>
      <w:r>
        <w:rPr>
          <w:spacing w:val="-25"/>
        </w:rPr>
      </w:r>
      <w:r>
        <w:rPr/>
        <w:t>数据分析、人工智能和强大的专家系统能力，“</w:t>
      </w:r>
      <w:r>
        <w:rPr>
          <w:rFonts w:ascii="宋体" w:hAnsi="宋体" w:cs="宋体" w:eastAsia="宋体" w:hint="default"/>
        </w:rPr>
        <w:t>360</w:t>
      </w:r>
      <w:r>
        <w:rPr>
          <w:rFonts w:ascii="宋体" w:hAnsi="宋体" w:cs="宋体" w:eastAsia="宋体" w:hint="default"/>
          <w:spacing w:val="-54"/>
        </w:rPr>
        <w:t> </w:t>
      </w:r>
      <w:r>
        <w:rPr/>
        <w:t>安全大脑”在监测和应对国际网络威胁方面</w:t>
      </w:r>
      <w:r>
        <w:rPr>
          <w:w w:val="100"/>
        </w:rPr>
        <w:t> </w:t>
      </w:r>
      <w:r>
        <w:rPr>
          <w:spacing w:val="-4"/>
        </w:rPr>
        <w:t>成功溯源和发现多个境外高级持续性威胁攻击（</w:t>
      </w:r>
      <w:r>
        <w:rPr>
          <w:rFonts w:ascii="宋体" w:hAnsi="宋体" w:cs="宋体" w:eastAsia="宋体" w:hint="default"/>
          <w:spacing w:val="-4"/>
        </w:rPr>
        <w:t>APT</w:t>
      </w:r>
      <w:r>
        <w:rPr>
          <w:spacing w:val="-4"/>
        </w:rPr>
        <w:t>）组织。三六零全球领先的</w:t>
      </w:r>
      <w:r>
        <w:rPr>
          <w:spacing w:val="-17"/>
        </w:rPr>
        <w:t> </w:t>
      </w:r>
      <w:r>
        <w:rPr>
          <w:rFonts w:ascii="宋体" w:hAnsi="宋体" w:cs="宋体" w:eastAsia="宋体" w:hint="default"/>
        </w:rPr>
        <w:t>APT</w:t>
      </w:r>
      <w:r>
        <w:rPr>
          <w:rFonts w:ascii="宋体" w:hAnsi="宋体" w:cs="宋体" w:eastAsia="宋体" w:hint="default"/>
          <w:spacing w:val="-22"/>
        </w:rPr>
        <w:t> </w:t>
      </w:r>
      <w:r>
        <w:rPr>
          <w:spacing w:val="-6"/>
        </w:rPr>
        <w:t>检测、溯源和</w:t>
      </w:r>
      <w:r>
        <w:rPr>
          <w:spacing w:val="-92"/>
        </w:rPr>
        <w:t> </w:t>
      </w:r>
      <w:r>
        <w:rPr>
          <w:spacing w:val="-92"/>
        </w:rPr>
      </w:r>
      <w:r>
        <w:rPr/>
        <w:t>威胁情报处理能力，为我国国家网络安全建设贡献了重要力量。</w:t>
      </w:r>
    </w:p>
    <w:p>
      <w:pPr>
        <w:spacing w:after="0" w:line="357" w:lineRule="auto"/>
        <w:jc w:val="both"/>
        <w:sectPr>
          <w:pgSz w:w="11910" w:h="16840"/>
          <w:pgMar w:header="855" w:footer="1217" w:top="1320" w:bottom="1400" w:left="1660" w:right="1060"/>
        </w:sectPr>
      </w:pPr>
    </w:p>
    <w:p>
      <w:pPr>
        <w:spacing w:line="240" w:lineRule="auto" w:before="4"/>
        <w:rPr>
          <w:rFonts w:ascii="宋体" w:hAnsi="宋体" w:cs="宋体" w:eastAsia="宋体" w:hint="default"/>
          <w:sz w:val="9"/>
          <w:szCs w:val="9"/>
        </w:rPr>
      </w:pPr>
    </w:p>
    <w:p>
      <w:pPr>
        <w:pStyle w:val="BodyText"/>
        <w:spacing w:line="357" w:lineRule="auto" w:before="36"/>
        <w:ind w:right="0" w:firstLine="419"/>
        <w:jc w:val="left"/>
      </w:pPr>
      <w:r>
        <w:rPr>
          <w:spacing w:val="-2"/>
        </w:rPr>
        <w:t>漏洞挖掘能力是攻防能力的重要体现。三六零凭借领先的技术水平和核心人才优势，斩获了</w:t>
      </w:r>
      <w:r>
        <w:rPr>
          <w:w w:val="100"/>
        </w:rPr>
        <w:t> </w:t>
      </w:r>
      <w:r>
        <w:rPr/>
        <w:t>国内外多项重要致谢和奖项。</w:t>
      </w:r>
      <w:r>
        <w:rPr>
          <w:rFonts w:ascii="宋体" w:hAnsi="宋体" w:cs="宋体" w:eastAsia="宋体" w:hint="default"/>
        </w:rPr>
        <w:t>2018</w:t>
      </w:r>
      <w:r>
        <w:rPr>
          <w:rFonts w:ascii="宋体" w:hAnsi="宋体" w:cs="宋体" w:eastAsia="宋体" w:hint="default"/>
          <w:spacing w:val="-40"/>
        </w:rPr>
        <w:t> </w:t>
      </w:r>
      <w:r>
        <w:rPr>
          <w:spacing w:val="-5"/>
        </w:rPr>
        <w:t>年，公司发掘微软、谷歌、苹果、华为、高通、</w:t>
      </w:r>
      <w:r>
        <w:rPr>
          <w:rFonts w:ascii="宋体" w:hAnsi="宋体" w:cs="宋体" w:eastAsia="宋体" w:hint="default"/>
          <w:spacing w:val="-5"/>
        </w:rPr>
        <w:t>VMWare</w:t>
      </w:r>
      <w:r>
        <w:rPr>
          <w:rFonts w:ascii="宋体" w:hAnsi="宋体" w:cs="宋体" w:eastAsia="宋体" w:hint="default"/>
          <w:spacing w:val="-40"/>
        </w:rPr>
        <w:t> </w:t>
      </w:r>
      <w:r>
        <w:rPr/>
        <w:t>等全球</w:t>
      </w:r>
      <w:r>
        <w:rPr>
          <w:spacing w:val="-99"/>
        </w:rPr>
        <w:t> </w:t>
      </w:r>
      <w:r>
        <w:rPr>
          <w:spacing w:val="-99"/>
        </w:rPr>
      </w:r>
      <w:r>
        <w:rPr/>
        <w:t>主流厂商</w:t>
      </w:r>
      <w:r>
        <w:rPr>
          <w:spacing w:val="-55"/>
        </w:rPr>
        <w:t> </w:t>
      </w:r>
      <w:r>
        <w:rPr>
          <w:rFonts w:ascii="宋体" w:hAnsi="宋体" w:cs="宋体" w:eastAsia="宋体" w:hint="default"/>
        </w:rPr>
        <w:t>489</w:t>
      </w:r>
      <w:r>
        <w:rPr>
          <w:rFonts w:ascii="宋体" w:hAnsi="宋体" w:cs="宋体" w:eastAsia="宋体" w:hint="default"/>
          <w:spacing w:val="-55"/>
        </w:rPr>
        <w:t> </w:t>
      </w:r>
      <w:r>
        <w:rPr/>
        <w:t>个漏洞并获得致谢，成为全球获得致谢次数最多的安全厂商，刷新世界纪录；公司</w:t>
      </w:r>
      <w:r>
        <w:rPr>
          <w:w w:val="100"/>
        </w:rPr>
        <w:t> </w:t>
      </w:r>
      <w:r>
        <w:rPr/>
        <w:t>是唯一一家连续三年上榜谷歌安卓安全年报的安全厂商，已累计报告</w:t>
      </w:r>
      <w:r>
        <w:rPr>
          <w:spacing w:val="-54"/>
        </w:rPr>
        <w:t> </w:t>
      </w:r>
      <w:r>
        <w:rPr>
          <w:rFonts w:ascii="宋体" w:hAnsi="宋体" w:cs="宋体" w:eastAsia="宋体" w:hint="default"/>
        </w:rPr>
        <w:t>506</w:t>
      </w:r>
      <w:r>
        <w:rPr>
          <w:rFonts w:ascii="宋体" w:hAnsi="宋体" w:cs="宋体" w:eastAsia="宋体" w:hint="default"/>
          <w:spacing w:val="-54"/>
        </w:rPr>
        <w:t> </w:t>
      </w:r>
      <w:r>
        <w:rPr/>
        <w:t>个安卓系统和</w:t>
      </w:r>
      <w:r>
        <w:rPr>
          <w:spacing w:val="-53"/>
        </w:rPr>
        <w:t> </w:t>
      </w:r>
      <w:r>
        <w:rPr>
          <w:rFonts w:ascii="宋体" w:hAnsi="宋体" w:cs="宋体" w:eastAsia="宋体" w:hint="default"/>
        </w:rPr>
        <w:t>Chrome</w:t>
      </w:r>
      <w:r>
        <w:rPr>
          <w:rFonts w:ascii="宋体" w:hAnsi="宋体" w:cs="宋体" w:eastAsia="宋体" w:hint="default"/>
          <w:w w:val="100"/>
        </w:rPr>
        <w:t> </w:t>
      </w:r>
      <w:r>
        <w:rPr/>
        <w:t>浏览器漏洞；公司是首个进入高通“漏洞奖励计划”全球</w:t>
      </w:r>
      <w:r>
        <w:rPr>
          <w:spacing w:val="-54"/>
        </w:rPr>
        <w:t> </w:t>
      </w:r>
      <w:r>
        <w:rPr>
          <w:rFonts w:ascii="宋体" w:hAnsi="宋体" w:cs="宋体" w:eastAsia="宋体" w:hint="default"/>
        </w:rPr>
        <w:t>Top</w:t>
      </w:r>
      <w:r>
        <w:rPr>
          <w:rFonts w:ascii="宋体" w:hAnsi="宋体" w:cs="宋体" w:eastAsia="宋体" w:hint="default"/>
          <w:spacing w:val="-3"/>
        </w:rPr>
        <w:t> </w:t>
      </w:r>
      <w:r>
        <w:rPr>
          <w:rFonts w:ascii="宋体" w:hAnsi="宋体" w:cs="宋体" w:eastAsia="宋体" w:hint="default"/>
        </w:rPr>
        <w:t>5</w:t>
      </w:r>
      <w:r>
        <w:rPr>
          <w:rFonts w:ascii="宋体" w:hAnsi="宋体" w:cs="宋体" w:eastAsia="宋体" w:hint="default"/>
          <w:spacing w:val="-54"/>
        </w:rPr>
        <w:t> </w:t>
      </w:r>
      <w:r>
        <w:rPr/>
        <w:t>的中国厂商；区块链安全方面，</w:t>
      </w:r>
      <w:r>
        <w:rPr>
          <w:w w:val="100"/>
        </w:rPr>
        <w:t> </w:t>
      </w:r>
      <w:r>
        <w:rPr/>
        <w:t>公司发现并上报了</w:t>
      </w:r>
      <w:r>
        <w:rPr>
          <w:spacing w:val="-55"/>
        </w:rPr>
        <w:t> </w:t>
      </w:r>
      <w:r>
        <w:rPr>
          <w:rFonts w:ascii="宋体" w:hAnsi="宋体" w:cs="宋体" w:eastAsia="宋体" w:hint="default"/>
        </w:rPr>
        <w:t>EOS</w:t>
      </w:r>
      <w:r>
        <w:rPr>
          <w:rFonts w:ascii="宋体" w:hAnsi="宋体" w:cs="宋体" w:eastAsia="宋体" w:hint="default"/>
          <w:spacing w:val="-54"/>
        </w:rPr>
        <w:t> </w:t>
      </w:r>
      <w:r>
        <w:rPr/>
        <w:t>平台一系列高危漏洞，收到其官方首次向安全机构发出的赏金致谢。</w:t>
      </w:r>
    </w:p>
    <w:p>
      <w:pPr>
        <w:pStyle w:val="BodyText"/>
        <w:spacing w:line="240" w:lineRule="auto" w:before="32"/>
        <w:ind w:left="558" w:right="0"/>
        <w:jc w:val="left"/>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月，三六零在“FIT</w:t>
      </w:r>
      <w:r>
        <w:rPr>
          <w:spacing w:val="-40"/>
        </w:rPr>
        <w:t> </w:t>
      </w:r>
      <w:r>
        <w:rPr/>
        <w:t>2019</w:t>
      </w:r>
      <w:r>
        <w:rPr>
          <w:spacing w:val="-55"/>
        </w:rPr>
        <w:t> </w:t>
      </w:r>
      <w:r>
        <w:rPr/>
        <w:t>互联网安全创新大会”上荣获“2018</w:t>
      </w:r>
      <w:r>
        <w:rPr>
          <w:spacing w:val="-55"/>
        </w:rPr>
        <w:t> </w:t>
      </w:r>
      <w:r>
        <w:rPr/>
        <w:t>年度国家力量”奖</w:t>
      </w:r>
    </w:p>
    <w:p>
      <w:pPr>
        <w:tabs>
          <w:tab w:pos="977" w:val="left" w:leader="none"/>
        </w:tabs>
        <w:spacing w:line="357" w:lineRule="auto" w:before="133"/>
        <w:ind w:left="138" w:right="1906" w:firstLine="0"/>
        <w:jc w:val="left"/>
        <w:rPr>
          <w:rFonts w:ascii="宋体" w:hAnsi="宋体" w:cs="宋体" w:eastAsia="宋体" w:hint="default"/>
          <w:sz w:val="21"/>
          <w:szCs w:val="21"/>
        </w:rPr>
      </w:pPr>
      <w:r>
        <w:rPr>
          <w:rFonts w:ascii="宋体" w:hAnsi="宋体" w:cs="宋体" w:eastAsia="宋体" w:hint="default"/>
          <w:sz w:val="21"/>
          <w:szCs w:val="21"/>
        </w:rPr>
        <w:t>项，业界对公司</w:t>
      </w:r>
      <w:r>
        <w:rPr>
          <w:rFonts w:ascii="宋体" w:hAnsi="宋体" w:cs="宋体" w:eastAsia="宋体" w:hint="default"/>
          <w:spacing w:val="-56"/>
          <w:sz w:val="21"/>
          <w:szCs w:val="21"/>
        </w:rPr>
        <w:t>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年在互联网安全领域做出突出贡献所给予了高度肯定。</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z w:val="21"/>
          <w:szCs w:val="21"/>
        </w:rPr>
        <w:t>城市及社会安全</w:t>
      </w:r>
      <w:r>
        <w:rPr>
          <w:rFonts w:ascii="宋体" w:hAnsi="宋体" w:cs="宋体" w:eastAsia="宋体" w:hint="default"/>
          <w:sz w:val="21"/>
          <w:szCs w:val="21"/>
        </w:rPr>
      </w:r>
    </w:p>
    <w:p>
      <w:pPr>
        <w:pStyle w:val="BodyText"/>
        <w:spacing w:line="357" w:lineRule="auto" w:before="30"/>
        <w:ind w:right="0" w:firstLine="419"/>
        <w:jc w:val="left"/>
      </w:pPr>
      <w:r>
        <w:rPr/>
        <w:t>安全威胁不仅仅局限于网络空间，同样存在于城市、社会。布局城市安全业务是公司</w:t>
      </w:r>
      <w:r>
        <w:rPr>
          <w:spacing w:val="-53"/>
        </w:rPr>
        <w:t> </w:t>
      </w:r>
      <w:r>
        <w:rPr>
          <w:rFonts w:ascii="宋体" w:hAnsi="宋体" w:cs="宋体" w:eastAsia="宋体" w:hint="default"/>
        </w:rPr>
        <w:t>2018</w:t>
      </w:r>
      <w:r>
        <w:rPr>
          <w:rFonts w:ascii="宋体" w:hAnsi="宋体" w:cs="宋体" w:eastAsia="宋体" w:hint="default"/>
          <w:w w:val="100"/>
        </w:rPr>
        <w:t> </w:t>
      </w:r>
      <w:r>
        <w:rPr>
          <w:spacing w:val="-6"/>
        </w:rPr>
        <w:t>年的重要战略部署之一。针对城市及社会的安全需求，三六零在“360</w:t>
      </w:r>
      <w:r>
        <w:rPr>
          <w:spacing w:val="-25"/>
        </w:rPr>
        <w:t> </w:t>
      </w:r>
      <w:r>
        <w:rPr/>
        <w:t>安全大脑”的技术基础上，</w:t>
      </w:r>
      <w:r>
        <w:rPr>
          <w:spacing w:val="-94"/>
        </w:rPr>
        <w:t> </w:t>
      </w:r>
      <w:r>
        <w:rPr>
          <w:spacing w:val="-94"/>
        </w:rPr>
      </w:r>
      <w:r>
        <w:rPr/>
        <w:t>通过构建“360</w:t>
      </w:r>
      <w:r>
        <w:rPr>
          <w:spacing w:val="-56"/>
        </w:rPr>
        <w:t> </w:t>
      </w:r>
      <w:r>
        <w:rPr/>
        <w:t>城市安全大脑”解决城市物理空间的安全问题。目前，三六零的城市安全重点业</w:t>
      </w:r>
      <w:r>
        <w:rPr>
          <w:w w:val="100"/>
        </w:rPr>
        <w:t> </w:t>
      </w:r>
      <w:r>
        <w:rPr/>
        <w:t>务包括社区安全、出行安全、应急管理、城市管理、公共安全等五大板块，拟通过“360</w:t>
      </w:r>
      <w:r>
        <w:rPr>
          <w:spacing w:val="-55"/>
        </w:rPr>
        <w:t> </w:t>
      </w:r>
      <w:r>
        <w:rPr/>
        <w:t>城市安</w:t>
      </w:r>
      <w:r>
        <w:rPr>
          <w:w w:val="100"/>
        </w:rPr>
        <w:t> </w:t>
      </w:r>
      <w:r>
        <w:rPr>
          <w:spacing w:val="-2"/>
        </w:rPr>
        <w:t>全大脑”的物联网、无线通讯、</w:t>
      </w:r>
      <w:r>
        <w:rPr>
          <w:rFonts w:ascii="宋体" w:hAnsi="宋体" w:cs="宋体" w:eastAsia="宋体" w:hint="default"/>
          <w:spacing w:val="-2"/>
        </w:rPr>
        <w:t>AI</w:t>
      </w:r>
      <w:r>
        <w:rPr>
          <w:spacing w:val="-2"/>
        </w:rPr>
        <w:t>、区块链、云、大数据、边缘计算等能力，结合自研及与上下</w:t>
      </w:r>
      <w:r>
        <w:rPr>
          <w:spacing w:val="-23"/>
        </w:rPr>
        <w:t> </w:t>
      </w:r>
      <w:r>
        <w:rPr>
          <w:spacing w:val="-23"/>
        </w:rPr>
      </w:r>
      <w:r>
        <w:rPr/>
        <w:t>游软硬件厂商的合作，构建城市安全整体解决方案并扩展自身在物理空间的安全处理能力。</w:t>
      </w:r>
    </w:p>
    <w:p>
      <w:pPr>
        <w:pStyle w:val="BodyText"/>
        <w:spacing w:line="357" w:lineRule="auto" w:before="32"/>
        <w:ind w:right="107" w:firstLine="419"/>
        <w:jc w:val="both"/>
      </w:pPr>
      <w:r>
        <w:rPr>
          <w:spacing w:val="-3"/>
        </w:rPr>
        <w:t>报告期内，公司已在内部搭建了数十个“</w:t>
      </w:r>
      <w:r>
        <w:rPr>
          <w:rFonts w:ascii="宋体" w:hAnsi="宋体" w:cs="宋体" w:eastAsia="宋体" w:hint="default"/>
          <w:spacing w:val="-3"/>
        </w:rPr>
        <w:t>360</w:t>
      </w:r>
      <w:r>
        <w:rPr>
          <w:rFonts w:ascii="宋体" w:hAnsi="宋体" w:cs="宋体" w:eastAsia="宋体" w:hint="default"/>
          <w:spacing w:val="-39"/>
        </w:rPr>
        <w:t> </w:t>
      </w:r>
      <w:r>
        <w:rPr/>
        <w:t>城市安全大脑”的</w:t>
      </w:r>
      <w:r>
        <w:rPr>
          <w:spacing w:val="-39"/>
        </w:rPr>
        <w:t> </w:t>
      </w:r>
      <w:r>
        <w:rPr>
          <w:rFonts w:ascii="宋体" w:hAnsi="宋体" w:cs="宋体" w:eastAsia="宋体" w:hint="default"/>
        </w:rPr>
        <w:t>AI</w:t>
      </w:r>
      <w:r>
        <w:rPr>
          <w:rFonts w:ascii="宋体" w:hAnsi="宋体" w:cs="宋体" w:eastAsia="宋体" w:hint="default"/>
          <w:spacing w:val="-42"/>
        </w:rPr>
        <w:t> </w:t>
      </w:r>
      <w:r>
        <w:rPr>
          <w:spacing w:val="-3"/>
        </w:rPr>
        <w:t>设计模型，基本完成相关</w:t>
      </w:r>
      <w:r>
        <w:rPr>
          <w:w w:val="100"/>
        </w:rPr>
        <w:t> </w:t>
      </w:r>
      <w:r>
        <w:rPr>
          <w:spacing w:val="-2"/>
        </w:rPr>
        <w:t>的业务系统开发及大数据平台的产品化开发，未来将根据在各地区的投入试点情况对产品及服务</w:t>
      </w:r>
      <w:r>
        <w:rPr>
          <w:spacing w:val="-25"/>
        </w:rPr>
        <w:t> </w:t>
      </w:r>
      <w:r>
        <w:rPr>
          <w:spacing w:val="-25"/>
        </w:rPr>
      </w:r>
      <w:r>
        <w:rPr/>
        <w:t>方案进行优化和调整。</w:t>
      </w:r>
      <w:r>
        <w:rPr>
          <w:rFonts w:ascii="宋体" w:hAnsi="宋体" w:cs="宋体" w:eastAsia="宋体" w:hint="default"/>
        </w:rPr>
        <w:t>2018</w:t>
      </w:r>
      <w:r>
        <w:rPr>
          <w:rFonts w:ascii="宋体" w:hAnsi="宋体" w:cs="宋体" w:eastAsia="宋体" w:hint="default"/>
          <w:spacing w:val="-22"/>
        </w:rPr>
        <w:t> </w:t>
      </w:r>
      <w:r>
        <w:rPr>
          <w:spacing w:val="-3"/>
        </w:rPr>
        <w:t>年，公司已与雄安新区、天津、西安、成都、南京等地区开展了战略</w:t>
      </w:r>
      <w:r>
        <w:rPr>
          <w:spacing w:val="-94"/>
        </w:rPr>
        <w:t> </w:t>
      </w:r>
      <w:r>
        <w:rPr>
          <w:spacing w:val="-94"/>
        </w:rPr>
      </w:r>
      <w:r>
        <w:rPr>
          <w:spacing w:val="-2"/>
        </w:rPr>
        <w:t>合作，拟通过为城市提供智能化、整体化的安全服务，进一步实践“大安全”战略，推动建设开</w:t>
      </w:r>
      <w:r>
        <w:rPr>
          <w:spacing w:val="-25"/>
        </w:rPr>
        <w:t> </w:t>
      </w:r>
      <w:r>
        <w:rPr>
          <w:spacing w:val="-25"/>
        </w:rPr>
      </w:r>
      <w:r>
        <w:rPr>
          <w:spacing w:val="-2"/>
        </w:rPr>
        <w:t>放协同的数字安全基础设施，实现创新技术与实体经济的深度融合，进而为城市打造全新的“大</w:t>
      </w:r>
      <w:r>
        <w:rPr>
          <w:spacing w:val="-25"/>
        </w:rPr>
        <w:t> </w:t>
      </w:r>
      <w:r>
        <w:rPr>
          <w:spacing w:val="-25"/>
        </w:rPr>
      </w:r>
      <w:r>
        <w:rPr/>
        <w:t>安全”产业生态。</w:t>
      </w:r>
    </w:p>
    <w:p>
      <w:pPr>
        <w:pStyle w:val="BodyText"/>
        <w:spacing w:line="355" w:lineRule="auto" w:before="30"/>
        <w:ind w:right="108" w:firstLine="419"/>
        <w:jc w:val="both"/>
      </w:pPr>
      <w:r>
        <w:rPr>
          <w:rFonts w:ascii="宋体" w:hAnsi="宋体" w:cs="宋体" w:eastAsia="宋体" w:hint="default"/>
        </w:rPr>
        <w:t>2018</w:t>
      </w:r>
      <w:r>
        <w:rPr>
          <w:rFonts w:ascii="宋体" w:hAnsi="宋体" w:cs="宋体" w:eastAsia="宋体" w:hint="default"/>
          <w:spacing w:val="-6"/>
        </w:rPr>
        <w:t> </w:t>
      </w:r>
      <w:r>
        <w:rPr>
          <w:spacing w:val="-3"/>
        </w:rPr>
        <w:t>年，公司对与公安机关联合发起的猎网平台进行了全新升级，为用户提供了更好的网络</w:t>
      </w:r>
      <w:r>
        <w:rPr>
          <w:w w:val="100"/>
        </w:rPr>
        <w:t> </w:t>
      </w:r>
      <w:r>
        <w:rPr/>
        <w:t>诈骗举报及欺诈信息检索等服务。截至报告期末，</w:t>
      </w:r>
      <w:r>
        <w:rPr>
          <w:rFonts w:ascii="宋体" w:hAnsi="宋体" w:cs="宋体" w:eastAsia="宋体" w:hint="default"/>
        </w:rPr>
        <w:t>360</w:t>
      </w:r>
      <w:r>
        <w:rPr>
          <w:rFonts w:ascii="宋体" w:hAnsi="宋体" w:cs="宋体" w:eastAsia="宋体" w:hint="default"/>
          <w:spacing w:val="-55"/>
        </w:rPr>
        <w:t> </w:t>
      </w:r>
      <w:r>
        <w:rPr/>
        <w:t>猎网平台已与全国</w:t>
      </w:r>
      <w:r>
        <w:rPr>
          <w:spacing w:val="-55"/>
        </w:rPr>
        <w:t> </w:t>
      </w:r>
      <w:r>
        <w:rPr>
          <w:rFonts w:ascii="宋体" w:hAnsi="宋体" w:cs="宋体" w:eastAsia="宋体" w:hint="default"/>
        </w:rPr>
        <w:t>800</w:t>
      </w:r>
      <w:r>
        <w:rPr>
          <w:rFonts w:ascii="宋体" w:hAnsi="宋体" w:cs="宋体" w:eastAsia="宋体" w:hint="default"/>
          <w:spacing w:val="-57"/>
        </w:rPr>
        <w:t> </w:t>
      </w:r>
      <w:r>
        <w:rPr/>
        <w:t>多个地区的公安机</w:t>
      </w:r>
      <w:r>
        <w:rPr>
          <w:w w:val="100"/>
        </w:rPr>
        <w:t> </w:t>
      </w:r>
      <w:r>
        <w:rPr/>
        <w:t>关建立联系，仅报告期一年内，就协助公安机关侦破、带破</w:t>
      </w:r>
      <w:r>
        <w:rPr>
          <w:spacing w:val="-55"/>
        </w:rPr>
        <w:t> </w:t>
      </w:r>
      <w:r>
        <w:rPr>
          <w:rFonts w:ascii="宋体" w:hAnsi="宋体" w:cs="宋体" w:eastAsia="宋体" w:hint="default"/>
        </w:rPr>
        <w:t>400</w:t>
      </w:r>
      <w:r>
        <w:rPr>
          <w:rFonts w:ascii="宋体" w:hAnsi="宋体" w:cs="宋体" w:eastAsia="宋体" w:hint="default"/>
          <w:spacing w:val="-55"/>
        </w:rPr>
        <w:t> </w:t>
      </w:r>
      <w:r>
        <w:rPr/>
        <w:t>余起重大网络诈骗犯罪案件，涉</w:t>
      </w:r>
    </w:p>
    <w:p>
      <w:pPr>
        <w:pStyle w:val="BodyText"/>
        <w:spacing w:line="240" w:lineRule="auto" w:before="35"/>
        <w:ind w:right="0"/>
        <w:jc w:val="left"/>
      </w:pPr>
      <w:r>
        <w:rPr/>
        <w:t>案金额高达人民币</w:t>
      </w:r>
      <w:r>
        <w:rPr>
          <w:spacing w:val="-55"/>
        </w:rPr>
        <w:t> </w:t>
      </w:r>
      <w:r>
        <w:rPr>
          <w:rFonts w:ascii="宋体" w:hAnsi="宋体" w:cs="宋体" w:eastAsia="宋体" w:hint="default"/>
        </w:rPr>
        <w:t>1.2</w:t>
      </w:r>
      <w:r>
        <w:rPr>
          <w:rFonts w:ascii="宋体" w:hAnsi="宋体" w:cs="宋体" w:eastAsia="宋体" w:hint="default"/>
          <w:spacing w:val="-54"/>
        </w:rPr>
        <w:t> </w:t>
      </w:r>
      <w:r>
        <w:rPr/>
        <w:t>亿元，协助抓获犯罪嫌疑人超过</w:t>
      </w:r>
      <w:r>
        <w:rPr>
          <w:spacing w:val="-55"/>
        </w:rPr>
        <w:t> </w:t>
      </w:r>
      <w:r>
        <w:rPr>
          <w:rFonts w:ascii="宋体" w:hAnsi="宋体" w:cs="宋体" w:eastAsia="宋体" w:hint="default"/>
        </w:rPr>
        <w:t>240</w:t>
      </w:r>
      <w:r>
        <w:rPr>
          <w:rFonts w:ascii="宋体" w:hAnsi="宋体" w:cs="宋体" w:eastAsia="宋体" w:hint="default"/>
          <w:spacing w:val="-55"/>
        </w:rPr>
        <w:t> </w:t>
      </w:r>
      <w:r>
        <w:rPr/>
        <w:t>余人。此外，公司积极开展猎网联盟</w:t>
      </w:r>
    </w:p>
    <w:p>
      <w:pPr>
        <w:pStyle w:val="BodyText"/>
        <w:spacing w:line="240" w:lineRule="auto" w:before="133"/>
        <w:ind w:right="0"/>
        <w:jc w:val="left"/>
      </w:pPr>
      <w:r>
        <w:rPr/>
        <w:t>生态建设，对外共享安全数据及分析成果，目前已有</w:t>
      </w:r>
      <w:r>
        <w:rPr>
          <w:spacing w:val="-55"/>
        </w:rPr>
        <w:t> </w:t>
      </w:r>
      <w:r>
        <w:rPr>
          <w:rFonts w:ascii="宋体" w:hAnsi="宋体" w:cs="宋体" w:eastAsia="宋体" w:hint="default"/>
        </w:rPr>
        <w:t>5</w:t>
      </w:r>
      <w:r>
        <w:rPr>
          <w:rFonts w:ascii="宋体" w:hAnsi="宋体" w:cs="宋体" w:eastAsia="宋体" w:hint="default"/>
          <w:spacing w:val="-55"/>
        </w:rPr>
        <w:t> </w:t>
      </w:r>
      <w:r>
        <w:rPr/>
        <w:t>家网络安全企业和</w:t>
      </w:r>
      <w:r>
        <w:rPr>
          <w:spacing w:val="-55"/>
        </w:rPr>
        <w:t> </w:t>
      </w:r>
      <w:r>
        <w:rPr>
          <w:rFonts w:ascii="宋体" w:hAnsi="宋体" w:cs="宋体" w:eastAsia="宋体" w:hint="default"/>
        </w:rPr>
        <w:t>140</w:t>
      </w:r>
      <w:r>
        <w:rPr>
          <w:rFonts w:ascii="宋体" w:hAnsi="宋体" w:cs="宋体" w:eastAsia="宋体" w:hint="default"/>
          <w:spacing w:val="-54"/>
        </w:rPr>
        <w:t> </w:t>
      </w:r>
      <w:r>
        <w:rPr/>
        <w:t>余家互联网企业正</w:t>
      </w:r>
    </w:p>
    <w:p>
      <w:pPr>
        <w:tabs>
          <w:tab w:pos="977" w:val="left" w:leader="none"/>
        </w:tabs>
        <w:spacing w:line="355" w:lineRule="auto" w:before="133"/>
        <w:ind w:left="138" w:right="2009" w:firstLine="0"/>
        <w:jc w:val="left"/>
        <w:rPr>
          <w:rFonts w:ascii="宋体" w:hAnsi="宋体" w:cs="宋体" w:eastAsia="宋体" w:hint="default"/>
          <w:sz w:val="21"/>
          <w:szCs w:val="21"/>
        </w:rPr>
      </w:pPr>
      <w:r>
        <w:rPr>
          <w:rFonts w:ascii="宋体" w:hAnsi="宋体" w:cs="宋体" w:eastAsia="宋体" w:hint="default"/>
          <w:sz w:val="21"/>
          <w:szCs w:val="21"/>
        </w:rPr>
        <w:t>式加入猎网联盟，三六零向联盟企业推送有关诈骗、欺诈信息</w:t>
      </w:r>
      <w:r>
        <w:rPr>
          <w:rFonts w:ascii="宋体" w:hAnsi="宋体" w:cs="宋体" w:eastAsia="宋体" w:hint="default"/>
          <w:spacing w:val="-55"/>
          <w:sz w:val="21"/>
          <w:szCs w:val="21"/>
        </w:rPr>
        <w:t> </w:t>
      </w:r>
      <w:r>
        <w:rPr>
          <w:rFonts w:ascii="宋体" w:hAnsi="宋体" w:cs="宋体" w:eastAsia="宋体" w:hint="default"/>
          <w:sz w:val="21"/>
          <w:szCs w:val="21"/>
        </w:rPr>
        <w:t>4,200</w:t>
      </w:r>
      <w:r>
        <w:rPr>
          <w:rFonts w:ascii="宋体" w:hAnsi="宋体" w:cs="宋体" w:eastAsia="宋体" w:hint="default"/>
          <w:spacing w:val="-55"/>
          <w:sz w:val="21"/>
          <w:szCs w:val="21"/>
        </w:rPr>
        <w:t> </w:t>
      </w:r>
      <w:r>
        <w:rPr>
          <w:rFonts w:ascii="宋体" w:hAnsi="宋体" w:cs="宋体" w:eastAsia="宋体" w:hint="default"/>
          <w:sz w:val="21"/>
          <w:szCs w:val="21"/>
        </w:rPr>
        <w:t>余条。</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家庭安全及个人互联网安全</w:t>
      </w:r>
      <w:r>
        <w:rPr>
          <w:rFonts w:ascii="宋体" w:hAnsi="宋体" w:cs="宋体" w:eastAsia="宋体" w:hint="default"/>
          <w:spacing w:val="-1"/>
          <w:sz w:val="21"/>
          <w:szCs w:val="21"/>
        </w:rPr>
      </w:r>
    </w:p>
    <w:p>
      <w:pPr>
        <w:pStyle w:val="BodyText"/>
        <w:spacing w:line="357" w:lineRule="auto" w:before="32"/>
        <w:ind w:right="107" w:firstLine="419"/>
        <w:jc w:val="both"/>
      </w:pPr>
      <w:r>
        <w:rPr>
          <w:spacing w:val="-7"/>
          <w:w w:val="100"/>
        </w:rPr>
        <w:t>家庭安全方面，随着万物互联时代的到来，数以亿计的家庭及个人智能硬件和设备实现联网。</w:t>
      </w:r>
      <w:r>
        <w:rPr>
          <w:w w:val="100"/>
        </w:rPr>
        <w:t> </w:t>
      </w:r>
      <w:r>
        <w:rPr>
          <w:spacing w:val="-8"/>
          <w:w w:val="100"/>
        </w:rPr>
        <w:t>三六零依托自身在安全领域的品牌知名度、强大的核心安全技术优势及海量的用户资源，打造“</w:t>
      </w:r>
      <w:r>
        <w:rPr>
          <w:rFonts w:ascii="宋体" w:hAnsi="宋体" w:cs="宋体" w:eastAsia="宋体" w:hint="default"/>
          <w:spacing w:val="-8"/>
          <w:w w:val="100"/>
        </w:rPr>
        <w:t>360</w:t>
      </w:r>
      <w:r>
        <w:rPr>
          <w:rFonts w:ascii="宋体" w:hAnsi="宋体" w:cs="宋体" w:eastAsia="宋体" w:hint="default"/>
          <w:w w:val="100"/>
        </w:rPr>
        <w:t> </w:t>
      </w:r>
      <w:r>
        <w:rPr/>
        <w:t>家庭安全大脑”，并以此为核心不断研发与安全相关的</w:t>
      </w:r>
      <w:r>
        <w:rPr>
          <w:spacing w:val="-54"/>
        </w:rPr>
        <w:t> </w:t>
      </w:r>
      <w:r>
        <w:rPr>
          <w:rFonts w:ascii="宋体" w:hAnsi="宋体" w:cs="宋体" w:eastAsia="宋体" w:hint="default"/>
        </w:rPr>
        <w:t>IoT</w:t>
      </w:r>
      <w:r>
        <w:rPr>
          <w:rFonts w:ascii="宋体" w:hAnsi="宋体" w:cs="宋体" w:eastAsia="宋体" w:hint="default"/>
          <w:spacing w:val="-55"/>
        </w:rPr>
        <w:t> </w:t>
      </w:r>
      <w:r>
        <w:rPr/>
        <w:t>智能硬件产品，逐渐完善公司</w:t>
      </w:r>
      <w:r>
        <w:rPr>
          <w:spacing w:val="-55"/>
        </w:rPr>
        <w:t> </w:t>
      </w:r>
      <w:r>
        <w:rPr>
          <w:rFonts w:ascii="宋体" w:hAnsi="宋体" w:cs="宋体" w:eastAsia="宋体" w:hint="default"/>
        </w:rPr>
        <w:t>IoT</w:t>
      </w:r>
      <w:r>
        <w:rPr>
          <w:rFonts w:ascii="宋体" w:hAnsi="宋体" w:cs="宋体" w:eastAsia="宋体" w:hint="default"/>
          <w:spacing w:val="-55"/>
        </w:rPr>
        <w:t> </w:t>
      </w:r>
      <w:r>
        <w:rPr/>
        <w:t>生</w:t>
      </w:r>
      <w:r>
        <w:rPr>
          <w:w w:val="100"/>
        </w:rPr>
        <w:t> </w:t>
      </w:r>
      <w:r>
        <w:rPr/>
        <w:t>态。</w:t>
      </w:r>
    </w:p>
    <w:p>
      <w:pPr>
        <w:pStyle w:val="BodyText"/>
        <w:spacing w:line="357" w:lineRule="auto" w:before="30"/>
        <w:ind w:right="118" w:firstLine="419"/>
        <w:jc w:val="both"/>
      </w:pPr>
      <w:r>
        <w:rPr/>
        <w:t>目前公司</w:t>
      </w:r>
      <w:r>
        <w:rPr>
          <w:spacing w:val="-55"/>
        </w:rPr>
        <w:t> </w:t>
      </w:r>
      <w:r>
        <w:rPr>
          <w:rFonts w:ascii="宋体" w:hAnsi="宋体" w:cs="宋体" w:eastAsia="宋体" w:hint="default"/>
        </w:rPr>
        <w:t>IoT</w:t>
      </w:r>
      <w:r>
        <w:rPr>
          <w:rFonts w:ascii="宋体" w:hAnsi="宋体" w:cs="宋体" w:eastAsia="宋体" w:hint="default"/>
          <w:spacing w:val="-55"/>
        </w:rPr>
        <w:t> </w:t>
      </w:r>
      <w:r>
        <w:rPr/>
        <w:t>智能硬件产品与安全密切相关，主要包括智能安全路由器、智能摄像机、行车</w:t>
      </w:r>
      <w:r>
        <w:rPr>
          <w:w w:val="100"/>
        </w:rPr>
        <w:t> </w:t>
      </w:r>
      <w:r>
        <w:rPr/>
        <w:t>记录仪、智能儿童手表、智能门锁、可视门铃等。公司</w:t>
      </w:r>
      <w:r>
        <w:rPr>
          <w:spacing w:val="-54"/>
        </w:rPr>
        <w:t> </w:t>
      </w:r>
      <w:r>
        <w:rPr>
          <w:rFonts w:ascii="宋体" w:hAnsi="宋体" w:cs="宋体" w:eastAsia="宋体" w:hint="default"/>
        </w:rPr>
        <w:t>IoT</w:t>
      </w:r>
      <w:r>
        <w:rPr>
          <w:rFonts w:ascii="宋体" w:hAnsi="宋体" w:cs="宋体" w:eastAsia="宋体" w:hint="default"/>
          <w:spacing w:val="-54"/>
        </w:rPr>
        <w:t> </w:t>
      </w:r>
      <w:r>
        <w:rPr/>
        <w:t>智能硬件产品通过与“360</w:t>
      </w:r>
      <w:r>
        <w:rPr>
          <w:spacing w:val="-56"/>
        </w:rPr>
        <w:t> </w:t>
      </w:r>
      <w:r>
        <w:rPr/>
        <w:t>家庭安全</w:t>
      </w:r>
    </w:p>
    <w:p>
      <w:pPr>
        <w:spacing w:after="0" w:line="357" w:lineRule="auto"/>
        <w:jc w:val="both"/>
        <w:sectPr>
          <w:pgSz w:w="11910" w:h="16840"/>
          <w:pgMar w:header="855" w:footer="1217" w:top="1320" w:bottom="1400" w:left="1660" w:right="1160"/>
        </w:sectPr>
      </w:pPr>
    </w:p>
    <w:p>
      <w:pPr>
        <w:spacing w:line="240" w:lineRule="auto" w:before="4"/>
        <w:rPr>
          <w:rFonts w:ascii="宋体" w:hAnsi="宋体" w:cs="宋体" w:eastAsia="宋体" w:hint="default"/>
          <w:sz w:val="9"/>
          <w:szCs w:val="9"/>
        </w:rPr>
      </w:pPr>
    </w:p>
    <w:p>
      <w:pPr>
        <w:pStyle w:val="BodyText"/>
        <w:spacing w:line="357" w:lineRule="auto" w:before="36"/>
        <w:ind w:left="0" w:right="210"/>
        <w:jc w:val="right"/>
      </w:pPr>
      <w:r>
        <w:rPr>
          <w:spacing w:val="-2"/>
        </w:rPr>
        <w:t>大脑”云端服务器紧密结合，接入人工智能和大数据，实现端云协同，融入边缘计算，为用户解</w:t>
      </w:r>
      <w:r>
        <w:rPr>
          <w:spacing w:val="-52"/>
        </w:rPr>
        <w:t> </w:t>
      </w:r>
      <w:r>
        <w:rPr>
          <w:spacing w:val="-52"/>
        </w:rPr>
      </w:r>
      <w:r>
        <w:rPr>
          <w:spacing w:val="-2"/>
        </w:rPr>
        <w:t>决网络及物理空间的安全威胁，为个人用户及家庭提供安全、安心、安康的智能家居解决方案。</w:t>
      </w:r>
      <w:r>
        <w:rPr>
          <w:spacing w:val="-50"/>
        </w:rPr>
        <w:t> </w:t>
      </w:r>
      <w:r>
        <w:rPr>
          <w:spacing w:val="-50"/>
        </w:rPr>
      </w:r>
      <w:r>
        <w:rPr>
          <w:spacing w:val="-5"/>
        </w:rPr>
        <w:t>个人互联网安全方面，根据艾瑞咨询的数据，截至</w:t>
      </w:r>
      <w:r>
        <w:rPr>
          <w:spacing w:val="-46"/>
        </w:rPr>
        <w:t> </w:t>
      </w:r>
      <w:r>
        <w:rPr>
          <w:rFonts w:ascii="宋体" w:hAnsi="宋体" w:cs="宋体" w:eastAsia="宋体" w:hint="default"/>
        </w:rPr>
        <w:t>2018</w:t>
      </w:r>
      <w:r>
        <w:rPr>
          <w:rFonts w:ascii="宋体" w:hAnsi="宋体" w:cs="宋体" w:eastAsia="宋体" w:hint="default"/>
          <w:spacing w:val="-44"/>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spacing w:val="-7"/>
        </w:rPr>
        <w:t>月，三六零</w:t>
      </w:r>
      <w:r>
        <w:rPr>
          <w:spacing w:val="-45"/>
        </w:rPr>
        <w:t> </w:t>
      </w:r>
      <w:r>
        <w:rPr>
          <w:rFonts w:ascii="宋体" w:hAnsi="宋体" w:cs="宋体" w:eastAsia="宋体" w:hint="default"/>
        </w:rPr>
        <w:t>PC</w:t>
      </w:r>
      <w:r>
        <w:rPr>
          <w:rFonts w:ascii="宋体" w:hAnsi="宋体" w:cs="宋体" w:eastAsia="宋体" w:hint="default"/>
          <w:spacing w:val="-46"/>
        </w:rPr>
        <w:t> </w:t>
      </w:r>
      <w:r>
        <w:rPr/>
        <w:t>安全产品的市场</w:t>
      </w:r>
      <w:r>
        <w:rPr>
          <w:w w:val="100"/>
        </w:rPr>
        <w:t> </w:t>
      </w:r>
      <w:r>
        <w:rPr/>
        <w:t>渗透率为</w:t>
      </w:r>
      <w:r>
        <w:rPr>
          <w:spacing w:val="-55"/>
        </w:rPr>
        <w:t> </w:t>
      </w:r>
      <w:r>
        <w:rPr>
          <w:rFonts w:ascii="宋体" w:hAnsi="宋体" w:cs="宋体" w:eastAsia="宋体" w:hint="default"/>
        </w:rPr>
        <w:t>96.98%</w:t>
      </w:r>
      <w:r>
        <w:rPr/>
        <w:t>，平均月活跃用户数平稳保持在</w:t>
      </w:r>
      <w:r>
        <w:rPr>
          <w:spacing w:val="-55"/>
        </w:rPr>
        <w:t> </w:t>
      </w:r>
      <w:r>
        <w:rPr>
          <w:rFonts w:ascii="宋体" w:hAnsi="宋体" w:cs="宋体" w:eastAsia="宋体" w:hint="default"/>
        </w:rPr>
        <w:t>5</w:t>
      </w:r>
      <w:r>
        <w:rPr>
          <w:rFonts w:ascii="宋体" w:hAnsi="宋体" w:cs="宋体" w:eastAsia="宋体" w:hint="default"/>
          <w:spacing w:val="-57"/>
        </w:rPr>
        <w:t> </w:t>
      </w:r>
      <w:r>
        <w:rPr/>
        <w:t>亿以上，</w:t>
      </w:r>
      <w:r>
        <w:rPr>
          <w:rFonts w:ascii="宋体" w:hAnsi="宋体" w:cs="宋体" w:eastAsia="宋体" w:hint="default"/>
        </w:rPr>
        <w:t>PC</w:t>
      </w:r>
      <w:r>
        <w:rPr>
          <w:rFonts w:ascii="宋体" w:hAnsi="宋体" w:cs="宋体" w:eastAsia="宋体" w:hint="default"/>
          <w:spacing w:val="-55"/>
        </w:rPr>
        <w:t> </w:t>
      </w:r>
      <w:r>
        <w:rPr/>
        <w:t>安全市场持续排名第一；</w:t>
      </w:r>
      <w:r>
        <w:rPr>
          <w:rFonts w:ascii="宋体" w:hAnsi="宋体" w:cs="宋体" w:eastAsia="宋体" w:hint="default"/>
        </w:rPr>
        <w:t>PC</w:t>
      </w:r>
      <w:r>
        <w:rPr>
          <w:rFonts w:ascii="宋体" w:hAnsi="宋体" w:cs="宋体" w:eastAsia="宋体" w:hint="default"/>
          <w:spacing w:val="-57"/>
        </w:rPr>
        <w:t> </w:t>
      </w:r>
      <w:r>
        <w:rPr/>
        <w:t>安全</w:t>
      </w:r>
      <w:r>
        <w:rPr>
          <w:w w:val="100"/>
        </w:rPr>
        <w:t> </w:t>
      </w:r>
      <w:r>
        <w:rPr/>
        <w:t>浏览器市场渗透率为</w:t>
      </w:r>
      <w:r>
        <w:rPr>
          <w:spacing w:val="-36"/>
        </w:rPr>
        <w:t> </w:t>
      </w:r>
      <w:r>
        <w:rPr>
          <w:rFonts w:ascii="宋体" w:hAnsi="宋体" w:cs="宋体" w:eastAsia="宋体" w:hint="default"/>
          <w:spacing w:val="-3"/>
        </w:rPr>
        <w:t>82.11%</w:t>
      </w:r>
      <w:r>
        <w:rPr>
          <w:spacing w:val="-3"/>
        </w:rPr>
        <w:t>，平均月活跃用户数超达</w:t>
      </w:r>
      <w:r>
        <w:rPr>
          <w:spacing w:val="-36"/>
        </w:rPr>
        <w:t> </w:t>
      </w:r>
      <w:r>
        <w:rPr>
          <w:rFonts w:ascii="宋体" w:hAnsi="宋体" w:cs="宋体" w:eastAsia="宋体" w:hint="default"/>
        </w:rPr>
        <w:t>4.3</w:t>
      </w:r>
      <w:r>
        <w:rPr>
          <w:rFonts w:ascii="宋体" w:hAnsi="宋体" w:cs="宋体" w:eastAsia="宋体" w:hint="default"/>
          <w:spacing w:val="-38"/>
        </w:rPr>
        <w:t> </w:t>
      </w:r>
      <w:r>
        <w:rPr>
          <w:spacing w:val="-3"/>
        </w:rPr>
        <w:t>亿；移动安全产品的平均月活跃用户数</w:t>
      </w:r>
    </w:p>
    <w:p>
      <w:pPr>
        <w:pStyle w:val="BodyText"/>
        <w:spacing w:line="240" w:lineRule="auto" w:before="30"/>
        <w:ind w:right="0"/>
        <w:jc w:val="both"/>
      </w:pPr>
      <w:r>
        <w:rPr/>
        <w:t>达</w:t>
      </w:r>
      <w:r>
        <w:rPr>
          <w:spacing w:val="-52"/>
        </w:rPr>
        <w:t> </w:t>
      </w:r>
      <w:r>
        <w:rPr>
          <w:rFonts w:ascii="宋体" w:hAnsi="宋体" w:cs="宋体" w:eastAsia="宋体" w:hint="default"/>
        </w:rPr>
        <w:t>4.63</w:t>
      </w:r>
      <w:r>
        <w:rPr>
          <w:rFonts w:ascii="宋体" w:hAnsi="宋体" w:cs="宋体" w:eastAsia="宋体" w:hint="default"/>
          <w:spacing w:val="-52"/>
        </w:rPr>
        <w:t> </w:t>
      </w:r>
      <w:r>
        <w:rPr>
          <w:spacing w:val="-3"/>
        </w:rPr>
        <w:t>亿。</w:t>
      </w:r>
      <w:r>
        <w:rPr/>
      </w:r>
    </w:p>
    <w:p>
      <w:pPr>
        <w:pStyle w:val="BodyText"/>
        <w:spacing w:line="357" w:lineRule="auto" w:before="135"/>
        <w:ind w:right="207" w:firstLine="419"/>
        <w:jc w:val="both"/>
      </w:pPr>
      <w:r>
        <w:rPr>
          <w:rFonts w:ascii="宋体" w:hAnsi="宋体" w:cs="宋体" w:eastAsia="宋体" w:hint="default"/>
        </w:rPr>
        <w:t>2018</w:t>
      </w:r>
      <w:r>
        <w:rPr>
          <w:rFonts w:ascii="宋体" w:hAnsi="宋体" w:cs="宋体" w:eastAsia="宋体" w:hint="default"/>
          <w:spacing w:val="-55"/>
        </w:rPr>
        <w:t> </w:t>
      </w:r>
      <w:r>
        <w:rPr/>
        <w:t>年，</w:t>
      </w:r>
      <w:r>
        <w:rPr>
          <w:rFonts w:ascii="宋体" w:hAnsi="宋体" w:cs="宋体" w:eastAsia="宋体" w:hint="default"/>
        </w:rPr>
        <w:t>360</w:t>
      </w:r>
      <w:r>
        <w:rPr>
          <w:rFonts w:ascii="宋体" w:hAnsi="宋体" w:cs="宋体" w:eastAsia="宋体" w:hint="default"/>
          <w:spacing w:val="-53"/>
        </w:rPr>
        <w:t> </w:t>
      </w:r>
      <w:r>
        <w:rPr/>
        <w:t>互联网安全中心共截获移动端新增恶意程序样本约</w:t>
      </w:r>
      <w:r>
        <w:rPr>
          <w:spacing w:val="-52"/>
        </w:rPr>
        <w:t> </w:t>
      </w:r>
      <w:r>
        <w:rPr>
          <w:rFonts w:ascii="宋体" w:hAnsi="宋体" w:cs="宋体" w:eastAsia="宋体" w:hint="default"/>
        </w:rPr>
        <w:t>434.2</w:t>
      </w:r>
      <w:r>
        <w:rPr>
          <w:rFonts w:ascii="宋体" w:hAnsi="宋体" w:cs="宋体" w:eastAsia="宋体" w:hint="default"/>
          <w:spacing w:val="-55"/>
        </w:rPr>
        <w:t> </w:t>
      </w:r>
      <w:r>
        <w:rPr/>
        <w:t>万个，累计监测移动</w:t>
      </w:r>
      <w:r>
        <w:rPr>
          <w:w w:val="100"/>
        </w:rPr>
        <w:t> </w:t>
      </w:r>
      <w:r>
        <w:rPr/>
        <w:t>端恶意程序感染量约为</w:t>
      </w:r>
      <w:r>
        <w:rPr>
          <w:spacing w:val="-53"/>
        </w:rPr>
        <w:t> </w:t>
      </w:r>
      <w:r>
        <w:rPr>
          <w:rFonts w:ascii="宋体" w:hAnsi="宋体" w:cs="宋体" w:eastAsia="宋体" w:hint="default"/>
        </w:rPr>
        <w:t>1.1</w:t>
      </w:r>
      <w:r>
        <w:rPr>
          <w:rFonts w:ascii="宋体" w:hAnsi="宋体" w:cs="宋体" w:eastAsia="宋体" w:hint="default"/>
          <w:spacing w:val="-54"/>
        </w:rPr>
        <w:t> </w:t>
      </w:r>
      <w:r>
        <w:rPr/>
        <w:t>亿次；</w:t>
      </w:r>
      <w:r>
        <w:rPr>
          <w:rFonts w:ascii="宋体" w:hAnsi="宋体" w:cs="宋体" w:eastAsia="宋体" w:hint="default"/>
        </w:rPr>
        <w:t>360</w:t>
      </w:r>
      <w:r>
        <w:rPr>
          <w:rFonts w:ascii="宋体" w:hAnsi="宋体" w:cs="宋体" w:eastAsia="宋体" w:hint="default"/>
          <w:spacing w:val="-54"/>
        </w:rPr>
        <w:t> </w:t>
      </w:r>
      <w:r>
        <w:rPr/>
        <w:t>的</w:t>
      </w:r>
      <w:r>
        <w:rPr>
          <w:spacing w:val="-56"/>
        </w:rPr>
        <w:t> </w:t>
      </w:r>
      <w:r>
        <w:rPr>
          <w:rFonts w:ascii="宋体" w:hAnsi="宋体" w:cs="宋体" w:eastAsia="宋体" w:hint="default"/>
        </w:rPr>
        <w:t>PC</w:t>
      </w:r>
      <w:r>
        <w:rPr>
          <w:rFonts w:ascii="宋体" w:hAnsi="宋体" w:cs="宋体" w:eastAsia="宋体" w:hint="default"/>
          <w:spacing w:val="-54"/>
        </w:rPr>
        <w:t> </w:t>
      </w:r>
      <w:r>
        <w:rPr/>
        <w:t>端与移动端共为全国用户拦截钓鱼网站攻击约</w:t>
      </w:r>
      <w:r>
        <w:rPr>
          <w:spacing w:val="-53"/>
        </w:rPr>
        <w:t> </w:t>
      </w:r>
      <w:r>
        <w:rPr>
          <w:rFonts w:ascii="宋体" w:hAnsi="宋体" w:cs="宋体" w:eastAsia="宋体" w:hint="default"/>
        </w:rPr>
        <w:t>369.3</w:t>
      </w:r>
      <w:r>
        <w:rPr>
          <w:rFonts w:ascii="宋体" w:hAnsi="宋体" w:cs="宋体" w:eastAsia="宋体" w:hint="default"/>
          <w:w w:val="100"/>
        </w:rPr>
        <w:t> </w:t>
      </w:r>
      <w:r>
        <w:rPr/>
        <w:t>亿次；</w:t>
      </w:r>
      <w:r>
        <w:rPr>
          <w:rFonts w:ascii="宋体" w:hAnsi="宋体" w:cs="宋体" w:eastAsia="宋体" w:hint="default"/>
        </w:rPr>
        <w:t>360</w:t>
      </w:r>
      <w:r>
        <w:rPr>
          <w:rFonts w:ascii="宋体" w:hAnsi="宋体" w:cs="宋体" w:eastAsia="宋体" w:hint="default"/>
          <w:spacing w:val="-56"/>
        </w:rPr>
        <w:t> </w:t>
      </w:r>
      <w:r>
        <w:rPr/>
        <w:t>手机卫士共为全国用户识别和拦截各类骚扰电话约</w:t>
      </w:r>
      <w:r>
        <w:rPr>
          <w:spacing w:val="-53"/>
        </w:rPr>
        <w:t> </w:t>
      </w:r>
      <w:r>
        <w:rPr>
          <w:rFonts w:ascii="宋体" w:hAnsi="宋体" w:cs="宋体" w:eastAsia="宋体" w:hint="default"/>
        </w:rPr>
        <w:t>449.3</w:t>
      </w:r>
      <w:r>
        <w:rPr>
          <w:rFonts w:ascii="宋体" w:hAnsi="宋体" w:cs="宋体" w:eastAsia="宋体" w:hint="default"/>
          <w:spacing w:val="-54"/>
        </w:rPr>
        <w:t> </w:t>
      </w:r>
      <w:r>
        <w:rPr/>
        <w:t>亿次、拦截各类垃圾短信约</w:t>
      </w:r>
      <w:r>
        <w:rPr>
          <w:w w:val="100"/>
        </w:rPr>
        <w:t> </w:t>
      </w:r>
      <w:r>
        <w:rPr>
          <w:rFonts w:ascii="宋体" w:hAnsi="宋体" w:cs="宋体" w:eastAsia="宋体" w:hint="default"/>
        </w:rPr>
        <w:t>84</w:t>
      </w:r>
      <w:r>
        <w:rPr>
          <w:rFonts w:ascii="宋体" w:hAnsi="宋体" w:cs="宋体" w:eastAsia="宋体" w:hint="default"/>
          <w:spacing w:val="-40"/>
        </w:rPr>
        <w:t> </w:t>
      </w:r>
      <w:r>
        <w:rPr>
          <w:spacing w:val="-7"/>
        </w:rPr>
        <w:t>亿条，该应用开启的“手机先陪”服务，共接到手机诈骗举报</w:t>
      </w:r>
      <w:r>
        <w:rPr>
          <w:spacing w:val="-40"/>
        </w:rPr>
        <w:t> </w:t>
      </w:r>
      <w:r>
        <w:rPr>
          <w:rFonts w:ascii="宋体" w:hAnsi="宋体" w:cs="宋体" w:eastAsia="宋体" w:hint="default"/>
        </w:rPr>
        <w:t>7,716</w:t>
      </w:r>
      <w:r>
        <w:rPr>
          <w:rFonts w:ascii="宋体" w:hAnsi="宋体" w:cs="宋体" w:eastAsia="宋体" w:hint="default"/>
          <w:spacing w:val="-40"/>
        </w:rPr>
        <w:t> </w:t>
      </w:r>
      <w:r>
        <w:rPr>
          <w:spacing w:val="-10"/>
        </w:rPr>
        <w:t>起，涉案总金额达</w:t>
      </w:r>
      <w:r>
        <w:rPr>
          <w:spacing w:val="-39"/>
        </w:rPr>
        <w:t> </w:t>
      </w:r>
      <w:r>
        <w:rPr>
          <w:rFonts w:ascii="宋体" w:hAnsi="宋体" w:cs="宋体" w:eastAsia="宋体" w:hint="default"/>
        </w:rPr>
        <w:t>1,927.9</w:t>
      </w:r>
      <w:r>
        <w:rPr>
          <w:rFonts w:ascii="宋体" w:hAnsi="宋体" w:cs="宋体" w:eastAsia="宋体" w:hint="default"/>
          <w:spacing w:val="-99"/>
        </w:rPr>
        <w:t> </w:t>
      </w:r>
      <w:r>
        <w:rPr>
          <w:rFonts w:ascii="宋体" w:hAnsi="宋体" w:cs="宋体" w:eastAsia="宋体" w:hint="default"/>
          <w:spacing w:val="-99"/>
        </w:rPr>
      </w:r>
      <w:r>
        <w:rPr/>
        <w:t>万元。</w:t>
      </w:r>
    </w:p>
    <w:p>
      <w:pPr>
        <w:pStyle w:val="BodyText"/>
        <w:spacing w:line="357" w:lineRule="auto" w:before="30"/>
        <w:ind w:right="104" w:firstLine="419"/>
        <w:jc w:val="left"/>
      </w:pPr>
      <w:r>
        <w:rPr/>
        <w:t>随着“</w:t>
      </w:r>
      <w:r>
        <w:rPr>
          <w:rFonts w:ascii="宋体" w:hAnsi="宋体" w:cs="宋体" w:eastAsia="宋体" w:hint="default"/>
        </w:rPr>
        <w:t>360</w:t>
      </w:r>
      <w:r>
        <w:rPr>
          <w:rFonts w:ascii="宋体" w:hAnsi="宋体" w:cs="宋体" w:eastAsia="宋体" w:hint="default"/>
          <w:spacing w:val="-56"/>
        </w:rPr>
        <w:t> </w:t>
      </w:r>
      <w:r>
        <w:rPr/>
        <w:t>安全大脑”的正式上线，</w:t>
      </w:r>
      <w:r>
        <w:rPr>
          <w:rFonts w:ascii="宋体" w:hAnsi="宋体" w:cs="宋体" w:eastAsia="宋体" w:hint="default"/>
        </w:rPr>
        <w:t>2018</w:t>
      </w:r>
      <w:r>
        <w:rPr>
          <w:rFonts w:ascii="宋体" w:hAnsi="宋体" w:cs="宋体" w:eastAsia="宋体" w:hint="default"/>
          <w:spacing w:val="-54"/>
        </w:rPr>
        <w:t> </w:t>
      </w:r>
      <w:r>
        <w:rPr/>
        <w:t>年，公司各项安全产品已纷纷接入安全大脑，在为</w:t>
      </w:r>
      <w:r>
        <w:rPr>
          <w:w w:val="100"/>
        </w:rPr>
        <w:t> </w:t>
      </w:r>
      <w:r>
        <w:rPr/>
        <w:t>用户提供更加有力的安全技术保障的同时，安全产品所获取的安全样本、安全相关动态数据也进</w:t>
      </w:r>
      <w:r>
        <w:rPr>
          <w:w w:val="100"/>
        </w:rPr>
        <w:t> </w:t>
      </w:r>
      <w:r>
        <w:rPr/>
        <w:t>一步扩充了安全大脑的大数据资源，使得该系统可通过先进的</w:t>
      </w:r>
      <w:r>
        <w:rPr>
          <w:spacing w:val="-52"/>
        </w:rPr>
        <w:t> </w:t>
      </w:r>
      <w:r>
        <w:rPr>
          <w:rFonts w:ascii="宋体" w:hAnsi="宋体" w:cs="宋体" w:eastAsia="宋体" w:hint="default"/>
        </w:rPr>
        <w:t>AI</w:t>
      </w:r>
      <w:r>
        <w:rPr>
          <w:rFonts w:ascii="宋体" w:hAnsi="宋体" w:cs="宋体" w:eastAsia="宋体" w:hint="default"/>
          <w:spacing w:val="-54"/>
        </w:rPr>
        <w:t> </w:t>
      </w:r>
      <w:r>
        <w:rPr/>
        <w:t>技术实现自我学习、自我演进，</w:t>
      </w:r>
      <w:r>
        <w:rPr>
          <w:w w:val="100"/>
        </w:rPr>
        <w:t> </w:t>
      </w:r>
      <w:r>
        <w:rPr/>
        <w:t>继续提升网络安全智能化响应和处置水平，形成良性循环。由“360</w:t>
      </w:r>
      <w:r>
        <w:rPr>
          <w:spacing w:val="-54"/>
        </w:rPr>
        <w:t> </w:t>
      </w:r>
      <w:r>
        <w:rPr/>
        <w:t>安全大脑”赋能后的</w:t>
      </w:r>
      <w:r>
        <w:rPr>
          <w:spacing w:val="-54"/>
        </w:rPr>
        <w:t> </w:t>
      </w:r>
      <w:r>
        <w:rPr>
          <w:rFonts w:ascii="宋体" w:hAnsi="宋体" w:cs="宋体" w:eastAsia="宋体" w:hint="default"/>
        </w:rPr>
        <w:t>360</w:t>
      </w:r>
      <w:r>
        <w:rPr>
          <w:rFonts w:ascii="宋体" w:hAnsi="宋体" w:cs="宋体" w:eastAsia="宋体" w:hint="default"/>
          <w:spacing w:val="-54"/>
        </w:rPr>
        <w:t> </w:t>
      </w:r>
      <w:r>
        <w:rPr/>
        <w:t>安</w:t>
      </w:r>
      <w:r>
        <w:rPr>
          <w:w w:val="100"/>
        </w:rPr>
        <w:t> </w:t>
      </w:r>
      <w:r>
        <w:rPr/>
        <w:t>全卫士及</w:t>
      </w:r>
      <w:r>
        <w:rPr>
          <w:spacing w:val="-54"/>
        </w:rPr>
        <w:t> </w:t>
      </w:r>
      <w:r>
        <w:rPr>
          <w:rFonts w:ascii="宋体" w:hAnsi="宋体" w:cs="宋体" w:eastAsia="宋体" w:hint="default"/>
        </w:rPr>
        <w:t>360</w:t>
      </w:r>
      <w:r>
        <w:rPr>
          <w:rFonts w:ascii="宋体" w:hAnsi="宋体" w:cs="宋体" w:eastAsia="宋体" w:hint="default"/>
          <w:spacing w:val="-54"/>
        </w:rPr>
        <w:t> </w:t>
      </w:r>
      <w:r>
        <w:rPr/>
        <w:t>手机卫士，其感知能力、风险预警及安全防护能力均得以全面升级，用户满意度及</w:t>
      </w:r>
      <w:r>
        <w:rPr>
          <w:w w:val="100"/>
        </w:rPr>
        <w:t> </w:t>
      </w:r>
      <w:r>
        <w:rPr/>
        <w:t>产品活跃度也实现了较大幅度地提升。</w:t>
      </w:r>
    </w:p>
    <w:p>
      <w:pPr>
        <w:pStyle w:val="Heading5"/>
        <w:spacing w:line="240" w:lineRule="auto" w:before="30"/>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99"/>
        </w:rPr>
        <w:t> </w:t>
      </w:r>
      <w:r>
        <w:rPr/>
        <w:t>车联网安全及移动安全</w:t>
      </w:r>
      <w:r>
        <w:rPr>
          <w:b w:val="0"/>
          <w:bCs w:val="0"/>
        </w:rPr>
      </w:r>
    </w:p>
    <w:p>
      <w:pPr>
        <w:pStyle w:val="BodyText"/>
        <w:spacing w:line="240" w:lineRule="auto" w:before="133"/>
        <w:ind w:left="558" w:right="0"/>
        <w:jc w:val="left"/>
      </w:pPr>
      <w:r>
        <w:rPr/>
        <w:t>在车联网领域，由</w:t>
      </w:r>
      <w:r>
        <w:rPr>
          <w:spacing w:val="-55"/>
        </w:rPr>
        <w:t> </w:t>
      </w:r>
      <w:r>
        <w:rPr>
          <w:rFonts w:ascii="宋体" w:hAnsi="宋体" w:cs="宋体" w:eastAsia="宋体" w:hint="default"/>
        </w:rPr>
        <w:t>360</w:t>
      </w:r>
      <w:r>
        <w:rPr>
          <w:rFonts w:ascii="宋体" w:hAnsi="宋体" w:cs="宋体" w:eastAsia="宋体" w:hint="default"/>
          <w:spacing w:val="-56"/>
        </w:rPr>
        <w:t> </w:t>
      </w:r>
      <w:r>
        <w:rPr/>
        <w:t>智能网联汽车信息安全实验室自主研发的车联网安全整体解决方案</w:t>
      </w:r>
    </w:p>
    <w:p>
      <w:pPr>
        <w:pStyle w:val="BodyText"/>
        <w:spacing w:line="357" w:lineRule="auto" w:before="133"/>
        <w:ind w:right="217"/>
        <w:jc w:val="both"/>
      </w:pPr>
      <w:r>
        <w:rPr/>
        <w:t>——“360</w:t>
      </w:r>
      <w:r>
        <w:rPr>
          <w:spacing w:val="-57"/>
        </w:rPr>
        <w:t> </w:t>
      </w:r>
      <w:r>
        <w:rPr/>
        <w:t>汽车安全大脑”入选工业和信息化部“2018</w:t>
      </w:r>
      <w:r>
        <w:rPr>
          <w:spacing w:val="-55"/>
        </w:rPr>
        <w:t> </w:t>
      </w:r>
      <w:r>
        <w:rPr/>
        <w:t>年工业互联网试点示范项目”以及“2018</w:t>
      </w:r>
      <w:r>
        <w:rPr>
          <w:w w:val="100"/>
        </w:rPr>
        <w:t> </w:t>
      </w:r>
      <w:r>
        <w:rPr/>
        <w:t>中关村示范区重大前沿项目与创新平台建设项目”。该系统基于“360</w:t>
      </w:r>
      <w:r>
        <w:rPr>
          <w:spacing w:val="-56"/>
        </w:rPr>
        <w:t> </w:t>
      </w:r>
      <w:r>
        <w:rPr/>
        <w:t>安全大脑”的安全威胁发</w:t>
      </w:r>
      <w:r>
        <w:rPr>
          <w:w w:val="100"/>
        </w:rPr>
        <w:t> </w:t>
      </w:r>
      <w:r>
        <w:rPr/>
        <w:t>现能力</w:t>
      </w:r>
      <w:r>
        <w:rPr>
          <w:rFonts w:ascii="宋体" w:hAnsi="宋体" w:cs="宋体" w:eastAsia="宋体" w:hint="default"/>
        </w:rPr>
        <w:t>,</w:t>
      </w:r>
      <w:r>
        <w:rPr/>
        <w:t>不断升级防御策略</w:t>
      </w:r>
      <w:r>
        <w:rPr>
          <w:rFonts w:ascii="宋体" w:hAnsi="宋体" w:cs="宋体" w:eastAsia="宋体" w:hint="default"/>
        </w:rPr>
        <w:t>,</w:t>
      </w:r>
      <w:r>
        <w:rPr/>
        <w:t>提升网络攻击免疫能力，打造动态安全防御体系，可提供包括</w:t>
      </w:r>
      <w:r>
        <w:rPr>
          <w:spacing w:val="-56"/>
        </w:rPr>
        <w:t> </w:t>
      </w:r>
      <w:r>
        <w:rPr>
          <w:rFonts w:ascii="宋体" w:hAnsi="宋体" w:cs="宋体" w:eastAsia="宋体" w:hint="default"/>
        </w:rPr>
        <w:t>360</w:t>
      </w:r>
      <w:r>
        <w:rPr>
          <w:rFonts w:ascii="宋体" w:hAnsi="宋体" w:cs="宋体" w:eastAsia="宋体" w:hint="default"/>
          <w:spacing w:val="-58"/>
        </w:rPr>
        <w:t> </w:t>
      </w:r>
      <w:r>
        <w:rPr/>
        <w:t>总</w:t>
      </w:r>
      <w:r>
        <w:rPr>
          <w:w w:val="100"/>
        </w:rPr>
        <w:t> </w:t>
      </w:r>
      <w:r>
        <w:rPr/>
        <w:t>线安全分析、</w:t>
      </w:r>
      <w:r>
        <w:rPr>
          <w:rFonts w:ascii="宋体" w:hAnsi="宋体" w:cs="宋体" w:eastAsia="宋体" w:hint="default"/>
        </w:rPr>
        <w:t>360</w:t>
      </w:r>
      <w:r>
        <w:rPr>
          <w:rFonts w:ascii="宋体" w:hAnsi="宋体" w:cs="宋体" w:eastAsia="宋体" w:hint="default"/>
          <w:spacing w:val="-53"/>
        </w:rPr>
        <w:t> </w:t>
      </w:r>
      <w:r>
        <w:rPr/>
        <w:t>车载联网防火墙、</w:t>
      </w:r>
      <w:r>
        <w:rPr>
          <w:rFonts w:ascii="宋体" w:hAnsi="宋体" w:cs="宋体" w:eastAsia="宋体" w:hint="default"/>
        </w:rPr>
        <w:t>360</w:t>
      </w:r>
      <w:r>
        <w:rPr>
          <w:rFonts w:ascii="宋体" w:hAnsi="宋体" w:cs="宋体" w:eastAsia="宋体" w:hint="default"/>
          <w:spacing w:val="-55"/>
        </w:rPr>
        <w:t> </w:t>
      </w:r>
      <w:r>
        <w:rPr/>
        <w:t>车载娱乐系统防护、</w:t>
      </w:r>
      <w:r>
        <w:rPr>
          <w:rFonts w:ascii="宋体" w:hAnsi="宋体" w:cs="宋体" w:eastAsia="宋体" w:hint="default"/>
        </w:rPr>
        <w:t>360</w:t>
      </w:r>
      <w:r>
        <w:rPr>
          <w:rFonts w:ascii="宋体" w:hAnsi="宋体" w:cs="宋体" w:eastAsia="宋体" w:hint="default"/>
          <w:spacing w:val="-55"/>
        </w:rPr>
        <w:t> </w:t>
      </w:r>
      <w:r>
        <w:rPr/>
        <w:t>汽车总线入侵防护系统、</w:t>
      </w:r>
      <w:r>
        <w:rPr>
          <w:rFonts w:ascii="宋体" w:hAnsi="宋体" w:cs="宋体" w:eastAsia="宋体" w:hint="default"/>
        </w:rPr>
        <w:t>360</w:t>
      </w:r>
      <w:r>
        <w:rPr>
          <w:rFonts w:ascii="宋体" w:hAnsi="宋体" w:cs="宋体" w:eastAsia="宋体" w:hint="default"/>
          <w:spacing w:val="-55"/>
        </w:rPr>
        <w:t> </w:t>
      </w:r>
      <w:r>
        <w:rPr/>
        <w:t>汽</w:t>
      </w:r>
      <w:r>
        <w:rPr>
          <w:w w:val="100"/>
        </w:rPr>
        <w:t> </w:t>
      </w:r>
      <w:r>
        <w:rPr>
          <w:spacing w:val="-2"/>
        </w:rPr>
        <w:t>车安全芯片等多项全球领先的车联网安全解决方案，帮助汽车制造商监控、分析、响应针对智能</w:t>
      </w:r>
      <w:r>
        <w:rPr>
          <w:spacing w:val="-25"/>
        </w:rPr>
        <w:t> </w:t>
      </w:r>
      <w:r>
        <w:rPr>
          <w:spacing w:val="-25"/>
        </w:rPr>
      </w:r>
      <w:r>
        <w:rPr/>
        <w:t>汽车的网络攻击，保护车联网全生命周期安全。</w:t>
      </w:r>
    </w:p>
    <w:p>
      <w:pPr>
        <w:pStyle w:val="BodyText"/>
        <w:spacing w:line="355" w:lineRule="auto" w:before="30"/>
        <w:ind w:right="207" w:firstLine="419"/>
        <w:jc w:val="both"/>
      </w:pPr>
      <w:r>
        <w:rPr>
          <w:spacing w:val="-4"/>
          <w:w w:val="100"/>
        </w:rPr>
        <w:t>报告期内，公司在车联网安全方面进行了积极的探索与尝试</w:t>
      </w:r>
      <w:r>
        <w:rPr>
          <w:rFonts w:ascii="宋体" w:hAnsi="宋体" w:cs="宋体" w:eastAsia="宋体" w:hint="default"/>
          <w:spacing w:val="-4"/>
          <w:w w:val="100"/>
        </w:rPr>
        <w:t>,</w:t>
      </w:r>
      <w:r>
        <w:rPr>
          <w:spacing w:val="-4"/>
          <w:w w:val="100"/>
        </w:rPr>
        <w:t>包括与中汽中心共同成立了“中</w:t>
      </w:r>
      <w:r>
        <w:rPr>
          <w:w w:val="100"/>
        </w:rPr>
        <w:t> </w:t>
      </w:r>
      <w:r>
        <w:rPr/>
        <w:t>汽中心</w:t>
      </w:r>
      <w:r>
        <w:rPr>
          <w:rFonts w:ascii="宋体" w:hAnsi="宋体" w:cs="宋体" w:eastAsia="宋体" w:hint="default"/>
        </w:rPr>
        <w:t>-360 </w:t>
      </w:r>
      <w:r>
        <w:rPr>
          <w:spacing w:val="-3"/>
        </w:rPr>
        <w:t>集团智能网联汽车信息安全联合实验室”及汽车信息安全监测中心；与比亚迪开展战</w:t>
      </w:r>
      <w:r>
        <w:rPr>
          <w:spacing w:val="-94"/>
        </w:rPr>
        <w:t> </w:t>
      </w:r>
      <w:r>
        <w:rPr>
          <w:spacing w:val="-94"/>
        </w:rPr>
      </w:r>
      <w:r>
        <w:rPr>
          <w:spacing w:val="-9"/>
        </w:rPr>
        <w:t>略合作，将“360</w:t>
      </w:r>
      <w:r>
        <w:rPr>
          <w:spacing w:val="-24"/>
        </w:rPr>
        <w:t> </w:t>
      </w:r>
      <w:r>
        <w:rPr>
          <w:spacing w:val="-6"/>
        </w:rPr>
        <w:t>汽车安全大脑”装入比亚迪汽车，共同打造跨时代的智能汽车生态体。截至</w:t>
      </w:r>
      <w:r>
        <w:rPr>
          <w:spacing w:val="-24"/>
        </w:rPr>
        <w:t> </w:t>
      </w:r>
      <w:r>
        <w:rPr>
          <w:rFonts w:ascii="宋体" w:hAnsi="宋体" w:cs="宋体" w:eastAsia="宋体" w:hint="default"/>
        </w:rPr>
        <w:t>2018</w:t>
      </w:r>
      <w:r>
        <w:rPr>
          <w:rFonts w:ascii="宋体" w:hAnsi="宋体" w:cs="宋体" w:eastAsia="宋体" w:hint="default"/>
          <w:spacing w:val="-92"/>
        </w:rPr>
        <w:t> </w:t>
      </w:r>
      <w:r>
        <w:rPr>
          <w:rFonts w:ascii="宋体" w:hAnsi="宋体" w:cs="宋体" w:eastAsia="宋体" w:hint="default"/>
          <w:spacing w:val="-92"/>
        </w:rPr>
      </w:r>
      <w:r>
        <w:rPr/>
        <w:t>年末，</w:t>
      </w:r>
      <w:r>
        <w:rPr>
          <w:rFonts w:ascii="宋体" w:hAnsi="宋体" w:cs="宋体" w:eastAsia="宋体" w:hint="default"/>
        </w:rPr>
        <w:t>360</w:t>
      </w:r>
      <w:r>
        <w:rPr>
          <w:rFonts w:ascii="宋体" w:hAnsi="宋体" w:cs="宋体" w:eastAsia="宋体" w:hint="default"/>
          <w:spacing w:val="-56"/>
        </w:rPr>
        <w:t> </w:t>
      </w:r>
      <w:r>
        <w:rPr/>
        <w:t>智能网联汽车安全实验室为国内约</w:t>
      </w:r>
      <w:r>
        <w:rPr>
          <w:spacing w:val="-54"/>
        </w:rPr>
        <w:t> </w:t>
      </w:r>
      <w:r>
        <w:rPr>
          <w:rFonts w:ascii="宋体" w:hAnsi="宋体" w:cs="宋体" w:eastAsia="宋体" w:hint="default"/>
        </w:rPr>
        <w:t>80%</w:t>
      </w:r>
      <w:r>
        <w:rPr/>
        <w:t>汽车自主品牌开展安全解决方案合作。</w:t>
      </w:r>
    </w:p>
    <w:p>
      <w:pPr>
        <w:pStyle w:val="BodyText"/>
        <w:spacing w:line="357" w:lineRule="auto" w:before="34"/>
        <w:ind w:right="0" w:firstLine="419"/>
        <w:jc w:val="left"/>
      </w:pPr>
      <w:r>
        <w:rPr/>
        <w:t>移动安全领域，</w:t>
      </w:r>
      <w:r>
        <w:rPr>
          <w:rFonts w:ascii="宋体" w:hAnsi="宋体" w:cs="宋体" w:eastAsia="宋体" w:hint="default"/>
        </w:rPr>
        <w:t>2018</w:t>
      </w:r>
      <w:r>
        <w:rPr>
          <w:rFonts w:ascii="宋体" w:hAnsi="宋体" w:cs="宋体" w:eastAsia="宋体" w:hint="default"/>
          <w:spacing w:val="-8"/>
        </w:rPr>
        <w:t> </w:t>
      </w:r>
      <w:r>
        <w:rPr/>
        <w:t>年公司继续向手机厂商合作伙伴提供骚扰电话、垃圾短信、手机清理、</w:t>
      </w:r>
      <w:r>
        <w:rPr>
          <w:w w:val="100"/>
        </w:rPr>
        <w:t> </w:t>
      </w:r>
      <w:r>
        <w:rPr/>
        <w:t>杀毒等</w:t>
      </w:r>
      <w:r>
        <w:rPr>
          <w:spacing w:val="-53"/>
        </w:rPr>
        <w:t> </w:t>
      </w:r>
      <w:r>
        <w:rPr>
          <w:rFonts w:ascii="宋体" w:hAnsi="宋体" w:cs="宋体" w:eastAsia="宋体" w:hint="default"/>
        </w:rPr>
        <w:t>SDK</w:t>
      </w:r>
      <w:r>
        <w:rPr>
          <w:rFonts w:ascii="宋体" w:hAnsi="宋体" w:cs="宋体" w:eastAsia="宋体" w:hint="default"/>
          <w:spacing w:val="-55"/>
        </w:rPr>
        <w:t> </w:t>
      </w:r>
      <w:r>
        <w:rPr/>
        <w:t>安全能力赋能。公司推出主攻移动安全的品牌“天御”和威胁感知平台“问天”，作</w:t>
      </w:r>
      <w:r>
        <w:rPr>
          <w:w w:val="100"/>
        </w:rPr>
        <w:t> </w:t>
      </w:r>
      <w:r>
        <w:rPr/>
        <w:t>为“360</w:t>
      </w:r>
      <w:r>
        <w:rPr>
          <w:spacing w:val="-55"/>
        </w:rPr>
        <w:t> </w:t>
      </w:r>
      <w:r>
        <w:rPr/>
        <w:t>安全大脑”在移动安全和威胁感知领域的拓展。其中，“天御”拥有安全开发、安全评</w:t>
      </w:r>
      <w:r>
        <w:rPr>
          <w:w w:val="100"/>
        </w:rPr>
        <w:t> </w:t>
      </w:r>
      <w:r>
        <w:rPr/>
        <w:t>估、安全加固及安全运营四大产品体系，是全球首个为移动应用提供全生命周期安全服务的产品</w:t>
      </w:r>
      <w:r>
        <w:rPr>
          <w:w w:val="100"/>
        </w:rPr>
        <w:t> </w:t>
      </w:r>
      <w:r>
        <w:rPr/>
        <w:t>系列，覆盖政府、互联网、运营商、金融、游戏、教育、医疗等众多应用场景，至今累计服务移</w:t>
      </w:r>
    </w:p>
    <w:p>
      <w:pPr>
        <w:spacing w:after="0" w:line="357" w:lineRule="auto"/>
        <w:jc w:val="left"/>
        <w:sectPr>
          <w:footerReference w:type="default" r:id="rId13"/>
          <w:pgSz w:w="11910" w:h="16840"/>
          <w:pgMar w:footer="1217" w:header="855" w:top="1320" w:bottom="1400" w:left="1660" w:right="1060"/>
          <w:pgNumType w:start="19"/>
        </w:sectPr>
      </w:pPr>
    </w:p>
    <w:p>
      <w:pPr>
        <w:spacing w:line="240" w:lineRule="auto" w:before="4"/>
        <w:rPr>
          <w:rFonts w:ascii="宋体" w:hAnsi="宋体" w:cs="宋体" w:eastAsia="宋体" w:hint="default"/>
          <w:sz w:val="9"/>
          <w:szCs w:val="9"/>
        </w:rPr>
      </w:pPr>
    </w:p>
    <w:p>
      <w:pPr>
        <w:pStyle w:val="BodyText"/>
        <w:spacing w:line="357" w:lineRule="auto" w:before="36"/>
        <w:ind w:left="218" w:right="228"/>
        <w:jc w:val="both"/>
      </w:pPr>
      <w:r>
        <w:rPr/>
        <w:t>动应用</w:t>
      </w:r>
      <w:r>
        <w:rPr>
          <w:spacing w:val="-38"/>
        </w:rPr>
        <w:t> </w:t>
      </w:r>
      <w:r>
        <w:rPr>
          <w:rFonts w:ascii="宋体" w:hAnsi="宋体" w:cs="宋体" w:eastAsia="宋体" w:hint="default"/>
        </w:rPr>
        <w:t>80</w:t>
      </w:r>
      <w:r>
        <w:rPr>
          <w:rFonts w:ascii="宋体" w:hAnsi="宋体" w:cs="宋体" w:eastAsia="宋体" w:hint="default"/>
          <w:spacing w:val="-41"/>
        </w:rPr>
        <w:t> </w:t>
      </w:r>
      <w:r>
        <w:rPr>
          <w:spacing w:val="-6"/>
        </w:rPr>
        <w:t>万以上、保护</w:t>
      </w:r>
      <w:r>
        <w:rPr>
          <w:spacing w:val="-37"/>
        </w:rPr>
        <w:t> </w:t>
      </w:r>
      <w:r>
        <w:rPr>
          <w:rFonts w:ascii="宋体" w:hAnsi="宋体" w:cs="宋体" w:eastAsia="宋体" w:hint="default"/>
        </w:rPr>
        <w:t>10</w:t>
      </w:r>
      <w:r>
        <w:rPr>
          <w:rFonts w:ascii="宋体" w:hAnsi="宋体" w:cs="宋体" w:eastAsia="宋体" w:hint="default"/>
          <w:spacing w:val="-38"/>
        </w:rPr>
        <w:t> </w:t>
      </w:r>
      <w:r>
        <w:rPr>
          <w:spacing w:val="-4"/>
        </w:rPr>
        <w:t>亿台以上终端设备；“问天”平台汇集了来自互联网、</w:t>
      </w:r>
      <w:r>
        <w:rPr>
          <w:rFonts w:ascii="宋体" w:hAnsi="宋体" w:cs="宋体" w:eastAsia="宋体" w:hint="default"/>
          <w:spacing w:val="-4"/>
        </w:rPr>
        <w:t>IoT</w:t>
      </w:r>
      <w:r>
        <w:rPr>
          <w:spacing w:val="-4"/>
        </w:rPr>
        <w:t>、通信网等</w:t>
      </w:r>
      <w:r>
        <w:rPr>
          <w:spacing w:val="-100"/>
        </w:rPr>
        <w:t> </w:t>
      </w:r>
      <w:r>
        <w:rPr>
          <w:spacing w:val="-100"/>
        </w:rPr>
      </w:r>
      <w:r>
        <w:rPr>
          <w:spacing w:val="-2"/>
        </w:rPr>
        <w:t>不同领域的安全数据，通过互联互通打通信息孤岛，方便用户及开发者全面、及时、准确地掌握</w:t>
      </w:r>
      <w:r>
        <w:rPr>
          <w:spacing w:val="-25"/>
        </w:rPr>
        <w:t> </w:t>
      </w:r>
      <w:r>
        <w:rPr>
          <w:spacing w:val="-25"/>
        </w:rPr>
      </w:r>
      <w:r>
        <w:rPr/>
        <w:t>其产品和设备面临的移动安全风险。</w:t>
      </w:r>
    </w:p>
    <w:p>
      <w:pPr>
        <w:spacing w:line="240" w:lineRule="auto" w:before="0"/>
        <w:rPr>
          <w:rFonts w:ascii="宋体" w:hAnsi="宋体" w:cs="宋体" w:eastAsia="宋体" w:hint="default"/>
          <w:sz w:val="20"/>
          <w:szCs w:val="20"/>
        </w:rPr>
      </w:pPr>
    </w:p>
    <w:p>
      <w:pPr>
        <w:pStyle w:val="Heading5"/>
        <w:spacing w:line="240" w:lineRule="auto" w:before="140"/>
        <w:ind w:right="0"/>
        <w:jc w:val="both"/>
        <w:rPr>
          <w:b w:val="0"/>
          <w:bCs w:val="0"/>
        </w:rPr>
      </w:pPr>
      <w:r>
        <w:rPr/>
        <w:t>二、报告期内主要经营情况</w:t>
      </w:r>
      <w:r>
        <w:rPr>
          <w:b w:val="0"/>
          <w:bCs w:val="0"/>
        </w:rPr>
      </w:r>
    </w:p>
    <w:p>
      <w:pPr>
        <w:pStyle w:val="BodyText"/>
        <w:spacing w:line="355" w:lineRule="auto" w:before="56"/>
        <w:ind w:left="218" w:right="234" w:firstLine="479"/>
        <w:jc w:val="left"/>
      </w:pPr>
      <w:r>
        <w:rPr/>
        <w:t>截至报告期末，公司总资产达人民币</w:t>
      </w:r>
      <w:r>
        <w:rPr>
          <w:spacing w:val="-56"/>
        </w:rPr>
        <w:t> </w:t>
      </w:r>
      <w:r>
        <w:rPr>
          <w:rFonts w:ascii="宋体" w:hAnsi="宋体" w:cs="宋体" w:eastAsia="宋体" w:hint="default"/>
        </w:rPr>
        <w:t>293.48</w:t>
      </w:r>
      <w:r>
        <w:rPr>
          <w:rFonts w:ascii="宋体" w:hAnsi="宋体" w:cs="宋体" w:eastAsia="宋体" w:hint="default"/>
          <w:spacing w:val="-58"/>
        </w:rPr>
        <w:t> </w:t>
      </w:r>
      <w:r>
        <w:rPr/>
        <w:t>亿元，同比增长</w:t>
      </w:r>
      <w:r>
        <w:rPr>
          <w:spacing w:val="-56"/>
        </w:rPr>
        <w:t> </w:t>
      </w:r>
      <w:r>
        <w:rPr>
          <w:rFonts w:ascii="宋体" w:hAnsi="宋体" w:cs="宋体" w:eastAsia="宋体" w:hint="default"/>
        </w:rPr>
        <w:t>39.42%</w:t>
      </w:r>
      <w:r>
        <w:rPr/>
        <w:t>，其中归属于母公司所</w:t>
      </w:r>
      <w:r>
        <w:rPr>
          <w:w w:val="100"/>
        </w:rPr>
        <w:t> </w:t>
      </w:r>
      <w:r>
        <w:rPr/>
        <w:t>有者权益合计为人民币</w:t>
      </w:r>
      <w:r>
        <w:rPr>
          <w:spacing w:val="-54"/>
        </w:rPr>
        <w:t> </w:t>
      </w:r>
      <w:r>
        <w:rPr>
          <w:rFonts w:ascii="宋体" w:hAnsi="宋体" w:cs="宋体" w:eastAsia="宋体" w:hint="default"/>
        </w:rPr>
        <w:t>239.82</w:t>
      </w:r>
      <w:r>
        <w:rPr>
          <w:rFonts w:ascii="宋体" w:hAnsi="宋体" w:cs="宋体" w:eastAsia="宋体" w:hint="default"/>
          <w:spacing w:val="-57"/>
        </w:rPr>
        <w:t> </w:t>
      </w:r>
      <w:r>
        <w:rPr/>
        <w:t>亿元，同比增长</w:t>
      </w:r>
      <w:r>
        <w:rPr>
          <w:spacing w:val="-55"/>
        </w:rPr>
        <w:t> </w:t>
      </w:r>
      <w:r>
        <w:rPr>
          <w:rFonts w:ascii="宋体" w:hAnsi="宋体" w:cs="宋体" w:eastAsia="宋体" w:hint="default"/>
        </w:rPr>
        <w:t>49.44%</w:t>
      </w:r>
      <w:r>
        <w:rPr/>
        <w:t>。</w:t>
      </w:r>
    </w:p>
    <w:p>
      <w:pPr>
        <w:pStyle w:val="BodyText"/>
        <w:spacing w:line="357" w:lineRule="auto" w:before="34"/>
        <w:ind w:left="218" w:right="124" w:firstLine="419"/>
        <w:jc w:val="left"/>
      </w:pPr>
      <w:r>
        <w:rPr/>
        <w:t>公司全年共实现营业收入人民币</w:t>
      </w:r>
      <w:r>
        <w:rPr>
          <w:spacing w:val="-41"/>
        </w:rPr>
        <w:t> </w:t>
      </w:r>
      <w:r>
        <w:rPr>
          <w:rFonts w:ascii="宋体" w:hAnsi="宋体" w:cs="宋体" w:eastAsia="宋体" w:hint="default"/>
        </w:rPr>
        <w:t>131.29</w:t>
      </w:r>
      <w:r>
        <w:rPr>
          <w:rFonts w:ascii="宋体" w:hAnsi="宋体" w:cs="宋体" w:eastAsia="宋体" w:hint="default"/>
          <w:spacing w:val="-43"/>
        </w:rPr>
        <w:t> </w:t>
      </w:r>
      <w:r>
        <w:rPr>
          <w:spacing w:val="-5"/>
        </w:rPr>
        <w:t>亿元，同比增长</w:t>
      </w:r>
      <w:r>
        <w:rPr>
          <w:spacing w:val="-39"/>
        </w:rPr>
        <w:t> </w:t>
      </w:r>
      <w:r>
        <w:rPr>
          <w:rFonts w:ascii="宋体" w:hAnsi="宋体" w:cs="宋体" w:eastAsia="宋体" w:hint="default"/>
          <w:spacing w:val="-3"/>
        </w:rPr>
        <w:t>7.28%</w:t>
      </w:r>
      <w:r>
        <w:rPr>
          <w:spacing w:val="-3"/>
        </w:rPr>
        <w:t>，其中互联网广告及服务收入</w:t>
      </w:r>
      <w:r>
        <w:rPr>
          <w:w w:val="100"/>
        </w:rPr>
        <w:t> </w:t>
      </w:r>
      <w:r>
        <w:rPr/>
        <w:t>为人民币</w:t>
      </w:r>
      <w:r>
        <w:rPr>
          <w:spacing w:val="-56"/>
        </w:rPr>
        <w:t> </w:t>
      </w:r>
      <w:r>
        <w:rPr>
          <w:rFonts w:ascii="宋体" w:hAnsi="宋体" w:cs="宋体" w:eastAsia="宋体" w:hint="default"/>
        </w:rPr>
        <w:t>106.58</w:t>
      </w:r>
      <w:r>
        <w:rPr>
          <w:rFonts w:ascii="宋体" w:hAnsi="宋体" w:cs="宋体" w:eastAsia="宋体" w:hint="default"/>
          <w:spacing w:val="-56"/>
        </w:rPr>
        <w:t> </w:t>
      </w:r>
      <w:r>
        <w:rPr/>
        <w:t>亿元，同比增长</w:t>
      </w:r>
      <w:r>
        <w:rPr>
          <w:spacing w:val="-55"/>
        </w:rPr>
        <w:t> </w:t>
      </w:r>
      <w:r>
        <w:rPr>
          <w:rFonts w:ascii="宋体" w:hAnsi="宋体" w:cs="宋体" w:eastAsia="宋体" w:hint="default"/>
        </w:rPr>
        <w:t>16.94%</w:t>
      </w:r>
      <w:r>
        <w:rPr/>
        <w:t>；互联网增值服务收入为人民币</w:t>
      </w:r>
      <w:r>
        <w:rPr>
          <w:spacing w:val="-56"/>
        </w:rPr>
        <w:t> </w:t>
      </w:r>
      <w:r>
        <w:rPr>
          <w:rFonts w:ascii="宋体" w:hAnsi="宋体" w:cs="宋体" w:eastAsia="宋体" w:hint="default"/>
        </w:rPr>
        <w:t>11.78</w:t>
      </w:r>
      <w:r>
        <w:rPr>
          <w:rFonts w:ascii="宋体" w:hAnsi="宋体" w:cs="宋体" w:eastAsia="宋体" w:hint="default"/>
          <w:spacing w:val="-55"/>
        </w:rPr>
        <w:t> </w:t>
      </w:r>
      <w:r>
        <w:rPr/>
        <w:t>亿元，同比下降</w:t>
      </w:r>
    </w:p>
    <w:p>
      <w:pPr>
        <w:pStyle w:val="BodyText"/>
        <w:spacing w:line="357" w:lineRule="auto" w:before="30"/>
        <w:ind w:left="218" w:right="227"/>
        <w:jc w:val="both"/>
      </w:pPr>
      <w:r>
        <w:rPr>
          <w:rFonts w:ascii="宋体" w:hAnsi="宋体" w:cs="宋体" w:eastAsia="宋体" w:hint="default"/>
        </w:rPr>
        <w:t>30.63%</w:t>
      </w:r>
      <w:r>
        <w:rPr/>
        <w:t>；智能硬件业务收入为人民币</w:t>
      </w:r>
      <w:r>
        <w:rPr>
          <w:spacing w:val="-52"/>
        </w:rPr>
        <w:t> </w:t>
      </w:r>
      <w:r>
        <w:rPr>
          <w:rFonts w:ascii="宋体" w:hAnsi="宋体" w:cs="宋体" w:eastAsia="宋体" w:hint="default"/>
        </w:rPr>
        <w:t>10.15</w:t>
      </w:r>
      <w:r>
        <w:rPr>
          <w:rFonts w:ascii="宋体" w:hAnsi="宋体" w:cs="宋体" w:eastAsia="宋体" w:hint="default"/>
          <w:spacing w:val="-52"/>
        </w:rPr>
        <w:t> </w:t>
      </w:r>
      <w:r>
        <w:rPr>
          <w:spacing w:val="-4"/>
        </w:rPr>
        <w:t>亿元，同比下降</w:t>
      </w:r>
      <w:r>
        <w:rPr>
          <w:spacing w:val="-52"/>
        </w:rPr>
        <w:t> </w:t>
      </w:r>
      <w:r>
        <w:rPr>
          <w:rFonts w:ascii="宋体" w:hAnsi="宋体" w:cs="宋体" w:eastAsia="宋体" w:hint="default"/>
          <w:spacing w:val="-3"/>
        </w:rPr>
        <w:t>7.66%</w:t>
      </w:r>
      <w:r>
        <w:rPr>
          <w:spacing w:val="-3"/>
        </w:rPr>
        <w:t>。公司</w:t>
      </w:r>
      <w:r>
        <w:rPr>
          <w:spacing w:val="-55"/>
        </w:rPr>
        <w:t> </w:t>
      </w:r>
      <w:r>
        <w:rPr>
          <w:rFonts w:ascii="宋体" w:hAnsi="宋体" w:cs="宋体" w:eastAsia="宋体" w:hint="default"/>
        </w:rPr>
        <w:t>2018</w:t>
      </w:r>
      <w:r>
        <w:rPr>
          <w:rFonts w:ascii="宋体" w:hAnsi="宋体" w:cs="宋体" w:eastAsia="宋体" w:hint="default"/>
          <w:spacing w:val="-51"/>
        </w:rPr>
        <w:t> </w:t>
      </w:r>
      <w:r>
        <w:rPr/>
        <w:t>年度营业总成本为</w:t>
      </w:r>
      <w:r>
        <w:rPr>
          <w:w w:val="100"/>
        </w:rPr>
        <w:t> </w:t>
      </w:r>
      <w:r>
        <w:rPr/>
        <w:t>人民币</w:t>
      </w:r>
      <w:r>
        <w:rPr>
          <w:spacing w:val="-54"/>
        </w:rPr>
        <w:t> </w:t>
      </w:r>
      <w:r>
        <w:rPr>
          <w:rFonts w:ascii="宋体" w:hAnsi="宋体" w:cs="宋体" w:eastAsia="宋体" w:hint="default"/>
        </w:rPr>
        <w:t>94.03</w:t>
      </w:r>
      <w:r>
        <w:rPr>
          <w:rFonts w:ascii="宋体" w:hAnsi="宋体" w:cs="宋体" w:eastAsia="宋体" w:hint="default"/>
          <w:spacing w:val="-54"/>
        </w:rPr>
        <w:t> </w:t>
      </w:r>
      <w:r>
        <w:rPr/>
        <w:t>亿元，同比增长</w:t>
      </w:r>
      <w:r>
        <w:rPr>
          <w:spacing w:val="-53"/>
        </w:rPr>
        <w:t> </w:t>
      </w:r>
      <w:r>
        <w:rPr>
          <w:rFonts w:ascii="宋体" w:hAnsi="宋体" w:cs="宋体" w:eastAsia="宋体" w:hint="default"/>
        </w:rPr>
        <w:t>7.57%</w:t>
      </w:r>
      <w:r>
        <w:rPr/>
        <w:t>。报告期内，公司实现归属于上市公司股东的净利润人民币</w:t>
      </w:r>
      <w:r>
        <w:rPr>
          <w:w w:val="100"/>
        </w:rPr>
        <w:t> </w:t>
      </w:r>
      <w:r>
        <w:rPr>
          <w:rFonts w:ascii="宋体" w:hAnsi="宋体" w:cs="宋体" w:eastAsia="宋体" w:hint="default"/>
        </w:rPr>
        <w:t>35.35</w:t>
      </w:r>
      <w:r>
        <w:rPr>
          <w:rFonts w:ascii="宋体" w:hAnsi="宋体" w:cs="宋体" w:eastAsia="宋体" w:hint="default"/>
          <w:spacing w:val="-56"/>
        </w:rPr>
        <w:t> </w:t>
      </w:r>
      <w:r>
        <w:rPr/>
        <w:t>亿元，同比增长</w:t>
      </w:r>
      <w:r>
        <w:rPr>
          <w:spacing w:val="-53"/>
        </w:rPr>
        <w:t> </w:t>
      </w:r>
      <w:r>
        <w:rPr>
          <w:rFonts w:ascii="宋体" w:hAnsi="宋体" w:cs="宋体" w:eastAsia="宋体" w:hint="default"/>
        </w:rPr>
        <w:t>4.83%</w:t>
      </w:r>
      <w:r>
        <w:rPr/>
        <w:t>。</w:t>
      </w:r>
    </w:p>
    <w:p>
      <w:pPr>
        <w:pStyle w:val="BodyText"/>
        <w:spacing w:line="355" w:lineRule="auto" w:before="30"/>
        <w:ind w:left="218" w:right="124" w:firstLine="419"/>
        <w:jc w:val="left"/>
      </w:pPr>
      <w:r>
        <w:rPr/>
        <w:t>控股子公司三六零科技实现扣除非经常性损益的净利润人民币</w:t>
      </w:r>
      <w:r>
        <w:rPr>
          <w:spacing w:val="-51"/>
        </w:rPr>
        <w:t> </w:t>
      </w:r>
      <w:r>
        <w:rPr>
          <w:rFonts w:ascii="宋体" w:hAnsi="宋体" w:cs="宋体" w:eastAsia="宋体" w:hint="default"/>
        </w:rPr>
        <w:t>35.68</w:t>
      </w:r>
      <w:r>
        <w:rPr>
          <w:rFonts w:ascii="宋体" w:hAnsi="宋体" w:cs="宋体" w:eastAsia="宋体" w:hint="default"/>
          <w:spacing w:val="-51"/>
        </w:rPr>
        <w:t> </w:t>
      </w:r>
      <w:r>
        <w:rPr>
          <w:spacing w:val="-7"/>
        </w:rPr>
        <w:t>亿元，超额人民币</w:t>
      </w:r>
      <w:r>
        <w:rPr>
          <w:spacing w:val="-50"/>
        </w:rPr>
        <w:t> </w:t>
      </w:r>
      <w:r>
        <w:rPr>
          <w:rFonts w:ascii="宋体" w:hAnsi="宋体" w:cs="宋体" w:eastAsia="宋体" w:hint="default"/>
        </w:rPr>
        <w:t>6.68</w:t>
      </w:r>
      <w:r>
        <w:rPr>
          <w:rFonts w:ascii="宋体" w:hAnsi="宋体" w:cs="宋体" w:eastAsia="宋体" w:hint="default"/>
          <w:w w:val="100"/>
        </w:rPr>
        <w:t> </w:t>
      </w:r>
      <w:r>
        <w:rPr/>
        <w:t>亿元完成业绩承诺。</w:t>
      </w:r>
    </w:p>
    <w:p>
      <w:pPr>
        <w:spacing w:after="0" w:line="355" w:lineRule="auto"/>
        <w:jc w:val="left"/>
        <w:sectPr>
          <w:pgSz w:w="11910" w:h="16840"/>
          <w:pgMar w:header="855" w:footer="1217" w:top="1320" w:bottom="1400" w:left="1580" w:right="1040"/>
        </w:sectPr>
      </w:pPr>
    </w:p>
    <w:p>
      <w:pPr>
        <w:pStyle w:val="Heading5"/>
        <w:tabs>
          <w:tab w:pos="1057" w:val="left" w:leader="none"/>
        </w:tabs>
        <w:spacing w:line="240" w:lineRule="auto" w:before="92"/>
        <w:ind w:right="0"/>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pStyle w:val="Heading5"/>
        <w:tabs>
          <w:tab w:pos="637" w:val="left" w:leader="none"/>
        </w:tabs>
        <w:spacing w:line="240" w:lineRule="auto" w:before="58"/>
        <w:ind w:right="0"/>
        <w:jc w:val="left"/>
        <w:rPr>
          <w:b w:val="0"/>
          <w:bCs w:val="0"/>
        </w:rPr>
      </w:pPr>
      <w:r>
        <w:rPr>
          <w:rFonts w:ascii="宋体" w:hAnsi="宋体" w:cs="宋体" w:eastAsia="宋体" w:hint="default"/>
          <w:w w:val="95"/>
        </w:rPr>
        <w:t>1.</w:t>
        <w:tab/>
      </w: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pStyle w:val="BodyText"/>
        <w:tabs>
          <w:tab w:pos="1375"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千元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320" w:bottom="1400" w:left="1580" w:right="1040"/>
          <w:cols w:num="2" w:equalWidth="0">
            <w:col w:w="4435" w:space="208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73"/>
        <w:gridCol w:w="1781"/>
        <w:gridCol w:w="1781"/>
        <w:gridCol w:w="2014"/>
      </w:tblGrid>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13,129,263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12,238,113</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7.28</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3,997,660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3,295,706</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21.30</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2,034,015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1,906,842</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6.67</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837,513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700,230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19.61</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2,546,310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2,417,482</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5.33</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(345,275)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(46,053)</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(649.73)</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3,747,795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4,142,529</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(9.53)</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(4,042,486)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9,045,579</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(144.69)</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(246,677)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(11,981,436)</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97.94</w:t>
            </w:r>
          </w:p>
        </w:tc>
      </w:tr>
    </w:tbl>
    <w:p>
      <w:pPr>
        <w:spacing w:line="240" w:lineRule="auto" w:before="6"/>
        <w:rPr>
          <w:rFonts w:ascii="宋体" w:hAnsi="宋体" w:cs="宋体" w:eastAsia="宋体" w:hint="default"/>
          <w:sz w:val="12"/>
          <w:szCs w:val="12"/>
        </w:rPr>
      </w:pPr>
    </w:p>
    <w:p>
      <w:pPr>
        <w:pStyle w:val="BodyText"/>
        <w:spacing w:line="274" w:lineRule="exact" w:before="36"/>
        <w:ind w:left="218" w:right="234"/>
        <w:jc w:val="left"/>
      </w:pPr>
      <w:r>
        <w:rPr/>
        <w:t>变动说明：</w:t>
      </w:r>
    </w:p>
    <w:p>
      <w:pPr>
        <w:pStyle w:val="BodyText"/>
        <w:spacing w:line="355" w:lineRule="auto"/>
        <w:ind w:left="638" w:right="234"/>
        <w:jc w:val="left"/>
      </w:pPr>
      <w:r>
        <w:rPr/>
        <w:t>报告期内，公司利润表及现金流量表出现较大幅度变动的科目及其变动原因如下：</w:t>
      </w:r>
      <w:r>
        <w:rPr>
          <w:w w:val="100"/>
        </w:rPr>
        <w:t> </w:t>
      </w:r>
      <w:r>
        <w:rPr/>
        <w:t>财务费用大幅变动主要由于报告期内定期存款利息增加所致；</w:t>
      </w:r>
      <w:r>
        <w:rPr>
          <w:w w:val="100"/>
        </w:rPr>
        <w:t> </w:t>
      </w:r>
      <w:r>
        <w:rPr>
          <w:spacing w:val="-2"/>
        </w:rPr>
        <w:t>投资活动产生的现金流量净额同比出现较大幅度下降主要由于以下原因所致</w:t>
      </w:r>
      <w:r>
        <w:rPr>
          <w:rFonts w:ascii="宋体" w:hAnsi="宋体" w:cs="宋体" w:eastAsia="宋体" w:hint="default"/>
          <w:spacing w:val="-2"/>
        </w:rPr>
        <w:t>:1</w:t>
      </w:r>
      <w:r>
        <w:rPr>
          <w:spacing w:val="-2"/>
        </w:rPr>
        <w:t>）上期赎回的</w:t>
      </w:r>
    </w:p>
    <w:p>
      <w:pPr>
        <w:pStyle w:val="BodyText"/>
        <w:spacing w:line="240" w:lineRule="auto" w:before="34"/>
        <w:ind w:left="218" w:right="124"/>
        <w:jc w:val="left"/>
      </w:pPr>
      <w:r>
        <w:rPr>
          <w:w w:val="100"/>
        </w:rPr>
        <w:t>结构</w:t>
      </w:r>
      <w:r>
        <w:rPr>
          <w:spacing w:val="-3"/>
          <w:w w:val="100"/>
        </w:rPr>
        <w:t>性</w:t>
      </w:r>
      <w:r>
        <w:rPr>
          <w:w w:val="100"/>
        </w:rPr>
        <w:t>存</w:t>
      </w:r>
      <w:r>
        <w:rPr>
          <w:spacing w:val="-3"/>
          <w:w w:val="100"/>
        </w:rPr>
        <w:t>款</w:t>
      </w:r>
      <w:r>
        <w:rPr>
          <w:w w:val="100"/>
        </w:rPr>
        <w:t>及</w:t>
      </w:r>
      <w:r>
        <w:rPr>
          <w:spacing w:val="-3"/>
          <w:w w:val="100"/>
        </w:rPr>
        <w:t>其利</w:t>
      </w:r>
      <w:r>
        <w:rPr>
          <w:w w:val="100"/>
        </w:rPr>
        <w:t>息</w:t>
      </w:r>
      <w:r>
        <w:rPr>
          <w:spacing w:val="-53"/>
        </w:rPr>
        <w:t> </w:t>
      </w:r>
      <w:r>
        <w:rPr>
          <w:rFonts w:ascii="宋体" w:hAnsi="宋体" w:cs="宋体" w:eastAsia="宋体" w:hint="default"/>
          <w:w w:val="100"/>
        </w:rPr>
        <w:t>14</w:t>
      </w:r>
      <w:r>
        <w:rPr>
          <w:rFonts w:ascii="宋体" w:hAnsi="宋体" w:cs="宋体" w:eastAsia="宋体" w:hint="default"/>
          <w:spacing w:val="-3"/>
          <w:w w:val="100"/>
        </w:rPr>
        <w:t>9.</w:t>
      </w:r>
      <w:r>
        <w:rPr>
          <w:rFonts w:ascii="宋体" w:hAnsi="宋体" w:cs="宋体" w:eastAsia="宋体" w:hint="default"/>
          <w:w w:val="100"/>
        </w:rPr>
        <w:t>33</w:t>
      </w:r>
      <w:r>
        <w:rPr>
          <w:rFonts w:ascii="宋体" w:hAnsi="宋体" w:cs="宋体" w:eastAsia="宋体" w:hint="default"/>
          <w:spacing w:val="-52"/>
        </w:rPr>
        <w:t> </w:t>
      </w:r>
      <w:r>
        <w:rPr>
          <w:spacing w:val="-3"/>
          <w:w w:val="100"/>
        </w:rPr>
        <w:t>亿</w:t>
      </w:r>
      <w:r>
        <w:rPr>
          <w:w w:val="100"/>
        </w:rPr>
        <w:t>元</w:t>
      </w:r>
      <w:r>
        <w:rPr>
          <w:spacing w:val="-3"/>
          <w:w w:val="100"/>
        </w:rPr>
        <w:t>视</w:t>
      </w:r>
      <w:r>
        <w:rPr>
          <w:w w:val="100"/>
        </w:rPr>
        <w:t>为</w:t>
      </w:r>
      <w:r>
        <w:rPr>
          <w:spacing w:val="-3"/>
          <w:w w:val="100"/>
        </w:rPr>
        <w:t>投</w:t>
      </w:r>
      <w:r>
        <w:rPr>
          <w:w w:val="100"/>
        </w:rPr>
        <w:t>资</w:t>
      </w:r>
      <w:r>
        <w:rPr>
          <w:spacing w:val="-3"/>
          <w:w w:val="100"/>
        </w:rPr>
        <w:t>活</w:t>
      </w:r>
      <w:r>
        <w:rPr>
          <w:w w:val="100"/>
        </w:rPr>
        <w:t>动</w:t>
      </w:r>
      <w:r>
        <w:rPr>
          <w:spacing w:val="-3"/>
          <w:w w:val="100"/>
        </w:rPr>
        <w:t>现金</w:t>
      </w:r>
      <w:r>
        <w:rPr>
          <w:w w:val="100"/>
        </w:rPr>
        <w:t>流</w:t>
      </w:r>
      <w:r>
        <w:rPr>
          <w:spacing w:val="-3"/>
          <w:w w:val="100"/>
        </w:rPr>
        <w:t>入</w:t>
      </w:r>
      <w:r>
        <w:rPr>
          <w:spacing w:val="-92"/>
          <w:w w:val="100"/>
        </w:rPr>
        <w:t>，</w:t>
      </w:r>
      <w:r>
        <w:rPr>
          <w:spacing w:val="-3"/>
          <w:w w:val="100"/>
        </w:rPr>
        <w:t>赎</w:t>
      </w:r>
      <w:r>
        <w:rPr>
          <w:w w:val="100"/>
        </w:rPr>
        <w:t>回</w:t>
      </w:r>
      <w:r>
        <w:rPr>
          <w:spacing w:val="-3"/>
          <w:w w:val="100"/>
        </w:rPr>
        <w:t>的</w:t>
      </w:r>
      <w:r>
        <w:rPr>
          <w:w w:val="100"/>
        </w:rPr>
        <w:t>结</w:t>
      </w:r>
      <w:r>
        <w:rPr>
          <w:spacing w:val="-3"/>
          <w:w w:val="100"/>
        </w:rPr>
        <w:t>构</w:t>
      </w:r>
      <w:r>
        <w:rPr>
          <w:w w:val="100"/>
        </w:rPr>
        <w:t>性</w:t>
      </w:r>
      <w:r>
        <w:rPr>
          <w:spacing w:val="-3"/>
          <w:w w:val="100"/>
        </w:rPr>
        <w:t>存</w:t>
      </w:r>
      <w:r>
        <w:rPr>
          <w:w w:val="100"/>
        </w:rPr>
        <w:t>款</w:t>
      </w:r>
      <w:r>
        <w:rPr>
          <w:spacing w:val="-3"/>
          <w:w w:val="100"/>
        </w:rPr>
        <w:t>后</w:t>
      </w:r>
      <w:r>
        <w:rPr>
          <w:w w:val="100"/>
        </w:rPr>
        <w:t>续用</w:t>
      </w:r>
      <w:r>
        <w:rPr>
          <w:spacing w:val="-3"/>
          <w:w w:val="100"/>
        </w:rPr>
        <w:t>于</w:t>
      </w:r>
      <w:r>
        <w:rPr>
          <w:w w:val="100"/>
        </w:rPr>
        <w:t>偿</w:t>
      </w:r>
      <w:r>
        <w:rPr>
          <w:spacing w:val="-3"/>
          <w:w w:val="100"/>
        </w:rPr>
        <w:t>还</w:t>
      </w:r>
      <w:r>
        <w:rPr>
          <w:w w:val="100"/>
        </w:rPr>
        <w:t>私</w:t>
      </w:r>
      <w:r>
        <w:rPr>
          <w:spacing w:val="-3"/>
          <w:w w:val="100"/>
        </w:rPr>
        <w:t>有</w:t>
      </w:r>
      <w:r>
        <w:rPr>
          <w:w w:val="100"/>
        </w:rPr>
        <w:t>化</w:t>
      </w:r>
    </w:p>
    <w:p>
      <w:pPr>
        <w:pStyle w:val="BodyText"/>
        <w:spacing w:line="240" w:lineRule="auto" w:before="133"/>
        <w:ind w:left="218" w:right="124"/>
        <w:jc w:val="left"/>
      </w:pPr>
      <w:r>
        <w:rPr/>
        <w:t>过程中内保外贷产生的借款；</w:t>
      </w:r>
      <w:r>
        <w:rPr>
          <w:rFonts w:ascii="宋体" w:hAnsi="宋体" w:cs="宋体" w:eastAsia="宋体" w:hint="default"/>
        </w:rPr>
        <w:t>2</w:t>
      </w:r>
      <w:r>
        <w:rPr/>
        <w:t>）本期收到股权转让对价</w:t>
      </w:r>
      <w:r>
        <w:rPr>
          <w:spacing w:val="-57"/>
        </w:rPr>
        <w:t> </w:t>
      </w:r>
      <w:r>
        <w:rPr>
          <w:rFonts w:ascii="宋体" w:hAnsi="宋体" w:cs="宋体" w:eastAsia="宋体" w:hint="default"/>
        </w:rPr>
        <w:t>16.90</w:t>
      </w:r>
      <w:r>
        <w:rPr>
          <w:rFonts w:ascii="宋体" w:hAnsi="宋体" w:cs="宋体" w:eastAsia="宋体" w:hint="default"/>
          <w:spacing w:val="-59"/>
        </w:rPr>
        <w:t> </w:t>
      </w:r>
      <w:r>
        <w:rPr/>
        <w:t>亿元；</w:t>
      </w:r>
      <w:r>
        <w:rPr>
          <w:rFonts w:ascii="宋体" w:hAnsi="宋体" w:cs="宋体" w:eastAsia="宋体" w:hint="default"/>
        </w:rPr>
        <w:t>3</w:t>
      </w:r>
      <w:r>
        <w:rPr/>
        <w:t>）本期较上期增加投资支</w:t>
      </w:r>
    </w:p>
    <w:p>
      <w:pPr>
        <w:pStyle w:val="BodyText"/>
        <w:spacing w:line="355" w:lineRule="auto" w:before="133"/>
        <w:ind w:left="638" w:right="234" w:hanging="420"/>
        <w:jc w:val="left"/>
      </w:pPr>
      <w:r>
        <w:rPr/>
        <w:t>付</w:t>
      </w:r>
      <w:r>
        <w:rPr>
          <w:spacing w:val="-54"/>
        </w:rPr>
        <w:t> </w:t>
      </w:r>
      <w:r>
        <w:rPr>
          <w:rFonts w:ascii="宋体" w:hAnsi="宋体" w:cs="宋体" w:eastAsia="宋体" w:hint="default"/>
        </w:rPr>
        <w:t>2.89</w:t>
      </w:r>
      <w:r>
        <w:rPr>
          <w:rFonts w:ascii="宋体" w:hAnsi="宋体" w:cs="宋体" w:eastAsia="宋体" w:hint="default"/>
          <w:spacing w:val="-54"/>
        </w:rPr>
        <w:t> </w:t>
      </w:r>
      <w:r>
        <w:rPr/>
        <w:t>亿元；本期较上期减少三个月以上定期存款和理财产品投资</w:t>
      </w:r>
      <w:r>
        <w:rPr>
          <w:spacing w:val="-54"/>
        </w:rPr>
        <w:t> </w:t>
      </w:r>
      <w:r>
        <w:rPr>
          <w:rFonts w:ascii="宋体" w:hAnsi="宋体" w:cs="宋体" w:eastAsia="宋体" w:hint="default"/>
        </w:rPr>
        <w:t>7.25</w:t>
      </w:r>
      <w:r>
        <w:rPr>
          <w:rFonts w:ascii="宋体" w:hAnsi="宋体" w:cs="宋体" w:eastAsia="宋体" w:hint="default"/>
          <w:spacing w:val="-54"/>
        </w:rPr>
        <w:t> </w:t>
      </w:r>
      <w:r>
        <w:rPr/>
        <w:t>亿元；</w:t>
      </w:r>
      <w:r>
        <w:rPr>
          <w:w w:val="100"/>
        </w:rPr>
        <w:t> </w:t>
      </w:r>
      <w:r>
        <w:rPr>
          <w:spacing w:val="-4"/>
        </w:rPr>
        <w:t>筹资活动产生的现金流量净额同比出现较大幅度增长主要由于以下原因所致：</w:t>
      </w:r>
      <w:r>
        <w:rPr>
          <w:rFonts w:ascii="宋体" w:hAnsi="宋体" w:cs="宋体" w:eastAsia="宋体" w:hint="default"/>
          <w:spacing w:val="-4"/>
        </w:rPr>
        <w:t>1</w:t>
      </w:r>
      <w:r>
        <w:rPr>
          <w:spacing w:val="-4"/>
        </w:rPr>
        <w:t>）上期收到来</w:t>
      </w:r>
    </w:p>
    <w:p>
      <w:pPr>
        <w:pStyle w:val="BodyText"/>
        <w:spacing w:line="240" w:lineRule="auto" w:before="32"/>
        <w:ind w:left="218" w:right="124"/>
        <w:jc w:val="left"/>
      </w:pPr>
      <w:r>
        <w:rPr/>
        <w:t>自于原股东天津奇信通达科技有限公司的现金增资款</w:t>
      </w:r>
      <w:r>
        <w:rPr>
          <w:spacing w:val="-45"/>
        </w:rPr>
        <w:t> </w:t>
      </w:r>
      <w:r>
        <w:rPr>
          <w:rFonts w:ascii="宋体" w:hAnsi="宋体" w:cs="宋体" w:eastAsia="宋体" w:hint="default"/>
        </w:rPr>
        <w:t>30.03</w:t>
      </w:r>
      <w:r>
        <w:rPr>
          <w:rFonts w:ascii="宋体" w:hAnsi="宋体" w:cs="宋体" w:eastAsia="宋体" w:hint="default"/>
          <w:spacing w:val="-45"/>
        </w:rPr>
        <w:t> </w:t>
      </w:r>
      <w:r>
        <w:rPr>
          <w:spacing w:val="-7"/>
        </w:rPr>
        <w:t>亿元；</w:t>
      </w:r>
      <w:r>
        <w:rPr>
          <w:rFonts w:ascii="宋体" w:hAnsi="宋体" w:cs="宋体" w:eastAsia="宋体" w:hint="default"/>
          <w:spacing w:val="-7"/>
        </w:rPr>
        <w:t>2</w:t>
      </w:r>
      <w:r>
        <w:rPr>
          <w:spacing w:val="-7"/>
        </w:rPr>
        <w:t>）上期偿还私有化过程中内保</w:t>
      </w:r>
    </w:p>
    <w:p>
      <w:pPr>
        <w:pStyle w:val="BodyText"/>
        <w:spacing w:line="240" w:lineRule="auto" w:before="136"/>
        <w:ind w:left="218" w:right="234"/>
        <w:jc w:val="left"/>
      </w:pPr>
      <w:r>
        <w:rPr/>
        <w:t>外贷产生的借款</w:t>
      </w:r>
      <w:r>
        <w:rPr>
          <w:spacing w:val="-53"/>
        </w:rPr>
        <w:t> </w:t>
      </w:r>
      <w:r>
        <w:rPr>
          <w:rFonts w:ascii="宋体" w:hAnsi="宋体" w:cs="宋体" w:eastAsia="宋体" w:hint="default"/>
        </w:rPr>
        <w:t>148.64</w:t>
      </w:r>
      <w:r>
        <w:rPr>
          <w:rFonts w:ascii="宋体" w:hAnsi="宋体" w:cs="宋体" w:eastAsia="宋体" w:hint="default"/>
          <w:spacing w:val="-55"/>
        </w:rPr>
        <w:t> </w:t>
      </w:r>
      <w:r>
        <w:rPr/>
        <w:t>亿元。</w:t>
      </w:r>
    </w:p>
    <w:p>
      <w:pPr>
        <w:spacing w:after="0" w:line="240" w:lineRule="auto"/>
        <w:jc w:val="left"/>
        <w:sectPr>
          <w:type w:val="continuous"/>
          <w:pgSz w:w="11910" w:h="16840"/>
          <w:pgMar w:top="1320" w:bottom="1400" w:left="1580" w:right="1040"/>
        </w:sectPr>
      </w:pPr>
    </w:p>
    <w:p>
      <w:pPr>
        <w:spacing w:line="240" w:lineRule="auto" w:before="4"/>
        <w:rPr>
          <w:rFonts w:ascii="宋体" w:hAnsi="宋体" w:cs="宋体" w:eastAsia="宋体" w:hint="default"/>
          <w:sz w:val="9"/>
          <w:szCs w:val="9"/>
        </w:rPr>
      </w:pPr>
    </w:p>
    <w:p>
      <w:pPr>
        <w:pStyle w:val="Heading5"/>
        <w:tabs>
          <w:tab w:pos="637" w:val="left" w:leader="none"/>
        </w:tabs>
        <w:spacing w:line="240" w:lineRule="auto" w:before="36"/>
        <w:ind w:right="234"/>
        <w:jc w:val="left"/>
        <w:rPr>
          <w:b w:val="0"/>
          <w:bCs w:val="0"/>
        </w:rPr>
      </w:pPr>
      <w:r>
        <w:rPr>
          <w:rFonts w:ascii="宋体" w:hAnsi="宋体" w:cs="宋体" w:eastAsia="宋体" w:hint="default"/>
          <w:w w:val="95"/>
        </w:rPr>
        <w:t>2.</w:t>
        <w:tab/>
      </w:r>
      <w:r>
        <w:rPr/>
        <w:t>收入和成本分析</w:t>
      </w:r>
      <w:r>
        <w:rPr>
          <w:b w:val="0"/>
          <w:bCs w:val="0"/>
        </w:rPr>
      </w:r>
    </w:p>
    <w:p>
      <w:pPr>
        <w:pStyle w:val="BodyText"/>
        <w:spacing w:line="272" w:lineRule="exact" w:before="86"/>
        <w:ind w:left="638" w:right="6625" w:hanging="420"/>
        <w:jc w:val="left"/>
      </w:pPr>
      <w:r>
        <w:rPr/>
        <w:t>√适用</w:t>
      </w:r>
      <w:r>
        <w:rPr>
          <w:spacing w:val="-2"/>
        </w:rPr>
        <w:t> </w:t>
      </w:r>
      <w:r>
        <w:rPr/>
        <w:t>□不适用</w:t>
      </w:r>
      <w:r>
        <w:rPr>
          <w:w w:val="100"/>
        </w:rPr>
        <w:t> </w:t>
      </w:r>
      <w:r>
        <w:rPr>
          <w:spacing w:val="-2"/>
        </w:rPr>
        <w:t>详见下述具体说明</w:t>
      </w:r>
    </w:p>
    <w:p>
      <w:pPr>
        <w:spacing w:line="240" w:lineRule="auto" w:before="4"/>
        <w:rPr>
          <w:rFonts w:ascii="宋体" w:hAnsi="宋体" w:cs="宋体" w:eastAsia="宋体" w:hint="default"/>
          <w:sz w:val="10"/>
          <w:szCs w:val="10"/>
        </w:rPr>
      </w:pPr>
    </w:p>
    <w:p>
      <w:pPr>
        <w:pStyle w:val="Heading5"/>
        <w:spacing w:line="240" w:lineRule="auto" w:before="36"/>
        <w:ind w:right="234"/>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1157" w:val="left" w:leader="none"/>
        </w:tabs>
        <w:spacing w:line="240" w:lineRule="auto" w:before="56"/>
        <w:ind w:left="0" w:right="230"/>
        <w:jc w:val="right"/>
      </w:pPr>
      <w:r>
        <w:rPr>
          <w:spacing w:val="-1"/>
        </w:rPr>
        <w:t>单位</w:t>
      </w:r>
      <w:r>
        <w:rPr>
          <w:rFonts w:ascii="宋体" w:hAnsi="宋体" w:cs="宋体" w:eastAsia="宋体" w:hint="default"/>
          <w:spacing w:val="-1"/>
        </w:rPr>
        <w:t>:</w:t>
      </w:r>
      <w:r>
        <w:rPr>
          <w:spacing w:val="-1"/>
        </w:rPr>
        <w:t>千元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1275"/>
        <w:gridCol w:w="1277"/>
        <w:gridCol w:w="992"/>
        <w:gridCol w:w="1135"/>
        <w:gridCol w:w="1136"/>
        <w:gridCol w:w="1567"/>
      </w:tblGrid>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13"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72"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2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94" w:right="139"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94" w:right="140"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4" w:right="146" w:hanging="159"/>
              <w:jc w:val="left"/>
              <w:rPr>
                <w:rFonts w:ascii="宋体" w:hAnsi="宋体" w:cs="宋体" w:eastAsia="宋体" w:hint="default"/>
                <w:sz w:val="21"/>
                <w:szCs w:val="21"/>
              </w:rPr>
            </w:pPr>
            <w:r>
              <w:rPr>
                <w:rFonts w:ascii="宋体" w:hAnsi="宋体" w:cs="宋体" w:eastAsia="宋体" w:hint="default"/>
                <w:sz w:val="21"/>
                <w:szCs w:val="21"/>
              </w:rPr>
              <w:t>毛利率比上年</w:t>
            </w:r>
            <w:r>
              <w:rPr>
                <w:rFonts w:ascii="宋体" w:hAnsi="宋体" w:cs="宋体" w:eastAsia="宋体" w:hint="default"/>
                <w:w w:val="100"/>
                <w:sz w:val="21"/>
                <w:szCs w:val="21"/>
              </w:rPr>
              <w:t> </w:t>
            </w:r>
            <w:r>
              <w:rPr>
                <w:rFonts w:ascii="宋体" w:hAnsi="宋体" w:cs="宋体" w:eastAsia="宋体" w:hint="default"/>
                <w:sz w:val="21"/>
                <w:szCs w:val="21"/>
              </w:rPr>
              <w:t>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互</w:t>
            </w:r>
            <w:r>
              <w:rPr>
                <w:rFonts w:ascii="宋体" w:hAnsi="宋体" w:cs="宋体" w:eastAsia="宋体" w:hint="default"/>
                <w:spacing w:val="-66"/>
                <w:sz w:val="21"/>
                <w:szCs w:val="21"/>
              </w:rPr>
              <w:t> </w:t>
            </w:r>
            <w:r>
              <w:rPr>
                <w:rFonts w:ascii="宋体" w:hAnsi="宋体" w:cs="宋体" w:eastAsia="宋体" w:hint="default"/>
                <w:sz w:val="21"/>
                <w:szCs w:val="21"/>
              </w:rPr>
              <w:t>联</w:t>
            </w:r>
            <w:r>
              <w:rPr>
                <w:rFonts w:ascii="宋体" w:hAnsi="宋体" w:cs="宋体" w:eastAsia="宋体" w:hint="default"/>
                <w:spacing w:val="-66"/>
                <w:sz w:val="21"/>
                <w:szCs w:val="21"/>
              </w:rPr>
              <w:t> </w:t>
            </w:r>
            <w:r>
              <w:rPr>
                <w:rFonts w:ascii="宋体" w:hAnsi="宋体" w:cs="宋体" w:eastAsia="宋体" w:hint="default"/>
                <w:sz w:val="21"/>
                <w:szCs w:val="21"/>
              </w:rPr>
              <w:t>网</w:t>
            </w:r>
            <w:r>
              <w:rPr>
                <w:rFonts w:ascii="宋体" w:hAnsi="宋体" w:cs="宋体" w:eastAsia="宋体" w:hint="default"/>
                <w:spacing w:val="-69"/>
                <w:sz w:val="21"/>
                <w:szCs w:val="21"/>
              </w:rPr>
              <w:t> </w:t>
            </w:r>
            <w:r>
              <w:rPr>
                <w:rFonts w:ascii="宋体" w:hAnsi="宋体" w:cs="宋体" w:eastAsia="宋体" w:hint="default"/>
                <w:sz w:val="21"/>
                <w:szCs w:val="21"/>
              </w:rPr>
              <w:t>广</w:t>
            </w:r>
            <w:r>
              <w:rPr>
                <w:rFonts w:ascii="宋体" w:hAnsi="宋体" w:cs="宋体" w:eastAsia="宋体" w:hint="default"/>
                <w:spacing w:val="-66"/>
                <w:sz w:val="21"/>
                <w:szCs w:val="21"/>
              </w:rPr>
              <w:t> </w:t>
            </w:r>
            <w:r>
              <w:rPr>
                <w:rFonts w:ascii="宋体" w:hAnsi="宋体" w:cs="宋体" w:eastAsia="宋体" w:hint="default"/>
                <w:sz w:val="21"/>
                <w:szCs w:val="21"/>
              </w:rPr>
              <w:t>告</w:t>
            </w:r>
            <w:r>
              <w:rPr>
                <w:rFonts w:ascii="宋体" w:hAnsi="宋体" w:cs="宋体" w:eastAsia="宋体" w:hint="default"/>
                <w:spacing w:val="-69"/>
                <w:sz w:val="21"/>
                <w:szCs w:val="21"/>
              </w:rPr>
              <w:t> </w:t>
            </w:r>
            <w:r>
              <w:rPr>
                <w:rFonts w:ascii="宋体" w:hAnsi="宋体" w:cs="宋体" w:eastAsia="宋体" w:hint="default"/>
                <w:sz w:val="21"/>
                <w:szCs w:val="21"/>
              </w:rPr>
              <w:t>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10,658,292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2,794,491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73.78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16.94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65.07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7"/>
                <w:sz w:val="21"/>
                <w:szCs w:val="21"/>
              </w:rPr>
              <w:t> </w:t>
            </w:r>
            <w:r>
              <w:rPr>
                <w:rFonts w:ascii="宋体" w:hAnsi="宋体" w:cs="宋体" w:eastAsia="宋体" w:hint="default"/>
                <w:sz w:val="21"/>
                <w:szCs w:val="21"/>
              </w:rPr>
              <w:t>7.65</w:t>
            </w:r>
            <w:r>
              <w:rPr>
                <w:rFonts w:ascii="宋体" w:hAnsi="宋体" w:cs="宋体" w:eastAsia="宋体" w:hint="default"/>
                <w:spacing w:val="-59"/>
                <w:sz w:val="21"/>
                <w:szCs w:val="21"/>
              </w:rPr>
              <w:t> </w:t>
            </w:r>
            <w:r>
              <w:rPr>
                <w:rFonts w:ascii="宋体" w:hAnsi="宋体" w:cs="宋体" w:eastAsia="宋体" w:hint="default"/>
                <w:sz w:val="21"/>
                <w:szCs w:val="21"/>
              </w:rPr>
              <w:t>个百</w:t>
            </w:r>
          </w:p>
          <w:p>
            <w:pPr>
              <w:pStyle w:val="TableParagraph"/>
              <w:spacing w:line="273" w:lineRule="exact"/>
              <w:ind w:left="1034" w:right="0"/>
              <w:jc w:val="left"/>
              <w:rPr>
                <w:rFonts w:ascii="宋体" w:hAnsi="宋体" w:cs="宋体" w:eastAsia="宋体" w:hint="default"/>
                <w:sz w:val="21"/>
                <w:szCs w:val="21"/>
              </w:rPr>
            </w:pPr>
            <w:r>
              <w:rPr>
                <w:rFonts w:ascii="宋体" w:hAnsi="宋体" w:cs="宋体" w:eastAsia="宋体" w:hint="default"/>
                <w:sz w:val="21"/>
                <w:szCs w:val="21"/>
              </w:rPr>
              <w:t>分点</w:t>
            </w:r>
          </w:p>
        </w:tc>
      </w:tr>
      <w:tr>
        <w:trPr>
          <w:trHeight w:val="55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互</w:t>
            </w:r>
            <w:r>
              <w:rPr>
                <w:rFonts w:ascii="宋体" w:hAnsi="宋体" w:cs="宋体" w:eastAsia="宋体" w:hint="default"/>
                <w:spacing w:val="-66"/>
                <w:sz w:val="21"/>
                <w:szCs w:val="21"/>
              </w:rPr>
              <w:t> </w:t>
            </w:r>
            <w:r>
              <w:rPr>
                <w:rFonts w:ascii="宋体" w:hAnsi="宋体" w:cs="宋体" w:eastAsia="宋体" w:hint="default"/>
                <w:sz w:val="21"/>
                <w:szCs w:val="21"/>
              </w:rPr>
              <w:t>联</w:t>
            </w:r>
            <w:r>
              <w:rPr>
                <w:rFonts w:ascii="宋体" w:hAnsi="宋体" w:cs="宋体" w:eastAsia="宋体" w:hint="default"/>
                <w:spacing w:val="-66"/>
                <w:sz w:val="21"/>
                <w:szCs w:val="21"/>
              </w:rPr>
              <w:t> </w:t>
            </w:r>
            <w:r>
              <w:rPr>
                <w:rFonts w:ascii="宋体" w:hAnsi="宋体" w:cs="宋体" w:eastAsia="宋体" w:hint="default"/>
                <w:sz w:val="21"/>
                <w:szCs w:val="21"/>
              </w:rPr>
              <w:t>网</w:t>
            </w:r>
            <w:r>
              <w:rPr>
                <w:rFonts w:ascii="宋体" w:hAnsi="宋体" w:cs="宋体" w:eastAsia="宋体" w:hint="default"/>
                <w:spacing w:val="-69"/>
                <w:sz w:val="21"/>
                <w:szCs w:val="21"/>
              </w:rPr>
              <w:t> </w:t>
            </w:r>
            <w:r>
              <w:rPr>
                <w:rFonts w:ascii="宋体" w:hAnsi="宋体" w:cs="宋体" w:eastAsia="宋体" w:hint="default"/>
                <w:sz w:val="21"/>
                <w:szCs w:val="21"/>
              </w:rPr>
              <w:t>增</w:t>
            </w:r>
            <w:r>
              <w:rPr>
                <w:rFonts w:ascii="宋体" w:hAnsi="宋体" w:cs="宋体" w:eastAsia="宋体" w:hint="default"/>
                <w:spacing w:val="-66"/>
                <w:sz w:val="21"/>
                <w:szCs w:val="21"/>
              </w:rPr>
              <w:t> </w:t>
            </w:r>
            <w:r>
              <w:rPr>
                <w:rFonts w:ascii="宋体" w:hAnsi="宋体" w:cs="宋体" w:eastAsia="宋体" w:hint="default"/>
                <w:sz w:val="21"/>
                <w:szCs w:val="21"/>
              </w:rPr>
              <w:t>值</w:t>
            </w:r>
            <w:r>
              <w:rPr>
                <w:rFonts w:ascii="宋体" w:hAnsi="宋体" w:cs="宋体" w:eastAsia="宋体" w:hint="default"/>
                <w:spacing w:val="-69"/>
                <w:sz w:val="21"/>
                <w:szCs w:val="21"/>
              </w:rPr>
              <w:t> </w:t>
            </w:r>
            <w:r>
              <w:rPr>
                <w:rFonts w:ascii="宋体" w:hAnsi="宋体" w:cs="宋体" w:eastAsia="宋体" w:hint="default"/>
                <w:sz w:val="21"/>
                <w:szCs w:val="21"/>
              </w:rPr>
              <w:t>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1,178,014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289,313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75.44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(30.63)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(51.84)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10.81</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823"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游戏</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1,175,647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289,282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75.39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(30.52)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(51.83)</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10.88</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823"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2,367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98.69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(61.46)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(82.87)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7"/>
                <w:sz w:val="21"/>
                <w:szCs w:val="21"/>
              </w:rPr>
              <w:t> </w:t>
            </w:r>
            <w:r>
              <w:rPr>
                <w:rFonts w:ascii="宋体" w:hAnsi="宋体" w:cs="宋体" w:eastAsia="宋体" w:hint="default"/>
                <w:sz w:val="21"/>
                <w:szCs w:val="21"/>
              </w:rPr>
              <w:t>1.64</w:t>
            </w:r>
            <w:r>
              <w:rPr>
                <w:rFonts w:ascii="宋体" w:hAnsi="宋体" w:cs="宋体" w:eastAsia="宋体" w:hint="default"/>
                <w:spacing w:val="-59"/>
                <w:sz w:val="21"/>
                <w:szCs w:val="21"/>
              </w:rPr>
              <w:t> </w:t>
            </w:r>
            <w:r>
              <w:rPr>
                <w:rFonts w:ascii="宋体" w:hAnsi="宋体" w:cs="宋体" w:eastAsia="宋体" w:hint="default"/>
                <w:sz w:val="21"/>
                <w:szCs w:val="21"/>
              </w:rPr>
              <w:t>个百</w:t>
            </w:r>
          </w:p>
          <w:p>
            <w:pPr>
              <w:pStyle w:val="TableParagraph"/>
              <w:spacing w:line="274" w:lineRule="exact"/>
              <w:ind w:left="1034" w:right="0"/>
              <w:jc w:val="left"/>
              <w:rPr>
                <w:rFonts w:ascii="宋体" w:hAnsi="宋体" w:cs="宋体" w:eastAsia="宋体" w:hint="default"/>
                <w:sz w:val="21"/>
                <w:szCs w:val="21"/>
              </w:rPr>
            </w:pPr>
            <w:r>
              <w:rPr>
                <w:rFonts w:ascii="宋体" w:hAnsi="宋体" w:cs="宋体" w:eastAsia="宋体" w:hint="default"/>
                <w:sz w:val="21"/>
                <w:szCs w:val="21"/>
              </w:rPr>
              <w:t>分点</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智能硬件</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1,014,681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834,389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17.77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(7.66)</w:t>
            </w:r>
            <w:r>
              <w:rPr>
                <w:rFonts w:ascii="宋体"/>
                <w:sz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(4.19)</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7"/>
                <w:sz w:val="21"/>
                <w:szCs w:val="21"/>
              </w:rPr>
              <w:t> </w:t>
            </w:r>
            <w:r>
              <w:rPr>
                <w:rFonts w:ascii="宋体" w:hAnsi="宋体" w:cs="宋体" w:eastAsia="宋体" w:hint="default"/>
                <w:sz w:val="21"/>
                <w:szCs w:val="21"/>
              </w:rPr>
              <w:t>2.97</w:t>
            </w:r>
            <w:r>
              <w:rPr>
                <w:rFonts w:ascii="宋体" w:hAnsi="宋体" w:cs="宋体" w:eastAsia="宋体" w:hint="default"/>
                <w:spacing w:val="-59"/>
                <w:sz w:val="21"/>
                <w:szCs w:val="21"/>
              </w:rPr>
              <w:t> </w:t>
            </w:r>
            <w:r>
              <w:rPr>
                <w:rFonts w:ascii="宋体" w:hAnsi="宋体" w:cs="宋体" w:eastAsia="宋体" w:hint="default"/>
                <w:sz w:val="21"/>
                <w:szCs w:val="21"/>
              </w:rPr>
              <w:t>个百</w:t>
            </w:r>
          </w:p>
          <w:p>
            <w:pPr>
              <w:pStyle w:val="TableParagraph"/>
              <w:spacing w:line="274" w:lineRule="exact"/>
              <w:ind w:left="1034" w:right="0"/>
              <w:jc w:val="left"/>
              <w:rPr>
                <w:rFonts w:ascii="宋体" w:hAnsi="宋体" w:cs="宋体" w:eastAsia="宋体" w:hint="default"/>
                <w:sz w:val="21"/>
                <w:szCs w:val="21"/>
              </w:rPr>
            </w:pPr>
            <w:r>
              <w:rPr>
                <w:rFonts w:ascii="宋体" w:hAnsi="宋体" w:cs="宋体" w:eastAsia="宋体" w:hint="default"/>
                <w:sz w:val="21"/>
                <w:szCs w:val="21"/>
              </w:rPr>
              <w:t>分点</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270,190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79,467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70.59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(15.51)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(39.43)</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11.62</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3" w:lineRule="exact"/>
              <w:ind w:left="823"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7"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13,121,177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3,997,660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69.53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7.27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21.30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7"/>
                <w:sz w:val="21"/>
                <w:szCs w:val="21"/>
              </w:rPr>
              <w:t> </w:t>
            </w:r>
            <w:r>
              <w:rPr>
                <w:rFonts w:ascii="宋体" w:hAnsi="宋体" w:cs="宋体" w:eastAsia="宋体" w:hint="default"/>
                <w:sz w:val="21"/>
                <w:szCs w:val="21"/>
              </w:rPr>
              <w:t>3.53</w:t>
            </w:r>
            <w:r>
              <w:rPr>
                <w:rFonts w:ascii="宋体" w:hAnsi="宋体" w:cs="宋体" w:eastAsia="宋体" w:hint="default"/>
                <w:spacing w:val="-59"/>
                <w:sz w:val="21"/>
                <w:szCs w:val="21"/>
              </w:rPr>
              <w:t> </w:t>
            </w:r>
            <w:r>
              <w:rPr>
                <w:rFonts w:ascii="宋体" w:hAnsi="宋体" w:cs="宋体" w:eastAsia="宋体" w:hint="default"/>
                <w:sz w:val="21"/>
                <w:szCs w:val="21"/>
              </w:rPr>
              <w:t>个百</w:t>
            </w:r>
          </w:p>
          <w:p>
            <w:pPr>
              <w:pStyle w:val="TableParagraph"/>
              <w:spacing w:line="273" w:lineRule="exact"/>
              <w:ind w:left="1034" w:right="0"/>
              <w:jc w:val="left"/>
              <w:rPr>
                <w:rFonts w:ascii="宋体" w:hAnsi="宋体" w:cs="宋体" w:eastAsia="宋体" w:hint="default"/>
                <w:sz w:val="21"/>
                <w:szCs w:val="21"/>
              </w:rPr>
            </w:pPr>
            <w:r>
              <w:rPr>
                <w:rFonts w:ascii="宋体" w:hAnsi="宋体" w:cs="宋体" w:eastAsia="宋体" w:hint="default"/>
                <w:sz w:val="21"/>
                <w:szCs w:val="21"/>
              </w:rPr>
              <w:t>分点</w:t>
            </w:r>
          </w:p>
        </w:tc>
      </w:tr>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82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13"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72"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2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94" w:right="139"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94" w:right="140"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4" w:right="146" w:hanging="159"/>
              <w:jc w:val="left"/>
              <w:rPr>
                <w:rFonts w:ascii="宋体" w:hAnsi="宋体" w:cs="宋体" w:eastAsia="宋体" w:hint="default"/>
                <w:sz w:val="21"/>
                <w:szCs w:val="21"/>
              </w:rPr>
            </w:pPr>
            <w:r>
              <w:rPr>
                <w:rFonts w:ascii="宋体" w:hAnsi="宋体" w:cs="宋体" w:eastAsia="宋体" w:hint="default"/>
                <w:sz w:val="21"/>
                <w:szCs w:val="21"/>
              </w:rPr>
              <w:t>毛利率比上年</w:t>
            </w:r>
            <w:r>
              <w:rPr>
                <w:rFonts w:ascii="宋体" w:hAnsi="宋体" w:cs="宋体" w:eastAsia="宋体" w:hint="default"/>
                <w:w w:val="100"/>
                <w:sz w:val="21"/>
                <w:szCs w:val="21"/>
              </w:rPr>
              <w:t> </w:t>
            </w:r>
            <w:r>
              <w:rPr>
                <w:rFonts w:ascii="宋体" w:hAnsi="宋体" w:cs="宋体" w:eastAsia="宋体" w:hint="default"/>
                <w:sz w:val="21"/>
                <w:szCs w:val="21"/>
              </w:rPr>
              <w:t>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来</w:t>
            </w:r>
            <w:r>
              <w:rPr>
                <w:rFonts w:ascii="宋体" w:hAnsi="宋体" w:cs="宋体" w:eastAsia="宋体" w:hint="default"/>
                <w:spacing w:val="-66"/>
                <w:sz w:val="21"/>
                <w:szCs w:val="21"/>
              </w:rPr>
              <w:t> </w:t>
            </w:r>
            <w:r>
              <w:rPr>
                <w:rFonts w:ascii="宋体" w:hAnsi="宋体" w:cs="宋体" w:eastAsia="宋体" w:hint="default"/>
                <w:sz w:val="21"/>
                <w:szCs w:val="21"/>
              </w:rPr>
              <w:t>源</w:t>
            </w:r>
            <w:r>
              <w:rPr>
                <w:rFonts w:ascii="宋体" w:hAnsi="宋体" w:cs="宋体" w:eastAsia="宋体" w:hint="default"/>
                <w:spacing w:val="-66"/>
                <w:sz w:val="21"/>
                <w:szCs w:val="21"/>
              </w:rPr>
              <w:t> </w:t>
            </w:r>
            <w:r>
              <w:rPr>
                <w:rFonts w:ascii="宋体" w:hAnsi="宋体" w:cs="宋体" w:eastAsia="宋体" w:hint="default"/>
                <w:sz w:val="21"/>
                <w:szCs w:val="21"/>
              </w:rPr>
              <w:t>于</w:t>
            </w:r>
            <w:r>
              <w:rPr>
                <w:rFonts w:ascii="宋体" w:hAnsi="宋体" w:cs="宋体" w:eastAsia="宋体" w:hint="default"/>
                <w:spacing w:val="-69"/>
                <w:sz w:val="21"/>
                <w:szCs w:val="21"/>
              </w:rPr>
              <w:t> </w:t>
            </w:r>
            <w:r>
              <w:rPr>
                <w:rFonts w:ascii="宋体" w:hAnsi="宋体" w:cs="宋体" w:eastAsia="宋体" w:hint="default"/>
                <w:sz w:val="21"/>
                <w:szCs w:val="21"/>
              </w:rPr>
              <w:t>中</w:t>
            </w:r>
            <w:r>
              <w:rPr>
                <w:rFonts w:ascii="宋体" w:hAnsi="宋体" w:cs="宋体" w:eastAsia="宋体" w:hint="default"/>
                <w:spacing w:val="-66"/>
                <w:sz w:val="21"/>
                <w:szCs w:val="21"/>
              </w:rPr>
              <w:t> </w:t>
            </w:r>
            <w:r>
              <w:rPr>
                <w:rFonts w:ascii="宋体" w:hAnsi="宋体" w:cs="宋体" w:eastAsia="宋体" w:hint="default"/>
                <w:sz w:val="21"/>
                <w:szCs w:val="21"/>
              </w:rPr>
              <w:t>国</w:t>
            </w:r>
            <w:r>
              <w:rPr>
                <w:rFonts w:ascii="宋体" w:hAnsi="宋体" w:cs="宋体" w:eastAsia="宋体" w:hint="default"/>
                <w:spacing w:val="-69"/>
                <w:sz w:val="21"/>
                <w:szCs w:val="21"/>
              </w:rPr>
              <w:t> </w:t>
            </w:r>
            <w:r>
              <w:rPr>
                <w:rFonts w:ascii="宋体" w:hAnsi="宋体" w:cs="宋体" w:eastAsia="宋体" w:hint="default"/>
                <w:sz w:val="21"/>
                <w:szCs w:val="21"/>
              </w:rPr>
              <w:t>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内的对外交易</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12,938,227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3,985,141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69.20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10.38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21.31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41"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2.77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w:t>
            </w:r>
          </w:p>
          <w:p>
            <w:pPr>
              <w:pStyle w:val="TableParagraph"/>
              <w:spacing w:line="265" w:lineRule="exact"/>
              <w:ind w:left="1034" w:right="0"/>
              <w:jc w:val="left"/>
              <w:rPr>
                <w:rFonts w:ascii="宋体" w:hAnsi="宋体" w:cs="宋体" w:eastAsia="宋体" w:hint="default"/>
                <w:sz w:val="21"/>
                <w:szCs w:val="21"/>
              </w:rPr>
            </w:pPr>
            <w:r>
              <w:rPr>
                <w:rFonts w:ascii="宋体" w:hAnsi="宋体" w:cs="宋体" w:eastAsia="宋体" w:hint="default"/>
                <w:sz w:val="21"/>
                <w:szCs w:val="21"/>
              </w:rPr>
              <w:t>分点</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来</w:t>
            </w:r>
            <w:r>
              <w:rPr>
                <w:rFonts w:ascii="宋体" w:hAnsi="宋体" w:cs="宋体" w:eastAsia="宋体" w:hint="default"/>
                <w:spacing w:val="-66"/>
                <w:sz w:val="21"/>
                <w:szCs w:val="21"/>
              </w:rPr>
              <w:t> </w:t>
            </w:r>
            <w:r>
              <w:rPr>
                <w:rFonts w:ascii="宋体" w:hAnsi="宋体" w:cs="宋体" w:eastAsia="宋体" w:hint="default"/>
                <w:sz w:val="21"/>
                <w:szCs w:val="21"/>
              </w:rPr>
              <w:t>源</w:t>
            </w:r>
            <w:r>
              <w:rPr>
                <w:rFonts w:ascii="宋体" w:hAnsi="宋体" w:cs="宋体" w:eastAsia="宋体" w:hint="default"/>
                <w:spacing w:val="-66"/>
                <w:sz w:val="21"/>
                <w:szCs w:val="21"/>
              </w:rPr>
              <w:t> </w:t>
            </w:r>
            <w:r>
              <w:rPr>
                <w:rFonts w:ascii="宋体" w:hAnsi="宋体" w:cs="宋体" w:eastAsia="宋体" w:hint="default"/>
                <w:sz w:val="21"/>
                <w:szCs w:val="21"/>
              </w:rPr>
              <w:t>于</w:t>
            </w:r>
            <w:r>
              <w:rPr>
                <w:rFonts w:ascii="宋体" w:hAnsi="宋体" w:cs="宋体" w:eastAsia="宋体" w:hint="default"/>
                <w:spacing w:val="-69"/>
                <w:sz w:val="21"/>
                <w:szCs w:val="21"/>
              </w:rPr>
              <w:t> </w:t>
            </w:r>
            <w:r>
              <w:rPr>
                <w:rFonts w:ascii="宋体" w:hAnsi="宋体" w:cs="宋体" w:eastAsia="宋体" w:hint="default"/>
                <w:sz w:val="21"/>
                <w:szCs w:val="21"/>
              </w:rPr>
              <w:t>境</w:t>
            </w:r>
            <w:r>
              <w:rPr>
                <w:rFonts w:ascii="宋体" w:hAnsi="宋体" w:cs="宋体" w:eastAsia="宋体" w:hint="default"/>
                <w:spacing w:val="-66"/>
                <w:sz w:val="21"/>
                <w:szCs w:val="21"/>
              </w:rPr>
              <w:t> </w:t>
            </w:r>
            <w:r>
              <w:rPr>
                <w:rFonts w:ascii="宋体" w:hAnsi="宋体" w:cs="宋体" w:eastAsia="宋体" w:hint="default"/>
                <w:sz w:val="21"/>
                <w:szCs w:val="21"/>
              </w:rPr>
              <w:t>外</w:t>
            </w:r>
            <w:r>
              <w:rPr>
                <w:rFonts w:ascii="宋体" w:hAnsi="宋体" w:cs="宋体" w:eastAsia="宋体" w:hint="default"/>
                <w:spacing w:val="-69"/>
                <w:sz w:val="21"/>
                <w:szCs w:val="21"/>
              </w:rPr>
              <w:t> </w:t>
            </w:r>
            <w:r>
              <w:rPr>
                <w:rFonts w:ascii="宋体" w:hAnsi="宋体" w:cs="宋体" w:eastAsia="宋体" w:hint="default"/>
                <w:sz w:val="21"/>
                <w:szCs w:val="21"/>
              </w:rPr>
              <w:t>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对外交易</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182,950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12,519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93.16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(64.15)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18.65</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41"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4.77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w:t>
            </w:r>
          </w:p>
          <w:p>
            <w:pPr>
              <w:pStyle w:val="TableParagraph"/>
              <w:spacing w:line="266" w:lineRule="exact"/>
              <w:ind w:left="1034" w:right="0"/>
              <w:jc w:val="left"/>
              <w:rPr>
                <w:rFonts w:ascii="宋体" w:hAnsi="宋体" w:cs="宋体" w:eastAsia="宋体" w:hint="default"/>
                <w:sz w:val="21"/>
                <w:szCs w:val="21"/>
              </w:rPr>
            </w:pPr>
            <w:r>
              <w:rPr>
                <w:rFonts w:ascii="宋体" w:hAnsi="宋体" w:cs="宋体" w:eastAsia="宋体" w:hint="default"/>
                <w:sz w:val="21"/>
                <w:szCs w:val="21"/>
              </w:rPr>
              <w:t>分点</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主营业务合计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13,121,177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3,997,660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69.53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7.27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21.30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41"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3.53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w:t>
            </w:r>
          </w:p>
          <w:p>
            <w:pPr>
              <w:pStyle w:val="TableParagraph"/>
              <w:spacing w:line="266" w:lineRule="exact"/>
              <w:ind w:left="1034" w:right="0"/>
              <w:jc w:val="left"/>
              <w:rPr>
                <w:rFonts w:ascii="宋体" w:hAnsi="宋体" w:cs="宋体" w:eastAsia="宋体" w:hint="default"/>
                <w:sz w:val="21"/>
                <w:szCs w:val="21"/>
              </w:rPr>
            </w:pPr>
            <w:r>
              <w:rPr>
                <w:rFonts w:ascii="宋体" w:hAnsi="宋体" w:cs="宋体" w:eastAsia="宋体" w:hint="default"/>
                <w:sz w:val="21"/>
                <w:szCs w:val="21"/>
              </w:rPr>
              <w:t>分点</w:t>
            </w:r>
          </w:p>
        </w:tc>
      </w:tr>
    </w:tbl>
    <w:p>
      <w:pPr>
        <w:spacing w:line="240" w:lineRule="auto" w:before="8"/>
        <w:rPr>
          <w:rFonts w:ascii="宋体" w:hAnsi="宋体" w:cs="宋体" w:eastAsia="宋体" w:hint="default"/>
          <w:sz w:val="15"/>
          <w:szCs w:val="15"/>
        </w:rPr>
      </w:pPr>
    </w:p>
    <w:p>
      <w:pPr>
        <w:pStyle w:val="BodyText"/>
        <w:spacing w:line="273" w:lineRule="exact" w:before="36"/>
        <w:ind w:left="218" w:right="234"/>
        <w:jc w:val="left"/>
      </w:pPr>
      <w:r>
        <w:rPr/>
        <w:t>主营业务分行业、分产品、分地区情况的说明</w:t>
      </w:r>
    </w:p>
    <w:p>
      <w:pPr>
        <w:spacing w:before="0"/>
        <w:ind w:left="638" w:right="6625" w:hanging="42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）互联网广告及服务</w:t>
      </w:r>
      <w:r>
        <w:rPr>
          <w:rFonts w:ascii="宋体" w:hAnsi="宋体" w:cs="宋体" w:eastAsia="宋体" w:hint="default"/>
          <w:sz w:val="21"/>
          <w:szCs w:val="21"/>
        </w:rPr>
      </w:r>
    </w:p>
    <w:p>
      <w:pPr>
        <w:pStyle w:val="BodyText"/>
        <w:spacing w:line="355" w:lineRule="auto" w:before="133"/>
        <w:ind w:left="218" w:right="124" w:firstLine="419"/>
        <w:jc w:val="left"/>
      </w:pPr>
      <w:r>
        <w:rPr>
          <w:rFonts w:ascii="宋体" w:hAnsi="宋体" w:cs="宋体" w:eastAsia="宋体" w:hint="default"/>
        </w:rPr>
        <w:t>2018</w:t>
      </w:r>
      <w:r>
        <w:rPr>
          <w:rFonts w:ascii="宋体" w:hAnsi="宋体" w:cs="宋体" w:eastAsia="宋体" w:hint="default"/>
          <w:spacing w:val="-6"/>
        </w:rPr>
        <w:t> </w:t>
      </w:r>
      <w:r>
        <w:rPr>
          <w:spacing w:val="-3"/>
        </w:rPr>
        <w:t>年度，在广告市场总体增长平缓的背景下，公司的互联网广告及服务收入仍实现逆势增</w:t>
      </w:r>
      <w:r>
        <w:rPr>
          <w:w w:val="100"/>
        </w:rPr>
        <w:t> </w:t>
      </w:r>
      <w:r>
        <w:rPr>
          <w:spacing w:val="-2"/>
        </w:rPr>
        <w:t>长，在近百亿的收入体量基础上，达到了约</w:t>
      </w:r>
      <w:r>
        <w:rPr>
          <w:spacing w:val="17"/>
        </w:rPr>
        <w:t> </w:t>
      </w:r>
      <w:r>
        <w:rPr>
          <w:rFonts w:ascii="宋体" w:hAnsi="宋体" w:cs="宋体" w:eastAsia="宋体" w:hint="default"/>
          <w:spacing w:val="-2"/>
        </w:rPr>
        <w:t>17%</w:t>
      </w:r>
      <w:r>
        <w:rPr>
          <w:spacing w:val="-2"/>
        </w:rPr>
        <w:t>同比增幅，主要得益于以下工作：</w:t>
      </w:r>
    </w:p>
    <w:p>
      <w:pPr>
        <w:spacing w:line="357" w:lineRule="auto" w:before="32"/>
        <w:ind w:left="638" w:right="234" w:firstLine="2"/>
        <w:jc w:val="left"/>
        <w:rPr>
          <w:rFonts w:ascii="宋体" w:hAnsi="宋体" w:cs="宋体" w:eastAsia="宋体" w:hint="default"/>
          <w:sz w:val="21"/>
          <w:szCs w:val="21"/>
        </w:rPr>
      </w:pPr>
      <w:r>
        <w:rPr>
          <w:rFonts w:ascii="宋体" w:hAnsi="宋体" w:cs="宋体" w:eastAsia="宋体" w:hint="default"/>
          <w:b/>
          <w:bCs/>
          <w:sz w:val="21"/>
          <w:szCs w:val="21"/>
        </w:rPr>
        <w:t>A</w:t>
      </w:r>
      <w:r>
        <w:rPr>
          <w:rFonts w:ascii="宋体" w:hAnsi="宋体" w:cs="宋体" w:eastAsia="宋体" w:hint="default"/>
          <w:b/>
          <w:bCs/>
          <w:sz w:val="21"/>
          <w:szCs w:val="21"/>
        </w:rPr>
        <w:t>、优化产品及业务结构，推动技术创新，有效促进效率提升</w:t>
      </w:r>
      <w:r>
        <w:rPr>
          <w:rFonts w:ascii="宋体" w:hAnsi="宋体" w:cs="宋体" w:eastAsia="宋体" w:hint="default"/>
          <w:b/>
          <w:bCs/>
          <w:w w:val="100"/>
          <w:sz w:val="21"/>
          <w:szCs w:val="21"/>
        </w:rPr>
        <w:t> </w:t>
      </w:r>
      <w:r>
        <w:rPr>
          <w:rFonts w:ascii="宋体" w:hAnsi="宋体" w:cs="宋体" w:eastAsia="宋体" w:hint="default"/>
          <w:spacing w:val="-7"/>
          <w:sz w:val="21"/>
          <w:szCs w:val="21"/>
        </w:rPr>
        <w:t>近年来，三六零各条信息获取类产品线不断改进，向信息流化、内容化方向发展。报告期内，</w:t>
      </w:r>
    </w:p>
    <w:p>
      <w:pPr>
        <w:pStyle w:val="BodyText"/>
        <w:spacing w:line="357" w:lineRule="auto" w:before="30"/>
        <w:ind w:left="218" w:right="124"/>
        <w:jc w:val="left"/>
      </w:pPr>
      <w:r>
        <w:rPr>
          <w:rFonts w:ascii="宋体" w:hAnsi="宋体" w:cs="宋体" w:eastAsia="宋体" w:hint="default"/>
        </w:rPr>
        <w:t>360</w:t>
      </w:r>
      <w:r>
        <w:rPr>
          <w:rFonts w:ascii="宋体" w:hAnsi="宋体" w:cs="宋体" w:eastAsia="宋体" w:hint="default"/>
          <w:spacing w:val="-43"/>
        </w:rPr>
        <w:t> </w:t>
      </w:r>
      <w:r>
        <w:rPr/>
        <w:t>导航与</w:t>
      </w:r>
      <w:r>
        <w:rPr>
          <w:spacing w:val="-45"/>
        </w:rPr>
        <w:t> </w:t>
      </w:r>
      <w:r>
        <w:rPr>
          <w:rFonts w:ascii="宋体" w:hAnsi="宋体" w:cs="宋体" w:eastAsia="宋体" w:hint="default"/>
        </w:rPr>
        <w:t>360</w:t>
      </w:r>
      <w:r>
        <w:rPr>
          <w:rFonts w:ascii="宋体" w:hAnsi="宋体" w:cs="宋体" w:eastAsia="宋体" w:hint="default"/>
          <w:spacing w:val="-45"/>
        </w:rPr>
        <w:t> </w:t>
      </w:r>
      <w:r>
        <w:rPr/>
        <w:t>浏览器均进行了大幅改版，增加了大量内容版块，率先创造了</w:t>
      </w:r>
      <w:r>
        <w:rPr>
          <w:spacing w:val="-35"/>
        </w:rPr>
        <w:t> </w:t>
      </w:r>
      <w:r>
        <w:rPr>
          <w:rFonts w:ascii="宋体" w:hAnsi="宋体" w:cs="宋体" w:eastAsia="宋体" w:hint="default"/>
        </w:rPr>
        <w:t>PC</w:t>
      </w:r>
      <w:r>
        <w:rPr>
          <w:rFonts w:ascii="宋体" w:hAnsi="宋体" w:cs="宋体" w:eastAsia="宋体" w:hint="default"/>
          <w:spacing w:val="-43"/>
        </w:rPr>
        <w:t> </w:t>
      </w:r>
      <w:r>
        <w:rPr/>
        <w:t>端信息流环境。</w:t>
      </w:r>
      <w:r>
        <w:rPr>
          <w:spacing w:val="-102"/>
        </w:rPr>
        <w:t> </w:t>
      </w:r>
      <w:r>
        <w:rPr>
          <w:spacing w:val="-102"/>
        </w:rPr>
      </w:r>
      <w:r>
        <w:rPr/>
        <w:t>同时，前端展示平台在内容、流量、样式等维度持续发力，成为重要的自有资讯媒介，为信息流</w:t>
      </w:r>
      <w:r>
        <w:rPr>
          <w:w w:val="100"/>
        </w:rPr>
        <w:t> </w:t>
      </w:r>
      <w:r>
        <w:rPr/>
        <w:t>广告的发展奠定了坚实基础。</w:t>
      </w:r>
    </w:p>
    <w:p>
      <w:pPr>
        <w:spacing w:after="0" w:line="357" w:lineRule="auto"/>
        <w:jc w:val="left"/>
        <w:sectPr>
          <w:pgSz w:w="11910" w:h="16840"/>
          <w:pgMar w:header="855" w:footer="1217" w:top="1320" w:bottom="1400" w:left="1580" w:right="1040"/>
        </w:sectPr>
      </w:pPr>
    </w:p>
    <w:p>
      <w:pPr>
        <w:spacing w:line="240" w:lineRule="auto" w:before="4"/>
        <w:rPr>
          <w:rFonts w:ascii="宋体" w:hAnsi="宋体" w:cs="宋体" w:eastAsia="宋体" w:hint="default"/>
          <w:sz w:val="9"/>
          <w:szCs w:val="9"/>
        </w:rPr>
      </w:pPr>
    </w:p>
    <w:p>
      <w:pPr>
        <w:pStyle w:val="BodyText"/>
        <w:spacing w:line="355" w:lineRule="auto" w:before="36"/>
        <w:ind w:right="108" w:firstLine="419"/>
        <w:jc w:val="both"/>
        <w:rPr>
          <w:sz w:val="24"/>
          <w:szCs w:val="24"/>
        </w:rPr>
      </w:pPr>
      <w:r>
        <w:rPr>
          <w:spacing w:val="-2"/>
        </w:rPr>
        <w:t>此外，报告期内移动端广告也是公司重点发力业务之一。基于手机助手、手机卫士、移动浏</w:t>
      </w:r>
      <w:r>
        <w:rPr>
          <w:w w:val="100"/>
        </w:rPr>
        <w:t> </w:t>
      </w:r>
      <w:r>
        <w:rPr>
          <w:spacing w:val="-8"/>
        </w:rPr>
        <w:t>览器、移动搜索等在内的</w:t>
      </w:r>
      <w:r>
        <w:rPr>
          <w:spacing w:val="-28"/>
        </w:rPr>
        <w:t> </w:t>
      </w:r>
      <w:r>
        <w:rPr>
          <w:rFonts w:ascii="宋体" w:hAnsi="宋体" w:cs="宋体" w:eastAsia="宋体" w:hint="default"/>
        </w:rPr>
        <w:t>360</w:t>
      </w:r>
      <w:r>
        <w:rPr>
          <w:rFonts w:ascii="宋体" w:hAnsi="宋体" w:cs="宋体" w:eastAsia="宋体" w:hint="default"/>
          <w:spacing w:val="-28"/>
        </w:rPr>
        <w:t> </w:t>
      </w:r>
      <w:r>
        <w:rPr>
          <w:spacing w:val="-6"/>
        </w:rPr>
        <w:t>全线移动产品，公司已拥有较完备的移动产品矩阵资源。报告期内，</w:t>
      </w:r>
      <w:r>
        <w:rPr>
          <w:spacing w:val="-95"/>
        </w:rPr>
        <w:t> </w:t>
      </w:r>
      <w:r>
        <w:rPr>
          <w:spacing w:val="-95"/>
        </w:rPr>
      </w:r>
      <w:r>
        <w:rPr/>
        <w:t>通过与手机厂商合作，提供安全、清理、搜索等服务的</w:t>
      </w:r>
      <w:r>
        <w:rPr>
          <w:spacing w:val="-54"/>
        </w:rPr>
        <w:t> </w:t>
      </w:r>
      <w:r>
        <w:rPr>
          <w:rFonts w:ascii="宋体" w:hAnsi="宋体" w:cs="宋体" w:eastAsia="宋体" w:hint="default"/>
        </w:rPr>
        <w:t>SDK</w:t>
      </w:r>
      <w:r>
        <w:rPr>
          <w:rFonts w:ascii="宋体" w:hAnsi="宋体" w:cs="宋体" w:eastAsia="宋体" w:hint="default"/>
          <w:spacing w:val="-55"/>
        </w:rPr>
        <w:t> </w:t>
      </w:r>
      <w:r>
        <w:rPr/>
        <w:t>赋能，公司在移动端的广告载体边界</w:t>
      </w:r>
      <w:r>
        <w:rPr>
          <w:w w:val="100"/>
        </w:rPr>
        <w:t> </w:t>
      </w:r>
      <w:r>
        <w:rPr>
          <w:spacing w:val="-11"/>
          <w:w w:val="100"/>
        </w:rPr>
        <w:t>进一步拓宽，移动搜索业务收入实现了一定程度的增长。未来，公司将通过</w:t>
      </w:r>
      <w:r>
        <w:rPr>
          <w:spacing w:val="-45"/>
          <w:w w:val="100"/>
        </w:rPr>
        <w:t> </w:t>
      </w:r>
      <w:r>
        <w:rPr>
          <w:rFonts w:ascii="宋体" w:hAnsi="宋体" w:cs="宋体" w:eastAsia="宋体" w:hint="default"/>
          <w:spacing w:val="-2"/>
          <w:w w:val="100"/>
        </w:rPr>
        <w:t>PC</w:t>
      </w:r>
      <w:r>
        <w:rPr>
          <w:rFonts w:ascii="宋体" w:hAnsi="宋体" w:cs="宋体" w:eastAsia="宋体" w:hint="default"/>
          <w:spacing w:val="-45"/>
          <w:w w:val="100"/>
        </w:rPr>
        <w:t> </w:t>
      </w:r>
      <w:r>
        <w:rPr>
          <w:spacing w:val="-2"/>
          <w:w w:val="100"/>
        </w:rPr>
        <w:t>端与移动端的打通，</w:t>
      </w:r>
      <w:r>
        <w:rPr>
          <w:spacing w:val="-102"/>
          <w:w w:val="100"/>
        </w:rPr>
        <w:t> </w:t>
      </w:r>
      <w:r>
        <w:rPr>
          <w:spacing w:val="-102"/>
          <w:w w:val="100"/>
        </w:rPr>
      </w:r>
      <w:r>
        <w:rPr/>
        <w:t>实现多端联动的跨屏营销策略，相关业务收入仍存在较大的增长空间</w:t>
      </w:r>
      <w:r>
        <w:rPr>
          <w:sz w:val="24"/>
          <w:szCs w:val="24"/>
        </w:rPr>
        <w:t>。</w:t>
      </w:r>
    </w:p>
    <w:p>
      <w:pPr>
        <w:pStyle w:val="BodyText"/>
        <w:spacing w:line="357" w:lineRule="auto" w:before="45"/>
        <w:ind w:right="108" w:firstLine="419"/>
        <w:jc w:val="both"/>
      </w:pPr>
      <w:r>
        <w:rPr>
          <w:rFonts w:ascii="宋体" w:hAnsi="宋体" w:cs="宋体" w:eastAsia="宋体" w:hint="default"/>
        </w:rPr>
        <w:t>2018</w:t>
      </w:r>
      <w:r>
        <w:rPr>
          <w:rFonts w:ascii="宋体" w:hAnsi="宋体" w:cs="宋体" w:eastAsia="宋体" w:hint="default"/>
          <w:spacing w:val="-7"/>
        </w:rPr>
        <w:t> </w:t>
      </w:r>
      <w:r>
        <w:rPr>
          <w:spacing w:val="-3"/>
        </w:rPr>
        <w:t>年，公司在广告样式与形式上继续推陈出新，在信息流广告中推出视频信息流、三图信</w:t>
      </w:r>
      <w:r>
        <w:rPr>
          <w:w w:val="100"/>
        </w:rPr>
        <w:t> </w:t>
      </w:r>
      <w:r>
        <w:rPr>
          <w:spacing w:val="-6"/>
          <w:w w:val="100"/>
        </w:rPr>
        <w:t>息流等新型广告创意；借助快资讯作为流量载体，推出人群属性与上下文数据相结合的图加广告，</w:t>
      </w:r>
      <w:r>
        <w:rPr>
          <w:w w:val="100"/>
        </w:rPr>
        <w:t> </w:t>
      </w:r>
      <w:r>
        <w:rPr>
          <w:spacing w:val="-4"/>
        </w:rPr>
        <w:t>兼顾了用户体验与营销效果；报告期内，公司在国内首创了</w:t>
      </w:r>
      <w:r>
        <w:rPr>
          <w:spacing w:val="-26"/>
        </w:rPr>
        <w:t> </w:t>
      </w:r>
      <w:r>
        <w:rPr>
          <w:rFonts w:ascii="宋体" w:hAnsi="宋体" w:cs="宋体" w:eastAsia="宋体" w:hint="default"/>
        </w:rPr>
        <w:t>PC</w:t>
      </w:r>
      <w:r>
        <w:rPr>
          <w:rFonts w:ascii="宋体" w:hAnsi="宋体" w:cs="宋体" w:eastAsia="宋体" w:hint="default"/>
          <w:spacing w:val="-28"/>
        </w:rPr>
        <w:t> </w:t>
      </w:r>
      <w:r>
        <w:rPr>
          <w:spacing w:val="-4"/>
        </w:rPr>
        <w:t>端的互动广告，以其良好的广告体</w:t>
      </w:r>
      <w:r>
        <w:rPr>
          <w:spacing w:val="-95"/>
        </w:rPr>
        <w:t> </w:t>
      </w:r>
      <w:r>
        <w:rPr>
          <w:spacing w:val="-95"/>
        </w:rPr>
      </w:r>
      <w:r>
        <w:rPr>
          <w:spacing w:val="-2"/>
        </w:rPr>
        <w:t>验效果及新颖的展示样式，成功作为支点型产品线助力公司引入新客户，在将场景化营销推向新</w:t>
      </w:r>
      <w:r>
        <w:rPr>
          <w:spacing w:val="-25"/>
        </w:rPr>
        <w:t> </w:t>
      </w:r>
      <w:r>
        <w:rPr>
          <w:spacing w:val="-25"/>
        </w:rPr>
      </w:r>
      <w:r>
        <w:rPr/>
        <w:t>台阶的同时，实现了广告主、媒体与用户的共赢。</w:t>
      </w:r>
    </w:p>
    <w:p>
      <w:pPr>
        <w:pStyle w:val="BodyText"/>
        <w:spacing w:line="357" w:lineRule="auto" w:before="30"/>
        <w:ind w:right="107" w:firstLine="419"/>
        <w:jc w:val="both"/>
      </w:pPr>
      <w:r>
        <w:rPr>
          <w:rFonts w:ascii="宋体" w:hAnsi="宋体" w:cs="宋体" w:eastAsia="宋体" w:hint="default"/>
        </w:rPr>
        <w:t>2018 </w:t>
      </w:r>
      <w:r>
        <w:rPr>
          <w:spacing w:val="-6"/>
        </w:rPr>
        <w:t>年，三六零在</w:t>
      </w:r>
      <w:r>
        <w:rPr>
          <w:spacing w:val="-49"/>
        </w:rPr>
        <w:t> </w:t>
      </w:r>
      <w:r>
        <w:rPr>
          <w:rFonts w:ascii="宋体" w:hAnsi="宋体" w:cs="宋体" w:eastAsia="宋体" w:hint="default"/>
          <w:spacing w:val="-4"/>
        </w:rPr>
        <w:t>AI</w:t>
      </w:r>
      <w:r>
        <w:rPr>
          <w:spacing w:val="-4"/>
        </w:rPr>
        <w:t>、大数据等领域持续加大投入，不断研发创新，进一步促进了广告投放</w:t>
      </w:r>
      <w:r>
        <w:rPr>
          <w:w w:val="100"/>
        </w:rPr>
        <w:t> </w:t>
      </w:r>
      <w:r>
        <w:rPr>
          <w:spacing w:val="-4"/>
        </w:rPr>
        <w:t>技术的发展。公司将</w:t>
      </w:r>
      <w:r>
        <w:rPr>
          <w:spacing w:val="-28"/>
        </w:rPr>
        <w:t> </w:t>
      </w:r>
      <w:r>
        <w:rPr>
          <w:rFonts w:ascii="宋体" w:hAnsi="宋体" w:cs="宋体" w:eastAsia="宋体" w:hint="default"/>
        </w:rPr>
        <w:t>AI</w:t>
      </w:r>
      <w:r>
        <w:rPr>
          <w:rFonts w:ascii="宋体" w:hAnsi="宋体" w:cs="宋体" w:eastAsia="宋体" w:hint="default"/>
          <w:spacing w:val="-27"/>
        </w:rPr>
        <w:t> </w:t>
      </w:r>
      <w:r>
        <w:rPr>
          <w:spacing w:val="-4"/>
        </w:rPr>
        <w:t>技术逐步深入到广告的制作、选择、投放等多个的产品环节中，开发出一</w:t>
      </w:r>
      <w:r>
        <w:rPr>
          <w:spacing w:val="-95"/>
        </w:rPr>
        <w:t> </w:t>
      </w:r>
      <w:r>
        <w:rPr>
          <w:spacing w:val="-95"/>
        </w:rPr>
      </w:r>
      <w:r>
        <w:rPr>
          <w:spacing w:val="-2"/>
        </w:rPr>
        <w:t>系列智能产品及系统，广告投放日趋智能化、个性化；通过不断提升大数据的收集、存储、分析</w:t>
      </w:r>
      <w:r>
        <w:rPr>
          <w:spacing w:val="-25"/>
        </w:rPr>
        <w:t> </w:t>
      </w:r>
      <w:r>
        <w:rPr>
          <w:spacing w:val="-25"/>
        </w:rPr>
      </w:r>
      <w:r>
        <w:rPr>
          <w:spacing w:val="-5"/>
        </w:rPr>
        <w:t>能力，使得广告投放能够更及时、精准地根据效果反馈进行调整，也为相关的</w:t>
      </w:r>
      <w:r>
        <w:rPr>
          <w:spacing w:val="-21"/>
        </w:rPr>
        <w:t> </w:t>
      </w:r>
      <w:r>
        <w:rPr>
          <w:rFonts w:ascii="宋体" w:hAnsi="宋体" w:cs="宋体" w:eastAsia="宋体" w:hint="default"/>
        </w:rPr>
        <w:t>AI</w:t>
      </w:r>
      <w:r>
        <w:rPr>
          <w:rFonts w:ascii="宋体" w:hAnsi="宋体" w:cs="宋体" w:eastAsia="宋体" w:hint="default"/>
          <w:spacing w:val="-26"/>
        </w:rPr>
        <w:t> </w:t>
      </w:r>
      <w:r>
        <w:rPr/>
        <w:t>技术升级提供了</w:t>
      </w:r>
      <w:r>
        <w:rPr>
          <w:spacing w:val="-94"/>
        </w:rPr>
        <w:t> </w:t>
      </w:r>
      <w:r>
        <w:rPr>
          <w:spacing w:val="-94"/>
        </w:rPr>
      </w:r>
      <w:r>
        <w:rPr>
          <w:spacing w:val="-6"/>
        </w:rPr>
        <w:t>更好的支持。报告期内，公司互联网广告的点击率（</w:t>
      </w:r>
      <w:r>
        <w:rPr>
          <w:rFonts w:ascii="宋体" w:hAnsi="宋体" w:cs="宋体" w:eastAsia="宋体" w:hint="default"/>
          <w:spacing w:val="-6"/>
        </w:rPr>
        <w:t>CTR</w:t>
      </w:r>
      <w:r>
        <w:rPr>
          <w:spacing w:val="-6"/>
        </w:rPr>
        <w:t>）和转化率（</w:t>
      </w:r>
      <w:r>
        <w:rPr>
          <w:rFonts w:ascii="宋体" w:hAnsi="宋体" w:cs="宋体" w:eastAsia="宋体" w:hint="default"/>
          <w:spacing w:val="-6"/>
        </w:rPr>
        <w:t>CVR</w:t>
      </w:r>
      <w:r>
        <w:rPr>
          <w:spacing w:val="-6"/>
        </w:rPr>
        <w:t>）取得较大幅度的增长，</w:t>
      </w:r>
      <w:r>
        <w:rPr>
          <w:spacing w:val="-39"/>
        </w:rPr>
        <w:t> </w:t>
      </w:r>
      <w:r>
        <w:rPr>
          <w:spacing w:val="-39"/>
        </w:rPr>
      </w:r>
      <w:r>
        <w:rPr/>
        <w:t>广告投放的流程和效果得以不断优化，从而促进流量变现效率及业务收入进一步提升。</w:t>
      </w:r>
    </w:p>
    <w:p>
      <w:pPr>
        <w:spacing w:line="355" w:lineRule="auto" w:before="3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B</w:t>
      </w:r>
      <w:r>
        <w:rPr>
          <w:rFonts w:ascii="宋体" w:hAnsi="宋体" w:cs="宋体" w:eastAsia="宋体" w:hint="default"/>
          <w:b/>
          <w:bCs/>
          <w:sz w:val="21"/>
          <w:szCs w:val="21"/>
        </w:rPr>
        <w:t>、完善广告主结构，拓展商业化变现联盟，积极建设信息流生态圈</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报告期内，公司继续完善广告主结构，不断深挖大客户、持续开拓中小客户。在巩固大客户</w:t>
      </w:r>
    </w:p>
    <w:p>
      <w:pPr>
        <w:pStyle w:val="BodyText"/>
        <w:spacing w:line="355" w:lineRule="auto" w:before="34"/>
        <w:ind w:right="117"/>
        <w:jc w:val="both"/>
      </w:pPr>
      <w:r>
        <w:rPr>
          <w:spacing w:val="-2"/>
        </w:rPr>
        <w:t>流量匹配结合的基础上，公司加强线上和线下不同场景的融合，提供更丰富的广告创意，为客户</w:t>
      </w:r>
      <w:r>
        <w:rPr>
          <w:spacing w:val="-25"/>
        </w:rPr>
        <w:t> </w:t>
      </w:r>
      <w:r>
        <w:rPr>
          <w:spacing w:val="-25"/>
        </w:rPr>
      </w:r>
      <w:r>
        <w:rPr>
          <w:spacing w:val="-2"/>
        </w:rPr>
        <w:t>提供更优质的营销解决方案，在电商、教育、健康、资讯等行业上取得重点突破和持续增长，重</w:t>
      </w:r>
      <w:r>
        <w:rPr>
          <w:spacing w:val="-25"/>
        </w:rPr>
        <w:t> </w:t>
      </w:r>
      <w:r>
        <w:rPr>
          <w:spacing w:val="-25"/>
        </w:rPr>
      </w:r>
      <w:r>
        <w:rPr/>
        <w:t>点客户数量也较往年大幅提升。</w:t>
      </w:r>
    </w:p>
    <w:p>
      <w:pPr>
        <w:pStyle w:val="BodyText"/>
        <w:spacing w:line="357" w:lineRule="auto" w:before="32"/>
        <w:ind w:right="107" w:firstLine="419"/>
        <w:jc w:val="both"/>
      </w:pPr>
      <w:r>
        <w:rPr/>
        <w:t>公司商业化联盟发展部已与近数</w:t>
      </w:r>
      <w:r>
        <w:rPr>
          <w:spacing w:val="-40"/>
        </w:rPr>
        <w:t> </w:t>
      </w:r>
      <w:r>
        <w:rPr>
          <w:rFonts w:ascii="宋体" w:hAnsi="宋体" w:cs="宋体" w:eastAsia="宋体" w:hint="default"/>
        </w:rPr>
        <w:t>10</w:t>
      </w:r>
      <w:r>
        <w:rPr>
          <w:rFonts w:ascii="宋体" w:hAnsi="宋体" w:cs="宋体" w:eastAsia="宋体" w:hint="default"/>
          <w:spacing w:val="-43"/>
        </w:rPr>
        <w:t> </w:t>
      </w:r>
      <w:r>
        <w:rPr>
          <w:spacing w:val="-5"/>
        </w:rPr>
        <w:t>万家网站，</w:t>
      </w:r>
      <w:r>
        <w:rPr>
          <w:rFonts w:ascii="宋体" w:hAnsi="宋体" w:cs="宋体" w:eastAsia="宋体" w:hint="default"/>
          <w:spacing w:val="-5"/>
        </w:rPr>
        <w:t>1</w:t>
      </w:r>
      <w:r>
        <w:rPr>
          <w:rFonts w:ascii="宋体" w:hAnsi="宋体" w:cs="宋体" w:eastAsia="宋体" w:hint="default"/>
          <w:spacing w:val="-43"/>
        </w:rPr>
        <w:t> </w:t>
      </w:r>
      <w:r>
        <w:rPr>
          <w:spacing w:val="-3"/>
        </w:rPr>
        <w:t>万多家移动互联网公司开展合作，既帮助广</w:t>
      </w:r>
      <w:r>
        <w:rPr>
          <w:w w:val="100"/>
        </w:rPr>
        <w:t> </w:t>
      </w:r>
      <w:r>
        <w:rPr/>
        <w:t>告主在联盟合作媒体上找到更精准的用户，又通过输出算法、</w:t>
      </w:r>
      <w:r>
        <w:rPr>
          <w:rFonts w:ascii="宋体" w:hAnsi="宋体" w:cs="宋体" w:eastAsia="宋体" w:hint="default"/>
        </w:rPr>
        <w:t>DMP</w:t>
      </w:r>
      <w:r>
        <w:rPr>
          <w:rFonts w:ascii="宋体" w:hAnsi="宋体" w:cs="宋体" w:eastAsia="宋体" w:hint="default"/>
          <w:spacing w:val="-56"/>
        </w:rPr>
        <w:t> </w:t>
      </w:r>
      <w:r>
        <w:rPr/>
        <w:t>等技术，帮助联盟成员提升流</w:t>
      </w:r>
      <w:r>
        <w:rPr>
          <w:w w:val="100"/>
        </w:rPr>
        <w:t> </w:t>
      </w:r>
      <w:r>
        <w:rPr>
          <w:spacing w:val="-2"/>
        </w:rPr>
        <w:t>量和广告位变现效率。报告期内，公司积极建设信息流生态圈，引导国内大中型媒体升级改版，</w:t>
      </w:r>
      <w:r>
        <w:rPr>
          <w:spacing w:val="-25"/>
        </w:rPr>
        <w:t> </w:t>
      </w:r>
      <w:r>
        <w:rPr>
          <w:spacing w:val="-25"/>
        </w:rPr>
      </w:r>
      <w:r>
        <w:rPr/>
        <w:t>持续扩容联盟伙伴体系，目前</w:t>
      </w:r>
      <w:r>
        <w:rPr>
          <w:spacing w:val="-55"/>
        </w:rPr>
        <w:t> </w:t>
      </w:r>
      <w:r>
        <w:rPr>
          <w:rFonts w:ascii="宋体" w:hAnsi="宋体" w:cs="宋体" w:eastAsia="宋体" w:hint="default"/>
        </w:rPr>
        <w:t>PC</w:t>
      </w:r>
      <w:r>
        <w:rPr>
          <w:rFonts w:ascii="宋体" w:hAnsi="宋体" w:cs="宋体" w:eastAsia="宋体" w:hint="default"/>
          <w:spacing w:val="-55"/>
        </w:rPr>
        <w:t> </w:t>
      </w:r>
      <w:r>
        <w:rPr/>
        <w:t>信息流广告市场规模已排名第一。</w:t>
      </w:r>
    </w:p>
    <w:p>
      <w:pPr>
        <w:pStyle w:val="BodyText"/>
        <w:spacing w:line="355" w:lineRule="auto" w:before="30"/>
        <w:ind w:left="558" w:right="0" w:firstLine="2"/>
        <w:jc w:val="left"/>
      </w:pPr>
      <w:r>
        <w:rPr>
          <w:rFonts w:ascii="宋体" w:hAnsi="宋体" w:cs="宋体" w:eastAsia="宋体" w:hint="default"/>
          <w:b/>
          <w:bCs/>
        </w:rPr>
        <w:t>2</w:t>
      </w:r>
      <w:r>
        <w:rPr>
          <w:rFonts w:ascii="宋体" w:hAnsi="宋体" w:cs="宋体" w:eastAsia="宋体" w:hint="default"/>
          <w:b/>
          <w:bCs/>
        </w:rPr>
        <w:t>）互联网增值服务</w:t>
      </w:r>
      <w:r>
        <w:rPr>
          <w:rFonts w:ascii="宋体" w:hAnsi="宋体" w:cs="宋体" w:eastAsia="宋体" w:hint="default"/>
          <w:b/>
          <w:bCs/>
          <w:w w:val="100"/>
        </w:rPr>
        <w:t> </w:t>
      </w:r>
      <w:r>
        <w:rPr>
          <w:spacing w:val="-2"/>
        </w:rPr>
        <w:t>公司的互联网增值服务主要为互联网游戏业务。公司在互联网游戏产业链中主要承担网络游</w:t>
      </w:r>
    </w:p>
    <w:p>
      <w:pPr>
        <w:pStyle w:val="BodyText"/>
        <w:spacing w:line="355" w:lineRule="auto" w:before="34"/>
        <w:ind w:right="0"/>
        <w:jc w:val="left"/>
      </w:pPr>
      <w:r>
        <w:rPr/>
        <w:t>戏平台角色，拥有手游、页游、端游全产品线的发行、联运综合能力，形成了以</w:t>
      </w:r>
      <w:r>
        <w:rPr>
          <w:spacing w:val="-54"/>
        </w:rPr>
        <w:t> </w:t>
      </w:r>
      <w:r>
        <w:rPr>
          <w:rFonts w:ascii="宋体" w:hAnsi="宋体" w:cs="宋体" w:eastAsia="宋体" w:hint="default"/>
        </w:rPr>
        <w:t>wan.360.cn</w:t>
      </w:r>
      <w:r>
        <w:rPr/>
        <w:t>、</w:t>
      </w:r>
      <w:r>
        <w:rPr>
          <w:w w:val="100"/>
        </w:rPr>
        <w:t> </w:t>
      </w:r>
      <w:hyperlink r:id="rId14">
        <w:r>
          <w:rPr>
            <w:rFonts w:ascii="宋体" w:hAnsi="宋体" w:cs="宋体" w:eastAsia="宋体" w:hint="default"/>
            <w:spacing w:val="-1"/>
            <w:w w:val="100"/>
          </w:rPr>
          <w:t>www.youxi.com</w:t>
        </w:r>
      </w:hyperlink>
      <w:r>
        <w:rPr>
          <w:rFonts w:ascii="宋体" w:hAnsi="宋体" w:cs="宋体" w:eastAsia="宋体" w:hint="default"/>
          <w:spacing w:val="-50"/>
          <w:w w:val="100"/>
        </w:rPr>
        <w:t> </w:t>
      </w:r>
      <w:r>
        <w:rPr>
          <w:spacing w:val="-2"/>
          <w:w w:val="100"/>
        </w:rPr>
        <w:t>为主的网页游戏运营平台和以</w:t>
      </w:r>
      <w:r>
        <w:rPr>
          <w:spacing w:val="-48"/>
          <w:w w:val="100"/>
        </w:rPr>
        <w:t> </w:t>
      </w:r>
      <w:r>
        <w:rPr>
          <w:rFonts w:ascii="宋体" w:hAnsi="宋体" w:cs="宋体" w:eastAsia="宋体" w:hint="default"/>
          <w:w w:val="100"/>
        </w:rPr>
        <w:t>360</w:t>
      </w:r>
      <w:r>
        <w:rPr>
          <w:rFonts w:ascii="宋体" w:hAnsi="宋体" w:cs="宋体" w:eastAsia="宋体" w:hint="default"/>
          <w:spacing w:val="-50"/>
          <w:w w:val="100"/>
        </w:rPr>
        <w:t> </w:t>
      </w:r>
      <w:r>
        <w:rPr>
          <w:spacing w:val="-13"/>
          <w:w w:val="100"/>
        </w:rPr>
        <w:t>手机助手、</w:t>
      </w:r>
      <w:r>
        <w:rPr>
          <w:rFonts w:ascii="宋体" w:hAnsi="宋体" w:cs="宋体" w:eastAsia="宋体" w:hint="default"/>
          <w:spacing w:val="-13"/>
          <w:w w:val="100"/>
        </w:rPr>
        <w:t>360</w:t>
      </w:r>
      <w:r>
        <w:rPr>
          <w:rFonts w:ascii="宋体" w:hAnsi="宋体" w:cs="宋体" w:eastAsia="宋体" w:hint="default"/>
          <w:spacing w:val="-48"/>
          <w:w w:val="100"/>
        </w:rPr>
        <w:t> </w:t>
      </w:r>
      <w:r>
        <w:rPr>
          <w:spacing w:val="-2"/>
          <w:w w:val="100"/>
        </w:rPr>
        <w:t>游戏大厅等移动端平台为核心的</w:t>
      </w:r>
      <w:r>
        <w:rPr>
          <w:spacing w:val="-104"/>
          <w:w w:val="100"/>
        </w:rPr>
        <w:t> </w:t>
      </w:r>
      <w:r>
        <w:rPr>
          <w:spacing w:val="-104"/>
          <w:w w:val="100"/>
        </w:rPr>
      </w:r>
      <w:r>
        <w:rPr/>
        <w:t>移动游戏分发运营平台。报告期内，</w:t>
      </w:r>
      <w:r>
        <w:rPr>
          <w:rFonts w:ascii="宋体" w:hAnsi="宋体" w:cs="宋体" w:eastAsia="宋体" w:hint="default"/>
        </w:rPr>
        <w:t>360</w:t>
      </w:r>
      <w:r>
        <w:rPr>
          <w:rFonts w:ascii="宋体" w:hAnsi="宋体" w:cs="宋体" w:eastAsia="宋体" w:hint="default"/>
          <w:spacing w:val="-57"/>
        </w:rPr>
        <w:t> </w:t>
      </w:r>
      <w:r>
        <w:rPr/>
        <w:t>游戏荣获“2018</w:t>
      </w:r>
      <w:r>
        <w:rPr>
          <w:spacing w:val="-55"/>
        </w:rPr>
        <w:t> </w:t>
      </w:r>
      <w:r>
        <w:rPr/>
        <w:t>年度中国十大游戏平台”、“中国游戏</w:t>
      </w:r>
      <w:r>
        <w:rPr>
          <w:w w:val="100"/>
        </w:rPr>
        <w:t> </w:t>
      </w:r>
      <w:r>
        <w:rPr/>
        <w:t>企业社会责任企业典范”等奖项。</w:t>
      </w:r>
    </w:p>
    <w:p>
      <w:pPr>
        <w:pStyle w:val="BodyText"/>
        <w:spacing w:line="357" w:lineRule="auto" w:before="32"/>
        <w:ind w:right="110" w:firstLine="419"/>
        <w:jc w:val="both"/>
      </w:pPr>
      <w:r>
        <w:rPr>
          <w:rFonts w:ascii="宋体" w:hAnsi="宋体" w:cs="宋体" w:eastAsia="宋体" w:hint="default"/>
        </w:rPr>
        <w:t>2018</w:t>
      </w:r>
      <w:r>
        <w:rPr>
          <w:rFonts w:ascii="宋体" w:hAnsi="宋体" w:cs="宋体" w:eastAsia="宋体" w:hint="default"/>
          <w:spacing w:val="-24"/>
        </w:rPr>
        <w:t> </w:t>
      </w:r>
      <w:r>
        <w:rPr>
          <w:spacing w:val="-3"/>
        </w:rPr>
        <w:t>年，游戏行业面临着政策趋严和流量获取的双重考验，整体产业规模增速明显放缓。受</w:t>
      </w:r>
      <w:r>
        <w:rPr>
          <w:spacing w:val="-15"/>
          <w:w w:val="100"/>
        </w:rPr>
        <w:t> </w:t>
      </w:r>
      <w:r>
        <w:rPr>
          <w:spacing w:val="-4"/>
        </w:rPr>
        <w:t>行业宏观情况影响，公司游戏产品的储备数量及上线数量均有所减少，活跃用户数和</w:t>
      </w:r>
      <w:r>
        <w:rPr>
          <w:spacing w:val="-34"/>
        </w:rPr>
        <w:t> </w:t>
      </w:r>
      <w:r>
        <w:rPr>
          <w:rFonts w:ascii="宋体" w:hAnsi="宋体" w:cs="宋体" w:eastAsia="宋体" w:hint="default"/>
        </w:rPr>
        <w:t>ARPU</w:t>
      </w:r>
      <w:r>
        <w:rPr>
          <w:rFonts w:ascii="宋体" w:hAnsi="宋体" w:cs="宋体" w:eastAsia="宋体" w:hint="default"/>
          <w:spacing w:val="-37"/>
        </w:rPr>
        <w:t> </w:t>
      </w:r>
      <w:r>
        <w:rPr/>
        <w:t>值也出</w:t>
      </w:r>
      <w:r>
        <w:rPr>
          <w:spacing w:val="-97"/>
        </w:rPr>
        <w:t> </w:t>
      </w:r>
      <w:r>
        <w:rPr>
          <w:spacing w:val="-97"/>
        </w:rPr>
      </w:r>
      <w:r>
        <w:rPr>
          <w:spacing w:val="-2"/>
        </w:rPr>
        <w:t>现回落，导致业务收入同比出现较明显下降。面对低迷的行业现状，公司游戏团队积极调整，在</w:t>
      </w:r>
    </w:p>
    <w:p>
      <w:pPr>
        <w:spacing w:after="0" w:line="357" w:lineRule="auto"/>
        <w:jc w:val="both"/>
        <w:sectPr>
          <w:pgSz w:w="11910" w:h="16840"/>
          <w:pgMar w:header="855" w:footer="1217" w:top="1320" w:bottom="1400" w:left="1660" w:right="1160"/>
        </w:sectPr>
      </w:pPr>
    </w:p>
    <w:p>
      <w:pPr>
        <w:spacing w:line="240" w:lineRule="auto" w:before="4"/>
        <w:rPr>
          <w:rFonts w:ascii="宋体" w:hAnsi="宋体" w:cs="宋体" w:eastAsia="宋体" w:hint="default"/>
          <w:sz w:val="9"/>
          <w:szCs w:val="9"/>
        </w:rPr>
      </w:pPr>
    </w:p>
    <w:p>
      <w:pPr>
        <w:pStyle w:val="BodyText"/>
        <w:spacing w:line="357" w:lineRule="auto" w:before="36"/>
        <w:ind w:right="117"/>
        <w:jc w:val="both"/>
      </w:pPr>
      <w:r>
        <w:rPr>
          <w:spacing w:val="-2"/>
        </w:rPr>
        <w:t>优质产品储备、发行能力提升以及技术和工具的创新研发等方面做出大量投入，为未来业务的突</w:t>
      </w:r>
      <w:r>
        <w:rPr>
          <w:spacing w:val="-25"/>
        </w:rPr>
        <w:t> </w:t>
      </w:r>
      <w:r>
        <w:rPr>
          <w:spacing w:val="-25"/>
        </w:rPr>
      </w:r>
      <w:r>
        <w:rPr/>
        <w:t>破性发展打下了良好的基础。</w:t>
      </w:r>
    </w:p>
    <w:p>
      <w:pPr>
        <w:pStyle w:val="BodyText"/>
        <w:spacing w:line="357" w:lineRule="auto" w:before="30"/>
        <w:ind w:right="110" w:firstLine="419"/>
        <w:jc w:val="both"/>
      </w:pPr>
      <w:r>
        <w:rPr>
          <w:spacing w:val="-4"/>
        </w:rPr>
        <w:t>页游领域，公司充分运用 </w:t>
      </w:r>
      <w:r>
        <w:rPr>
          <w:rFonts w:ascii="宋体" w:hAnsi="宋体" w:cs="宋体" w:eastAsia="宋体" w:hint="default"/>
        </w:rPr>
        <w:t>PC</w:t>
      </w:r>
      <w:r>
        <w:rPr>
          <w:rFonts w:ascii="宋体" w:hAnsi="宋体" w:cs="宋体" w:eastAsia="宋体" w:hint="default"/>
          <w:spacing w:val="-58"/>
        </w:rPr>
        <w:t> </w:t>
      </w:r>
      <w:r>
        <w:rPr>
          <w:spacing w:val="-4"/>
        </w:rPr>
        <w:t>端的流量及资源优势，与其他大型游戏平台开展联盟合作，成功</w:t>
      </w:r>
      <w:r>
        <w:rPr>
          <w:w w:val="100"/>
        </w:rPr>
        <w:t> </w:t>
      </w:r>
      <w:r>
        <w:rPr>
          <w:spacing w:val="-2"/>
        </w:rPr>
        <w:t>将外部流量引入自有平台，有效拓展了新用户数量。在产品推广方式上，通过智能数据分析优化</w:t>
      </w:r>
      <w:r>
        <w:rPr>
          <w:spacing w:val="-25"/>
        </w:rPr>
        <w:t> </w:t>
      </w:r>
      <w:r>
        <w:rPr>
          <w:spacing w:val="-25"/>
        </w:rPr>
      </w:r>
      <w:r>
        <w:rPr>
          <w:spacing w:val="-2"/>
        </w:rPr>
        <w:t>广告投放，提升内部资源投放效率，停止无效外部投放，整体资源利用更加高效。此外，在巩固</w:t>
      </w:r>
      <w:r>
        <w:rPr>
          <w:spacing w:val="-25"/>
        </w:rPr>
        <w:t> </w:t>
      </w:r>
      <w:r>
        <w:rPr>
          <w:spacing w:val="-25"/>
        </w:rPr>
      </w:r>
      <w:r>
        <w:rPr>
          <w:spacing w:val="-2"/>
        </w:rPr>
        <w:t>联运业务的基础上，创新发行模式，通过加强与优秀研发商和重点推广渠道的相互协作，引进并</w:t>
      </w:r>
      <w:r>
        <w:rPr>
          <w:spacing w:val="-25"/>
        </w:rPr>
        <w:t> </w:t>
      </w:r>
      <w:r>
        <w:rPr>
          <w:spacing w:val="-25"/>
        </w:rPr>
      </w:r>
      <w:r>
        <w:rPr>
          <w:spacing w:val="-2"/>
        </w:rPr>
        <w:t>发行了多款优质产品，其中部分明星产品的成功运营，不仅大幅提升了公司在该领域的市场占有</w:t>
      </w:r>
      <w:r>
        <w:rPr>
          <w:spacing w:val="-25"/>
        </w:rPr>
        <w:t> </w:t>
      </w:r>
      <w:r>
        <w:rPr>
          <w:spacing w:val="-25"/>
        </w:rPr>
      </w:r>
      <w:r>
        <w:rPr>
          <w:spacing w:val="-2"/>
        </w:rPr>
        <w:t>率和业务收入，也给行业内的研发、发行和渠道商注入一剂强心剂，鼓舞上下游企业继续提振信</w:t>
      </w:r>
      <w:r>
        <w:rPr>
          <w:spacing w:val="-25"/>
        </w:rPr>
        <w:t> </w:t>
      </w:r>
      <w:r>
        <w:rPr>
          <w:spacing w:val="-25"/>
        </w:rPr>
      </w:r>
      <w:r>
        <w:rPr/>
        <w:t>心重回页游行业。</w:t>
      </w:r>
    </w:p>
    <w:p>
      <w:pPr>
        <w:pStyle w:val="BodyText"/>
        <w:spacing w:line="357" w:lineRule="auto" w:before="30"/>
        <w:ind w:right="108" w:firstLine="419"/>
        <w:jc w:val="both"/>
      </w:pPr>
      <w:r>
        <w:rPr>
          <w:spacing w:val="-2"/>
        </w:rPr>
        <w:t>手游领域，公司大力拓展发行能力，发挥重点类型产品的发行优势，提升优势细分领域的核</w:t>
      </w:r>
      <w:r>
        <w:rPr>
          <w:w w:val="100"/>
        </w:rPr>
        <w:t> </w:t>
      </w:r>
      <w:r>
        <w:rPr/>
        <w:t>心竞争力，在</w:t>
      </w:r>
      <w:r>
        <w:rPr>
          <w:spacing w:val="-55"/>
        </w:rPr>
        <w:t> </w:t>
      </w:r>
      <w:r>
        <w:rPr>
          <w:rFonts w:ascii="宋体" w:hAnsi="宋体" w:cs="宋体" w:eastAsia="宋体" w:hint="default"/>
        </w:rPr>
        <w:t>SLG</w:t>
      </w:r>
      <w:r>
        <w:rPr>
          <w:rFonts w:ascii="宋体" w:hAnsi="宋体" w:cs="宋体" w:eastAsia="宋体" w:hint="default"/>
          <w:spacing w:val="-55"/>
        </w:rPr>
        <w:t> </w:t>
      </w:r>
      <w:r>
        <w:rPr/>
        <w:t>策略游戏、卡牌游戏等垂直分类上深度挖掘、精细化发展，以扩充长线收入为</w:t>
      </w:r>
      <w:r>
        <w:rPr>
          <w:w w:val="100"/>
        </w:rPr>
        <w:t> </w:t>
      </w:r>
      <w:r>
        <w:rPr>
          <w:spacing w:val="-2"/>
        </w:rPr>
        <w:t>最终目标进行产品调优与储备，取得了良好的效果。凭借自身在商业化运营方面的优势，专门设</w:t>
      </w:r>
      <w:r>
        <w:rPr>
          <w:spacing w:val="-25"/>
        </w:rPr>
        <w:t> </w:t>
      </w:r>
      <w:r>
        <w:rPr>
          <w:spacing w:val="-25"/>
        </w:rPr>
      </w:r>
      <w:r>
        <w:rPr>
          <w:spacing w:val="-6"/>
          <w:w w:val="100"/>
        </w:rPr>
        <w:t>立了休闲游戏广告业务，全面实现了平台单机休闲游戏产品的广告接入。在技术及工具创新方面，</w:t>
      </w:r>
      <w:r>
        <w:rPr>
          <w:spacing w:val="-104"/>
          <w:w w:val="100"/>
        </w:rPr>
        <w:t> </w:t>
      </w:r>
      <w:r>
        <w:rPr>
          <w:spacing w:val="-104"/>
          <w:w w:val="100"/>
        </w:rPr>
      </w:r>
      <w:r>
        <w:rPr/>
        <w:t>公司基于自身的核心安全加密技术，研发了专为手游安全保护的专业服务平台——</w:t>
      </w:r>
      <w:r>
        <w:rPr>
          <w:rFonts w:ascii="宋体" w:hAnsi="宋体" w:cs="宋体" w:eastAsia="宋体" w:hint="default"/>
        </w:rPr>
        <w:t>360</w:t>
      </w:r>
      <w:r>
        <w:rPr>
          <w:rFonts w:ascii="宋体" w:hAnsi="宋体" w:cs="宋体" w:eastAsia="宋体" w:hint="default"/>
          <w:spacing w:val="-56"/>
        </w:rPr>
        <w:t> </w:t>
      </w:r>
      <w:r>
        <w:rPr/>
        <w:t>手游保，</w:t>
      </w:r>
      <w:r>
        <w:rPr>
          <w:w w:val="100"/>
        </w:rPr>
        <w:t> </w:t>
      </w:r>
      <w:r>
        <w:rPr>
          <w:spacing w:val="-2"/>
        </w:rPr>
        <w:t>有效为手机游戏提供防逆向、防篡改、防调试、防窃取等安全能力，给予官方游戏开发者最强保</w:t>
      </w:r>
      <w:r>
        <w:rPr>
          <w:spacing w:val="-25"/>
        </w:rPr>
        <w:t> </w:t>
      </w:r>
      <w:r>
        <w:rPr>
          <w:spacing w:val="-25"/>
        </w:rPr>
      </w:r>
      <w:r>
        <w:rPr/>
        <w:t>护，充分体现了公司开放合作、赋能行业的生态建设理念。</w:t>
      </w:r>
    </w:p>
    <w:p>
      <w:pPr>
        <w:spacing w:line="355" w:lineRule="auto" w:before="3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z w:val="21"/>
          <w:szCs w:val="21"/>
        </w:rPr>
        <w:t>IoT</w:t>
      </w:r>
      <w:r>
        <w:rPr>
          <w:rFonts w:ascii="宋体" w:hAnsi="宋体" w:cs="宋体" w:eastAsia="宋体" w:hint="default"/>
          <w:b/>
          <w:bCs/>
          <w:spacing w:val="-54"/>
          <w:sz w:val="21"/>
          <w:szCs w:val="21"/>
        </w:rPr>
        <w:t> </w:t>
      </w:r>
      <w:r>
        <w:rPr>
          <w:rFonts w:ascii="宋体" w:hAnsi="宋体" w:cs="宋体" w:eastAsia="宋体" w:hint="default"/>
          <w:b/>
          <w:bCs/>
          <w:sz w:val="21"/>
          <w:szCs w:val="21"/>
        </w:rPr>
        <w:t>智能硬件业务</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报告期内，公司在售的主要智能硬件产品包括智能安全路由器、智能摄像机、行车记录仪、</w:t>
      </w:r>
    </w:p>
    <w:p>
      <w:pPr>
        <w:pStyle w:val="BodyText"/>
        <w:spacing w:line="357" w:lineRule="auto" w:before="32"/>
        <w:ind w:right="107"/>
        <w:jc w:val="both"/>
      </w:pPr>
      <w:r>
        <w:rPr/>
        <w:t>扫地机器人、智能儿童手表、智能门锁、可视门铃等，产品以线上销售为主，销售平台包括</w:t>
      </w:r>
      <w:r>
        <w:rPr>
          <w:spacing w:val="-54"/>
        </w:rPr>
        <w:t> </w:t>
      </w:r>
      <w:r>
        <w:rPr>
          <w:rFonts w:ascii="宋体" w:hAnsi="宋体" w:cs="宋体" w:eastAsia="宋体" w:hint="default"/>
        </w:rPr>
        <w:t>360</w:t>
      </w:r>
      <w:r>
        <w:rPr>
          <w:rFonts w:ascii="宋体" w:hAnsi="宋体" w:cs="宋体" w:eastAsia="宋体" w:hint="default"/>
          <w:w w:val="100"/>
        </w:rPr>
        <w:t> </w:t>
      </w:r>
      <w:r>
        <w:rPr>
          <w:spacing w:val="-4"/>
        </w:rPr>
        <w:t>会员商城、天猫、京东等。公司延续以产品体验为核心的运营思路，将自身在“IMABCDE”等各个</w:t>
      </w:r>
      <w:r>
        <w:rPr>
          <w:spacing w:val="-24"/>
        </w:rPr>
        <w:t> </w:t>
      </w:r>
      <w:r>
        <w:rPr>
          <w:spacing w:val="-24"/>
        </w:rPr>
      </w:r>
      <w:r>
        <w:rPr/>
        <w:t>领域的核心技术及强大的安全技术广泛赋能于智能硬件产品中，</w:t>
      </w:r>
      <w:r>
        <w:rPr>
          <w:rFonts w:ascii="宋体" w:hAnsi="宋体" w:cs="宋体" w:eastAsia="宋体" w:hint="default"/>
        </w:rPr>
        <w:t>360</w:t>
      </w:r>
      <w:r>
        <w:rPr>
          <w:rFonts w:ascii="宋体" w:hAnsi="宋体" w:cs="宋体" w:eastAsia="宋体" w:hint="default"/>
          <w:spacing w:val="-55"/>
        </w:rPr>
        <w:t> </w:t>
      </w:r>
      <w:r>
        <w:rPr/>
        <w:t>搜索等软件服务也被广泛应</w:t>
      </w:r>
      <w:r>
        <w:rPr>
          <w:w w:val="100"/>
        </w:rPr>
        <w:t> </w:t>
      </w:r>
      <w:r>
        <w:rPr>
          <w:spacing w:val="-2"/>
        </w:rPr>
        <w:t>用于具有人机会话功能的硬件产品中，充分实现了三六零安全、软件、硬件等各项业务的拉通与</w:t>
      </w:r>
      <w:r>
        <w:rPr>
          <w:spacing w:val="-27"/>
        </w:rPr>
        <w:t> </w:t>
      </w:r>
      <w:r>
        <w:rPr>
          <w:spacing w:val="-27"/>
        </w:rPr>
      </w:r>
      <w:r>
        <w:rPr/>
        <w:t>协同，为各领域的用户及商业化资源共享打下了坚实的基础。</w:t>
      </w:r>
    </w:p>
    <w:p>
      <w:pPr>
        <w:pStyle w:val="BodyText"/>
        <w:spacing w:line="357" w:lineRule="auto" w:before="30"/>
        <w:ind w:right="108" w:firstLine="419"/>
        <w:jc w:val="both"/>
      </w:pPr>
      <w:r>
        <w:rPr>
          <w:rFonts w:ascii="宋体" w:hAnsi="宋体" w:cs="宋体" w:eastAsia="宋体" w:hint="default"/>
        </w:rPr>
        <w:t>2018</w:t>
      </w:r>
      <w:r>
        <w:rPr>
          <w:rFonts w:ascii="宋体" w:hAnsi="宋体" w:cs="宋体" w:eastAsia="宋体" w:hint="default"/>
          <w:spacing w:val="-9"/>
        </w:rPr>
        <w:t> </w:t>
      </w:r>
      <w:r>
        <w:rPr>
          <w:spacing w:val="-3"/>
        </w:rPr>
        <w:t>年，三六零行车记录仪、智能安全路由器、可视门铃等明星产品的线上销售量在同品类</w:t>
      </w:r>
      <w:r>
        <w:rPr>
          <w:w w:val="100"/>
        </w:rPr>
        <w:t> </w:t>
      </w:r>
      <w:r>
        <w:rPr>
          <w:spacing w:val="-6"/>
          <w:w w:val="100"/>
        </w:rPr>
        <w:t>产品中均名列前茅。目前国内的智能硬件市场尚处在培育阶段，潜在用户和需求尚待进一步发掘。</w:t>
      </w:r>
      <w:r>
        <w:rPr>
          <w:w w:val="100"/>
        </w:rPr>
        <w:t> </w:t>
      </w:r>
      <w:r>
        <w:rPr>
          <w:spacing w:val="-2"/>
        </w:rPr>
        <w:t>随着大量互联网公司及传统硬件企业的涌入，市场竞争较为激烈，产品同质化现象较为严重。报</w:t>
      </w:r>
      <w:r>
        <w:rPr>
          <w:spacing w:val="-25"/>
        </w:rPr>
        <w:t> </w:t>
      </w:r>
      <w:r>
        <w:rPr>
          <w:spacing w:val="-25"/>
        </w:rPr>
      </w:r>
      <w:r>
        <w:rPr>
          <w:spacing w:val="-2"/>
        </w:rPr>
        <w:t>告期内，因公司的智能硬件主打安全属性，创新、自研周期较长，推出的产品品类与同行业其他</w:t>
      </w:r>
      <w:r>
        <w:rPr>
          <w:spacing w:val="-26"/>
        </w:rPr>
        <w:t> </w:t>
      </w:r>
      <w:r>
        <w:rPr>
          <w:spacing w:val="-26"/>
        </w:rPr>
      </w:r>
      <w:r>
        <w:rPr>
          <w:spacing w:val="-2"/>
        </w:rPr>
        <w:t>公司相比仍较为单一，智能硬件业务收入同比略有下滑。未来公司将在产品规划上继续发力，加</w:t>
      </w:r>
      <w:r>
        <w:rPr>
          <w:spacing w:val="-25"/>
        </w:rPr>
        <w:t> </w:t>
      </w:r>
      <w:r>
        <w:rPr>
          <w:spacing w:val="-25"/>
        </w:rPr>
      </w:r>
      <w:r>
        <w:rPr>
          <w:spacing w:val="-2"/>
        </w:rPr>
        <w:t>强面向企业客户及线下客户的渠道建设，力争在提升业务收入的同时，继续提高公众对智能家居</w:t>
      </w:r>
      <w:r>
        <w:rPr>
          <w:spacing w:val="-25"/>
        </w:rPr>
        <w:t> </w:t>
      </w:r>
      <w:r>
        <w:rPr>
          <w:spacing w:val="-25"/>
        </w:rPr>
      </w:r>
      <w:r>
        <w:rPr/>
        <w:t>安全技术重要性的理解与认同，以保障更多社会中坚力量的家庭安全。</w:t>
      </w:r>
    </w:p>
    <w:p>
      <w:pPr>
        <w:spacing w:line="355" w:lineRule="auto" w:before="3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）主营业务分地区情况说明</w:t>
      </w:r>
      <w:r>
        <w:rPr>
          <w:rFonts w:ascii="宋体" w:hAnsi="宋体" w:cs="宋体" w:eastAsia="宋体" w:hint="default"/>
          <w:b/>
          <w:bCs/>
          <w:w w:val="100"/>
          <w:sz w:val="21"/>
          <w:szCs w:val="21"/>
        </w:rPr>
        <w:t> </w:t>
      </w:r>
      <w:r>
        <w:rPr>
          <w:rFonts w:ascii="宋体" w:hAnsi="宋体" w:cs="宋体" w:eastAsia="宋体" w:hint="default"/>
          <w:spacing w:val="-2"/>
          <w:sz w:val="21"/>
          <w:szCs w:val="21"/>
        </w:rPr>
        <w:t>公司来源于境外的对外交易主要反映公司境外子公司的经营情况。截至报告期末，公司共有</w:t>
      </w:r>
    </w:p>
    <w:p>
      <w:pPr>
        <w:pStyle w:val="BodyText"/>
        <w:spacing w:line="240" w:lineRule="auto" w:before="32"/>
        <w:ind w:right="0"/>
        <w:jc w:val="both"/>
      </w:pPr>
      <w:r>
        <w:rPr/>
        <w:t>境外子公司</w:t>
      </w:r>
      <w:r>
        <w:rPr>
          <w:spacing w:val="-54"/>
        </w:rPr>
        <w:t> </w:t>
      </w:r>
      <w:r>
        <w:rPr>
          <w:rFonts w:ascii="宋体" w:hAnsi="宋体" w:cs="宋体" w:eastAsia="宋体" w:hint="default"/>
        </w:rPr>
        <w:t>46</w:t>
      </w:r>
      <w:r>
        <w:rPr>
          <w:rFonts w:ascii="宋体" w:hAnsi="宋体" w:cs="宋体" w:eastAsia="宋体" w:hint="default"/>
          <w:spacing w:val="-56"/>
        </w:rPr>
        <w:t> </w:t>
      </w:r>
      <w:r>
        <w:rPr/>
        <w:t>家，合计实现营业收入人民币</w:t>
      </w:r>
      <w:r>
        <w:rPr>
          <w:spacing w:val="-54"/>
        </w:rPr>
        <w:t> </w:t>
      </w:r>
      <w:r>
        <w:rPr>
          <w:rFonts w:ascii="宋体" w:hAnsi="宋体" w:cs="宋体" w:eastAsia="宋体" w:hint="default"/>
        </w:rPr>
        <w:t>1.83</w:t>
      </w:r>
      <w:r>
        <w:rPr>
          <w:rFonts w:ascii="宋体" w:hAnsi="宋体" w:cs="宋体" w:eastAsia="宋体" w:hint="default"/>
          <w:spacing w:val="-56"/>
        </w:rPr>
        <w:t> </w:t>
      </w:r>
      <w:r>
        <w:rPr/>
        <w:t>亿元，占总收入的</w:t>
      </w:r>
      <w:r>
        <w:rPr>
          <w:spacing w:val="-54"/>
        </w:rPr>
        <w:t> </w:t>
      </w:r>
      <w:r>
        <w:rPr>
          <w:rFonts w:ascii="宋体" w:hAnsi="宋体" w:cs="宋体" w:eastAsia="宋体" w:hint="default"/>
        </w:rPr>
        <w:t>1.39%</w:t>
      </w:r>
      <w:r>
        <w:rPr/>
        <w:t>。</w:t>
      </w:r>
    </w:p>
    <w:p>
      <w:pPr>
        <w:spacing w:after="0" w:line="240" w:lineRule="auto"/>
        <w:jc w:val="both"/>
        <w:sectPr>
          <w:pgSz w:w="11910" w:h="16840"/>
          <w:pgMar w:header="855" w:footer="1217" w:top="1320" w:bottom="1400" w:left="1660" w:right="11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5"/>
        <w:spacing w:line="240" w:lineRule="auto" w:before="36"/>
        <w:ind w:right="234"/>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8"/>
        <w:ind w:left="218" w:right="234"/>
        <w:jc w:val="left"/>
      </w:pPr>
      <w:r>
        <w:rPr/>
        <w:t>□适用</w:t>
      </w:r>
      <w:r>
        <w:rPr>
          <w:spacing w:val="-1"/>
        </w:rPr>
        <w:t> </w:t>
      </w:r>
      <w:r>
        <w:rPr/>
        <w:t>√不适用</w:t>
      </w:r>
    </w:p>
    <w:p>
      <w:pPr>
        <w:spacing w:line="240" w:lineRule="auto" w:before="5"/>
        <w:rPr>
          <w:rFonts w:ascii="宋体" w:hAnsi="宋体" w:cs="宋体" w:eastAsia="宋体" w:hint="default"/>
          <w:sz w:val="25"/>
          <w:szCs w:val="25"/>
        </w:rPr>
      </w:pPr>
    </w:p>
    <w:p>
      <w:pPr>
        <w:pStyle w:val="Heading5"/>
        <w:spacing w:line="240" w:lineRule="auto" w:before="36"/>
        <w:ind w:right="234"/>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6"/>
        <w:ind w:left="0" w:right="230"/>
        <w:jc w:val="right"/>
      </w:pPr>
      <w:r>
        <w:rPr>
          <w:spacing w:val="-1"/>
        </w:rPr>
        <w:t>单位：千元</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60"/>
        <w:gridCol w:w="1184"/>
        <w:gridCol w:w="1164"/>
        <w:gridCol w:w="1155"/>
        <w:gridCol w:w="1162"/>
        <w:gridCol w:w="1085"/>
        <w:gridCol w:w="1061"/>
        <w:gridCol w:w="979"/>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099"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76" w:right="164" w:hanging="212"/>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53"/>
              <w:jc w:val="right"/>
              <w:rPr>
                <w:rFonts w:ascii="宋体" w:hAnsi="宋体" w:cs="宋体" w:eastAsia="宋体" w:hint="default"/>
                <w:sz w:val="21"/>
                <w:szCs w:val="21"/>
              </w:rPr>
            </w:pPr>
            <w:r>
              <w:rPr>
                <w:rFonts w:ascii="宋体" w:hAnsi="宋体" w:cs="宋体" w:eastAsia="宋体" w:hint="default"/>
                <w:spacing w:val="-1"/>
                <w:sz w:val="21"/>
                <w:szCs w:val="21"/>
              </w:rPr>
              <w:t>本期金额</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8" w:right="151"/>
              <w:jc w:val="center"/>
              <w:rPr>
                <w:rFonts w:ascii="宋体" w:hAnsi="宋体" w:cs="宋体" w:eastAsia="宋体" w:hint="default"/>
                <w:sz w:val="21"/>
                <w:szCs w:val="21"/>
              </w:rPr>
            </w:pPr>
            <w:r>
              <w:rPr>
                <w:rFonts w:ascii="宋体" w:hAnsi="宋体" w:cs="宋体" w:eastAsia="宋体" w:hint="default"/>
                <w:sz w:val="21"/>
                <w:szCs w:val="21"/>
              </w:rPr>
              <w:t>本期占总</w:t>
            </w:r>
            <w:r>
              <w:rPr>
                <w:rFonts w:ascii="宋体" w:hAnsi="宋体" w:cs="宋体" w:eastAsia="宋体" w:hint="default"/>
                <w:w w:val="100"/>
                <w:sz w:val="21"/>
                <w:szCs w:val="21"/>
              </w:rPr>
              <w:t> </w:t>
            </w:r>
            <w:r>
              <w:rPr>
                <w:rFonts w:ascii="宋体" w:hAnsi="宋体" w:cs="宋体" w:eastAsia="宋体" w:hint="default"/>
                <w:sz w:val="21"/>
                <w:szCs w:val="21"/>
              </w:rPr>
              <w:t>成本比例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62" w:right="153" w:hanging="209"/>
              <w:jc w:val="left"/>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7" w:right="113"/>
              <w:jc w:val="both"/>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占总成本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spacing w:line="237" w:lineRule="auto"/>
              <w:ind w:left="103" w:right="104"/>
              <w:jc w:val="center"/>
              <w:rPr>
                <w:rFonts w:ascii="宋体" w:hAnsi="宋体" w:cs="宋体" w:eastAsia="宋体" w:hint="default"/>
                <w:sz w:val="21"/>
                <w:szCs w:val="21"/>
              </w:rPr>
            </w:pPr>
            <w:r>
              <w:rPr>
                <w:rFonts w:ascii="宋体" w:hAnsi="宋体" w:cs="宋体" w:eastAsia="宋体" w:hint="default"/>
                <w:sz w:val="21"/>
                <w:szCs w:val="21"/>
              </w:rPr>
              <w:t>较上年同</w:t>
            </w:r>
            <w:r>
              <w:rPr>
                <w:rFonts w:ascii="宋体" w:hAnsi="宋体" w:cs="宋体" w:eastAsia="宋体" w:hint="default"/>
                <w:w w:val="100"/>
                <w:sz w:val="21"/>
                <w:szCs w:val="21"/>
              </w:rPr>
              <w:t> </w:t>
            </w:r>
            <w:r>
              <w:rPr>
                <w:rFonts w:ascii="宋体" w:hAnsi="宋体" w:cs="宋体" w:eastAsia="宋体" w:hint="default"/>
                <w:sz w:val="21"/>
                <w:szCs w:val="21"/>
              </w:rPr>
              <w:t>期变动比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73" w:right="271"/>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110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告及服务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spacing w:val="-61"/>
                <w:sz w:val="21"/>
                <w:szCs w:val="21"/>
              </w:rPr>
              <w:t> </w:t>
            </w:r>
            <w:r>
              <w:rPr>
                <w:rFonts w:ascii="宋体" w:hAnsi="宋体" w:cs="宋体" w:eastAsia="宋体" w:hint="default"/>
                <w:sz w:val="21"/>
                <w:szCs w:val="21"/>
              </w:rPr>
              <w:t>量</w:t>
            </w:r>
            <w:r>
              <w:rPr>
                <w:rFonts w:ascii="宋体" w:hAnsi="宋体" w:cs="宋体" w:eastAsia="宋体" w:hint="default"/>
                <w:spacing w:val="-64"/>
                <w:sz w:val="21"/>
                <w:szCs w:val="21"/>
              </w:rPr>
              <w:t> </w:t>
            </w:r>
            <w:r>
              <w:rPr>
                <w:rFonts w:ascii="宋体" w:hAnsi="宋体" w:cs="宋体" w:eastAsia="宋体" w:hint="default"/>
                <w:sz w:val="21"/>
                <w:szCs w:val="21"/>
              </w:rPr>
              <w:t>采</w:t>
            </w:r>
            <w:r>
              <w:rPr>
                <w:rFonts w:ascii="宋体" w:hAnsi="宋体" w:cs="宋体" w:eastAsia="宋体" w:hint="default"/>
                <w:spacing w:val="-64"/>
                <w:sz w:val="21"/>
                <w:szCs w:val="21"/>
              </w:rPr>
              <w:t> </w:t>
            </w:r>
            <w:r>
              <w:rPr>
                <w:rFonts w:ascii="宋体" w:hAnsi="宋体" w:cs="宋体" w:eastAsia="宋体" w:hint="default"/>
                <w:sz w:val="21"/>
                <w:szCs w:val="21"/>
              </w:rPr>
              <w:t>购</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18"/>
                <w:w w:val="100"/>
                <w:sz w:val="21"/>
                <w:szCs w:val="21"/>
              </w:rPr>
              <w:t>分成款、带</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宽</w:t>
            </w:r>
            <w:r>
              <w:rPr>
                <w:rFonts w:ascii="宋体" w:hAnsi="宋体" w:cs="宋体" w:eastAsia="宋体" w:hint="default"/>
                <w:spacing w:val="-61"/>
                <w:sz w:val="21"/>
                <w:szCs w:val="21"/>
              </w:rPr>
              <w:t> </w:t>
            </w:r>
            <w:r>
              <w:rPr>
                <w:rFonts w:ascii="宋体" w:hAnsi="宋体" w:cs="宋体" w:eastAsia="宋体" w:hint="default"/>
                <w:sz w:val="21"/>
                <w:szCs w:val="21"/>
              </w:rPr>
              <w:t>租</w:t>
            </w:r>
            <w:r>
              <w:rPr>
                <w:rFonts w:ascii="宋体" w:hAnsi="宋体" w:cs="宋体" w:eastAsia="宋体" w:hint="default"/>
                <w:spacing w:val="-64"/>
                <w:sz w:val="21"/>
                <w:szCs w:val="21"/>
              </w:rPr>
              <w:t> </w:t>
            </w:r>
            <w:r>
              <w:rPr>
                <w:rFonts w:ascii="宋体" w:hAnsi="宋体" w:cs="宋体" w:eastAsia="宋体" w:hint="default"/>
                <w:sz w:val="21"/>
                <w:szCs w:val="21"/>
              </w:rPr>
              <w:t>赁</w:t>
            </w:r>
            <w:r>
              <w:rPr>
                <w:rFonts w:ascii="宋体" w:hAnsi="宋体" w:cs="宋体" w:eastAsia="宋体" w:hint="default"/>
                <w:spacing w:val="-64"/>
                <w:sz w:val="21"/>
                <w:szCs w:val="21"/>
              </w:rPr>
              <w:t> </w:t>
            </w:r>
            <w:r>
              <w:rPr>
                <w:rFonts w:ascii="宋体" w:hAnsi="宋体" w:cs="宋体" w:eastAsia="宋体" w:hint="default"/>
                <w:sz w:val="21"/>
                <w:szCs w:val="21"/>
              </w:rPr>
              <w:t>费</w:t>
            </w:r>
            <w:r>
              <w:rPr>
                <w:rFonts w:ascii="宋体" w:hAnsi="宋体" w:cs="宋体" w:eastAsia="宋体" w:hint="default"/>
                <w:w w:val="100"/>
                <w:sz w:val="21"/>
                <w:szCs w:val="21"/>
              </w:rPr>
              <w:t> </w:t>
            </w:r>
            <w:r>
              <w:rPr>
                <w:rFonts w:ascii="宋体" w:hAnsi="宋体" w:cs="宋体" w:eastAsia="宋体" w:hint="default"/>
                <w:sz w:val="21"/>
                <w:szCs w:val="21"/>
              </w:rPr>
              <w:t>及折旧等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2,794,491</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69.90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1,692,874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z w:val="21"/>
              </w:rPr>
              <w:t>51.37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65.07</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详见以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下说明</w:t>
            </w:r>
          </w:p>
        </w:tc>
      </w:tr>
      <w:tr>
        <w:trPr>
          <w:trHeight w:val="557"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值服务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289,313</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7.24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600,714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18.23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(51.84)</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 </w:t>
            </w:r>
            <w:r>
              <w:rPr>
                <w:rFonts w:ascii="Calibri" w:hAnsi="Calibri" w:cs="Calibri" w:eastAsia="Calibri" w:hint="default"/>
                <w:spacing w:val="12"/>
                <w:sz w:val="21"/>
                <w:szCs w:val="21"/>
              </w:rPr>
              <w:t> </w:t>
            </w:r>
            <w:r>
              <w:rPr>
                <w:rFonts w:ascii="宋体" w:hAnsi="宋体" w:cs="宋体" w:eastAsia="宋体" w:hint="default"/>
                <w:sz w:val="21"/>
                <w:szCs w:val="21"/>
              </w:rPr>
              <w:t>游戏</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供</w:t>
            </w:r>
            <w:r>
              <w:rPr>
                <w:rFonts w:ascii="宋体" w:hAnsi="宋体" w:cs="宋体" w:eastAsia="宋体" w:hint="default"/>
                <w:spacing w:val="-61"/>
                <w:sz w:val="21"/>
                <w:szCs w:val="21"/>
              </w:rPr>
              <w:t> </w:t>
            </w:r>
            <w:r>
              <w:rPr>
                <w:rFonts w:ascii="宋体" w:hAnsi="宋体" w:cs="宋体" w:eastAsia="宋体" w:hint="default"/>
                <w:sz w:val="21"/>
                <w:szCs w:val="21"/>
              </w:rPr>
              <w:t>应</w:t>
            </w:r>
            <w:r>
              <w:rPr>
                <w:rFonts w:ascii="宋体" w:hAnsi="宋体" w:cs="宋体" w:eastAsia="宋体" w:hint="default"/>
                <w:spacing w:val="-64"/>
                <w:sz w:val="21"/>
                <w:szCs w:val="21"/>
              </w:rPr>
              <w:t> </w:t>
            </w:r>
            <w:r>
              <w:rPr>
                <w:rFonts w:ascii="宋体" w:hAnsi="宋体" w:cs="宋体" w:eastAsia="宋体" w:hint="default"/>
                <w:sz w:val="21"/>
                <w:szCs w:val="21"/>
              </w:rPr>
              <w:t>商</w:t>
            </w:r>
            <w:r>
              <w:rPr>
                <w:rFonts w:ascii="宋体" w:hAnsi="宋体" w:cs="宋体" w:eastAsia="宋体" w:hint="default"/>
                <w:spacing w:val="-64"/>
                <w:sz w:val="21"/>
                <w:szCs w:val="21"/>
              </w:rPr>
              <w:t> </w:t>
            </w:r>
            <w:r>
              <w:rPr>
                <w:rFonts w:ascii="宋体" w:hAnsi="宋体" w:cs="宋体" w:eastAsia="宋体" w:hint="default"/>
                <w:sz w:val="21"/>
                <w:szCs w:val="21"/>
              </w:rPr>
              <w:t>分</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8"/>
                <w:sz w:val="21"/>
                <w:szCs w:val="21"/>
              </w:rPr>
              <w:t>成款、游戏</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版权费等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289,282</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7.24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600,533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18.22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(51.83)</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详见以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下说明</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 </w:t>
            </w:r>
            <w:r>
              <w:rPr>
                <w:rFonts w:ascii="Calibri" w:hAnsi="Calibri" w:cs="Calibri" w:eastAsia="Calibri" w:hint="default"/>
                <w:spacing w:val="12"/>
                <w:sz w:val="21"/>
                <w:szCs w:val="21"/>
              </w:rPr>
              <w:t> </w:t>
            </w:r>
            <w:r>
              <w:rPr>
                <w:rFonts w:ascii="宋体" w:hAnsi="宋体" w:cs="宋体" w:eastAsia="宋体" w:hint="default"/>
                <w:sz w:val="21"/>
                <w:szCs w:val="21"/>
              </w:rPr>
              <w:t>其他</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31</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181</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(82.87)</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智能硬件</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61"/>
                <w:sz w:val="21"/>
                <w:szCs w:val="21"/>
              </w:rPr>
              <w:t> </w:t>
            </w:r>
            <w:r>
              <w:rPr>
                <w:rFonts w:ascii="宋体" w:hAnsi="宋体" w:cs="宋体" w:eastAsia="宋体" w:hint="default"/>
                <w:sz w:val="21"/>
                <w:szCs w:val="21"/>
              </w:rPr>
              <w:t>品</w:t>
            </w:r>
            <w:r>
              <w:rPr>
                <w:rFonts w:ascii="宋体" w:hAnsi="宋体" w:cs="宋体" w:eastAsia="宋体" w:hint="default"/>
                <w:spacing w:val="-64"/>
                <w:sz w:val="21"/>
                <w:szCs w:val="21"/>
              </w:rPr>
              <w:t> </w:t>
            </w:r>
            <w:r>
              <w:rPr>
                <w:rFonts w:ascii="宋体" w:hAnsi="宋体" w:cs="宋体" w:eastAsia="宋体" w:hint="default"/>
                <w:sz w:val="21"/>
                <w:szCs w:val="21"/>
              </w:rPr>
              <w:t>销</w:t>
            </w:r>
            <w:r>
              <w:rPr>
                <w:rFonts w:ascii="宋体" w:hAnsi="宋体" w:cs="宋体" w:eastAsia="宋体" w:hint="default"/>
                <w:spacing w:val="-64"/>
                <w:sz w:val="21"/>
                <w:szCs w:val="21"/>
              </w:rPr>
              <w:t> </w:t>
            </w:r>
            <w:r>
              <w:rPr>
                <w:rFonts w:ascii="宋体" w:hAnsi="宋体" w:cs="宋体" w:eastAsia="宋体" w:hint="default"/>
                <w:sz w:val="21"/>
                <w:szCs w:val="21"/>
              </w:rPr>
              <w:t>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834,389</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20.87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870,918</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26.43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(4.19)</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带</w:t>
            </w:r>
            <w:r>
              <w:rPr>
                <w:rFonts w:ascii="宋体" w:hAnsi="宋体" w:cs="宋体" w:eastAsia="宋体" w:hint="default"/>
                <w:spacing w:val="-61"/>
                <w:sz w:val="21"/>
                <w:szCs w:val="21"/>
              </w:rPr>
              <w:t> </w:t>
            </w:r>
            <w:r>
              <w:rPr>
                <w:rFonts w:ascii="宋体" w:hAnsi="宋体" w:cs="宋体" w:eastAsia="宋体" w:hint="default"/>
                <w:sz w:val="21"/>
                <w:szCs w:val="21"/>
              </w:rPr>
              <w:t>宽</w:t>
            </w:r>
            <w:r>
              <w:rPr>
                <w:rFonts w:ascii="宋体" w:hAnsi="宋体" w:cs="宋体" w:eastAsia="宋体" w:hint="default"/>
                <w:spacing w:val="-64"/>
                <w:sz w:val="21"/>
                <w:szCs w:val="21"/>
              </w:rPr>
              <w:t> </w:t>
            </w:r>
            <w:r>
              <w:rPr>
                <w:rFonts w:ascii="宋体" w:hAnsi="宋体" w:cs="宋体" w:eastAsia="宋体" w:hint="default"/>
                <w:sz w:val="21"/>
                <w:szCs w:val="21"/>
              </w:rPr>
              <w:t>租</w:t>
            </w:r>
            <w:r>
              <w:rPr>
                <w:rFonts w:ascii="宋体" w:hAnsi="宋体" w:cs="宋体" w:eastAsia="宋体" w:hint="default"/>
                <w:spacing w:val="-64"/>
                <w:sz w:val="21"/>
                <w:szCs w:val="21"/>
              </w:rPr>
              <w:t> </w:t>
            </w:r>
            <w:r>
              <w:rPr>
                <w:rFonts w:ascii="宋体" w:hAnsi="宋体" w:cs="宋体" w:eastAsia="宋体" w:hint="default"/>
                <w:sz w:val="21"/>
                <w:szCs w:val="21"/>
              </w:rPr>
              <w:t>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费及折旧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79,467</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1.99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131,200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3.98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(39.43)</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详见以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下说明</w:t>
            </w:r>
          </w:p>
        </w:tc>
      </w:tr>
    </w:tbl>
    <w:p>
      <w:pPr>
        <w:spacing w:line="240" w:lineRule="auto" w:before="7"/>
        <w:rPr>
          <w:rFonts w:ascii="宋体" w:hAnsi="宋体" w:cs="宋体" w:eastAsia="宋体" w:hint="default"/>
          <w:sz w:val="15"/>
          <w:szCs w:val="15"/>
        </w:rPr>
      </w:pPr>
    </w:p>
    <w:p>
      <w:pPr>
        <w:pStyle w:val="BodyText"/>
        <w:spacing w:line="273" w:lineRule="exact" w:before="36"/>
        <w:ind w:left="218" w:right="234"/>
        <w:jc w:val="left"/>
      </w:pPr>
      <w:r>
        <w:rPr/>
        <w:t>成本分析其他情况说明</w:t>
      </w:r>
    </w:p>
    <w:p>
      <w:pPr>
        <w:pStyle w:val="BodyText"/>
        <w:spacing w:line="272" w:lineRule="exact"/>
        <w:ind w:left="218" w:right="234"/>
        <w:jc w:val="left"/>
      </w:pPr>
      <w:r>
        <w:rPr/>
        <w:t>√适用</w:t>
      </w:r>
      <w:r>
        <w:rPr>
          <w:spacing w:val="-1"/>
        </w:rPr>
        <w:t> </w:t>
      </w:r>
      <w:r>
        <w:rPr/>
        <w:t>□不适用</w:t>
      </w:r>
    </w:p>
    <w:p>
      <w:pPr>
        <w:pStyle w:val="BodyText"/>
        <w:tabs>
          <w:tab w:pos="1057" w:val="left" w:leader="none"/>
        </w:tabs>
        <w:spacing w:line="355" w:lineRule="auto"/>
        <w:ind w:left="218" w:right="234" w:firstLine="419"/>
        <w:jc w:val="left"/>
      </w:pPr>
      <w:r>
        <w:rPr>
          <w:rFonts w:ascii="宋体" w:hAnsi="宋体" w:cs="宋体" w:eastAsia="宋体" w:hint="default"/>
        </w:rPr>
        <w:t>1)</w:t>
        <w:tab/>
      </w:r>
      <w:r>
        <w:rPr>
          <w:spacing w:val="-2"/>
        </w:rPr>
        <w:t>互联网广告及服务：报告期内，公司继续大力发展商业化联盟，构建互联网流量生态，</w:t>
      </w:r>
      <w:r>
        <w:rPr>
          <w:w w:val="100"/>
        </w:rPr>
        <w:t> </w:t>
      </w:r>
      <w:r>
        <w:rPr/>
        <w:t>营业收入规模进一步提升，导致相应的流量采购分成款等成本同比出现较大幅度增长。</w:t>
      </w:r>
    </w:p>
    <w:p>
      <w:pPr>
        <w:pStyle w:val="BodyText"/>
        <w:tabs>
          <w:tab w:pos="638" w:val="left" w:leader="none"/>
          <w:tab w:pos="1057" w:val="left" w:leader="none"/>
        </w:tabs>
        <w:spacing w:line="357" w:lineRule="auto" w:before="32"/>
        <w:ind w:left="218" w:right="228" w:firstLine="419"/>
        <w:jc w:val="right"/>
      </w:pPr>
      <w:r>
        <w:rPr>
          <w:rFonts w:ascii="宋体" w:hAnsi="宋体" w:cs="宋体" w:eastAsia="宋体" w:hint="default"/>
        </w:rPr>
        <w:t>2)</w:t>
        <w:tab/>
      </w:r>
      <w:r>
        <w:rPr>
          <w:spacing w:val="-1"/>
        </w:rPr>
        <w:t>游戏业务：报告期内，受行业宏观情况影响，相关业务收入同比出现下降；此外，游戏</w:t>
      </w:r>
      <w:r>
        <w:rPr>
          <w:w w:val="100"/>
        </w:rPr>
        <w:t> </w:t>
      </w:r>
      <w:r>
        <w:rPr>
          <w:spacing w:val="-7"/>
        </w:rPr>
        <w:t>团队调整运营策略，停止了无效的外部推广投放，提升了资源利用效率，综合导致相关的分成款、</w:t>
      </w:r>
      <w:r>
        <w:rPr>
          <w:spacing w:val="-33"/>
        </w:rPr>
        <w:t> </w:t>
      </w:r>
      <w:r>
        <w:rPr>
          <w:spacing w:val="-33"/>
        </w:rPr>
      </w:r>
      <w:r>
        <w:rPr>
          <w:spacing w:val="-2"/>
        </w:rPr>
        <w:t>版权费等成本出现较大幅度缩减，在收入下滑已成为既定事实的情况下，保证了毛利率的提升。</w:t>
      </w:r>
      <w:r>
        <w:rPr>
          <w:spacing w:val="-52"/>
        </w:rPr>
        <w:t> </w:t>
      </w:r>
      <w:r>
        <w:rPr>
          <w:spacing w:val="-52"/>
        </w:rPr>
      </w:r>
      <w:r>
        <w:rPr>
          <w:rFonts w:ascii="宋体" w:hAnsi="宋体" w:cs="宋体" w:eastAsia="宋体" w:hint="default"/>
        </w:rPr>
        <w:t>3)</w:t>
        <w:tab/>
      </w:r>
      <w:r>
        <w:rPr>
          <w:spacing w:val="-1"/>
        </w:rPr>
        <w:t>其他业务成本的下降主要由于报告期内公司积极进行成本控制所致，通过加强精细化管</w:t>
      </w:r>
    </w:p>
    <w:p>
      <w:pPr>
        <w:pStyle w:val="BodyText"/>
        <w:spacing w:line="240" w:lineRule="auto" w:before="30"/>
        <w:ind w:left="218" w:right="234"/>
        <w:jc w:val="left"/>
      </w:pPr>
      <w:r>
        <w:rPr/>
        <w:t>理，成功实现了降本增效。</w:t>
      </w:r>
    </w:p>
    <w:p>
      <w:pPr>
        <w:spacing w:line="240" w:lineRule="auto" w:before="10"/>
        <w:rPr>
          <w:rFonts w:ascii="宋体" w:hAnsi="宋体" w:cs="宋体" w:eastAsia="宋体" w:hint="default"/>
          <w:sz w:val="14"/>
          <w:szCs w:val="14"/>
        </w:rPr>
      </w:pPr>
    </w:p>
    <w:p>
      <w:pPr>
        <w:pStyle w:val="Heading5"/>
        <w:spacing w:line="240" w:lineRule="auto"/>
        <w:ind w:right="234"/>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3" w:lineRule="exact" w:before="58"/>
        <w:ind w:left="218" w:right="234"/>
        <w:jc w:val="left"/>
      </w:pPr>
      <w:r>
        <w:rPr/>
        <w:t>√适用</w:t>
      </w:r>
      <w:r>
        <w:rPr>
          <w:spacing w:val="-1"/>
        </w:rPr>
        <w:t> </w:t>
      </w:r>
      <w:r>
        <w:rPr/>
        <w:t>□不适用</w:t>
      </w:r>
    </w:p>
    <w:p>
      <w:pPr>
        <w:pStyle w:val="BodyText"/>
        <w:spacing w:line="355" w:lineRule="auto"/>
        <w:ind w:left="218" w:right="124" w:firstLine="419"/>
        <w:jc w:val="left"/>
      </w:pPr>
      <w:r>
        <w:rPr/>
        <w:t>前五名客户销售额</w:t>
      </w:r>
      <w:r>
        <w:rPr>
          <w:spacing w:val="-38"/>
        </w:rPr>
        <w:t> </w:t>
      </w:r>
      <w:r>
        <w:rPr>
          <w:rFonts w:ascii="宋体" w:hAnsi="宋体" w:cs="宋体" w:eastAsia="宋体" w:hint="default"/>
        </w:rPr>
        <w:t>510,842</w:t>
      </w:r>
      <w:r>
        <w:rPr>
          <w:rFonts w:ascii="宋体" w:hAnsi="宋体" w:cs="宋体" w:eastAsia="宋体" w:hint="default"/>
          <w:spacing w:val="-39"/>
        </w:rPr>
        <w:t> </w:t>
      </w:r>
      <w:r>
        <w:rPr>
          <w:spacing w:val="-4"/>
        </w:rPr>
        <w:t>万元，占年度销售总额</w:t>
      </w:r>
      <w:r>
        <w:rPr>
          <w:spacing w:val="-39"/>
        </w:rPr>
        <w:t> </w:t>
      </w:r>
      <w:r>
        <w:rPr>
          <w:rFonts w:ascii="宋体" w:hAnsi="宋体" w:cs="宋体" w:eastAsia="宋体" w:hint="default"/>
          <w:spacing w:val="-3"/>
        </w:rPr>
        <w:t>38.91%</w:t>
      </w:r>
      <w:r>
        <w:rPr>
          <w:spacing w:val="-3"/>
        </w:rPr>
        <w:t>；其中前五名客户销售额中关联方</w:t>
      </w:r>
      <w:r>
        <w:rPr>
          <w:w w:val="100"/>
        </w:rPr>
        <w:t> </w:t>
      </w:r>
      <w:r>
        <w:rPr/>
        <w:t>销售额</w:t>
      </w:r>
      <w:r>
        <w:rPr>
          <w:spacing w:val="-54"/>
        </w:rPr>
        <w:t> </w:t>
      </w:r>
      <w:r>
        <w:rPr>
          <w:rFonts w:ascii="宋体" w:hAnsi="宋体" w:cs="宋体" w:eastAsia="宋体" w:hint="default"/>
        </w:rPr>
        <w:t>0</w:t>
      </w:r>
      <w:r>
        <w:rPr>
          <w:rFonts w:ascii="宋体" w:hAnsi="宋体" w:cs="宋体" w:eastAsia="宋体" w:hint="default"/>
          <w:spacing w:val="-54"/>
        </w:rPr>
        <w:t> </w:t>
      </w:r>
      <w:r>
        <w:rPr/>
        <w:t>万元，占年度销售总额</w:t>
      </w:r>
      <w:r>
        <w:rPr>
          <w:spacing w:val="-53"/>
        </w:rPr>
        <w:t> </w:t>
      </w:r>
      <w:r>
        <w:rPr>
          <w:rFonts w:ascii="宋体" w:hAnsi="宋体" w:cs="宋体" w:eastAsia="宋体" w:hint="default"/>
        </w:rPr>
        <w:t>0%</w:t>
      </w:r>
      <w:r>
        <w:rPr/>
        <w:t>。</w:t>
      </w:r>
    </w:p>
    <w:p>
      <w:pPr>
        <w:pStyle w:val="BodyText"/>
        <w:spacing w:line="355" w:lineRule="auto" w:before="34"/>
        <w:ind w:left="218" w:right="124" w:firstLine="419"/>
        <w:jc w:val="left"/>
      </w:pPr>
      <w:r>
        <w:rPr/>
        <w:t>前五名供应商采购额</w:t>
      </w:r>
      <w:r>
        <w:rPr>
          <w:spacing w:val="-39"/>
        </w:rPr>
        <w:t> </w:t>
      </w:r>
      <w:r>
        <w:rPr>
          <w:rFonts w:ascii="宋体" w:hAnsi="宋体" w:cs="宋体" w:eastAsia="宋体" w:hint="default"/>
        </w:rPr>
        <w:t>130,657</w:t>
      </w:r>
      <w:r>
        <w:rPr>
          <w:rFonts w:ascii="宋体" w:hAnsi="宋体" w:cs="宋体" w:eastAsia="宋体" w:hint="default"/>
          <w:spacing w:val="-40"/>
        </w:rPr>
        <w:t> </w:t>
      </w:r>
      <w:r>
        <w:rPr>
          <w:spacing w:val="-4"/>
        </w:rPr>
        <w:t>万元，占年度采购总额</w:t>
      </w:r>
      <w:r>
        <w:rPr>
          <w:spacing w:val="-40"/>
        </w:rPr>
        <w:t> </w:t>
      </w:r>
      <w:r>
        <w:rPr>
          <w:rFonts w:ascii="宋体" w:hAnsi="宋体" w:cs="宋体" w:eastAsia="宋体" w:hint="default"/>
          <w:spacing w:val="-3"/>
        </w:rPr>
        <w:t>18.21%</w:t>
      </w:r>
      <w:r>
        <w:rPr>
          <w:spacing w:val="-3"/>
        </w:rPr>
        <w:t>；其中前五名供应商采购额中关</w:t>
      </w:r>
      <w:r>
        <w:rPr>
          <w:w w:val="100"/>
        </w:rPr>
        <w:t> </w:t>
      </w:r>
      <w:r>
        <w:rPr/>
        <w:t>联方采购额</w:t>
      </w:r>
      <w:r>
        <w:rPr>
          <w:spacing w:val="-54"/>
        </w:rPr>
        <w:t> </w:t>
      </w:r>
      <w:r>
        <w:rPr>
          <w:rFonts w:ascii="宋体" w:hAnsi="宋体" w:cs="宋体" w:eastAsia="宋体" w:hint="default"/>
        </w:rPr>
        <w:t>34,537</w:t>
      </w:r>
      <w:r>
        <w:rPr>
          <w:rFonts w:ascii="宋体" w:hAnsi="宋体" w:cs="宋体" w:eastAsia="宋体" w:hint="default"/>
          <w:spacing w:val="-56"/>
        </w:rPr>
        <w:t> </w:t>
      </w:r>
      <w:r>
        <w:rPr/>
        <w:t>万元，占年度采购总额</w:t>
      </w:r>
      <w:r>
        <w:rPr>
          <w:spacing w:val="-54"/>
        </w:rPr>
        <w:t> </w:t>
      </w:r>
      <w:r>
        <w:rPr>
          <w:rFonts w:ascii="宋体" w:hAnsi="宋体" w:cs="宋体" w:eastAsia="宋体" w:hint="default"/>
        </w:rPr>
        <w:t>4.81%</w:t>
      </w:r>
      <w:r>
        <w:rPr/>
        <w:t>。</w:t>
      </w:r>
    </w:p>
    <w:p>
      <w:pPr>
        <w:spacing w:line="240" w:lineRule="auto" w:before="3"/>
        <w:rPr>
          <w:rFonts w:ascii="宋体" w:hAnsi="宋体" w:cs="宋体" w:eastAsia="宋体" w:hint="default"/>
          <w:sz w:val="23"/>
          <w:szCs w:val="23"/>
        </w:rPr>
      </w:pPr>
    </w:p>
    <w:p>
      <w:pPr>
        <w:pStyle w:val="BodyText"/>
        <w:spacing w:line="240" w:lineRule="auto"/>
        <w:ind w:left="218" w:right="234"/>
        <w:jc w:val="left"/>
      </w:pPr>
      <w:r>
        <w:rPr/>
        <w:t>其他说明</w:t>
      </w:r>
    </w:p>
    <w:p>
      <w:pPr>
        <w:spacing w:after="0" w:line="240" w:lineRule="auto"/>
        <w:jc w:val="left"/>
        <w:sectPr>
          <w:pgSz w:w="11910" w:h="16840"/>
          <w:pgMar w:header="855" w:footer="1217" w:top="1320" w:bottom="1400" w:left="1580" w:right="1040"/>
        </w:sectPr>
      </w:pPr>
    </w:p>
    <w:p>
      <w:pPr>
        <w:spacing w:line="240" w:lineRule="auto" w:before="4"/>
        <w:rPr>
          <w:rFonts w:ascii="宋体" w:hAnsi="宋体" w:cs="宋体" w:eastAsia="宋体" w:hint="default"/>
          <w:sz w:val="9"/>
          <w:szCs w:val="9"/>
        </w:rPr>
      </w:pPr>
    </w:p>
    <w:p>
      <w:pPr>
        <w:pStyle w:val="BodyText"/>
        <w:spacing w:line="240" w:lineRule="auto" w:before="36"/>
        <w:ind w:left="638" w:right="0"/>
        <w:jc w:val="left"/>
      </w:pPr>
      <w:r>
        <w:rPr>
          <w:rFonts w:ascii="宋体" w:hAnsi="宋体" w:cs="宋体" w:eastAsia="宋体" w:hint="default"/>
        </w:rPr>
        <w:t>2018</w:t>
      </w:r>
      <w:r>
        <w:rPr>
          <w:rFonts w:ascii="宋体" w:hAnsi="宋体" w:cs="宋体" w:eastAsia="宋体" w:hint="default"/>
          <w:spacing w:val="-54"/>
        </w:rPr>
        <w:t> </w:t>
      </w:r>
      <w:r>
        <w:rPr/>
        <w:t>年度，来源于利欧集团股份有限公司及其控制的子公司的收入占本集团收入的</w:t>
      </w:r>
      <w:r>
        <w:rPr>
          <w:spacing w:val="-51"/>
        </w:rPr>
        <w:t> </w:t>
      </w:r>
      <w:r>
        <w:rPr>
          <w:rFonts w:ascii="宋体" w:hAnsi="宋体" w:cs="宋体" w:eastAsia="宋体" w:hint="default"/>
        </w:rPr>
        <w:t>15.02%</w:t>
      </w:r>
      <w:r>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55" w:footer="1217" w:top="1320" w:bottom="1400" w:left="1580" w:right="1040"/>
        </w:sectPr>
      </w:pPr>
    </w:p>
    <w:p>
      <w:pPr>
        <w:pStyle w:val="Heading5"/>
        <w:tabs>
          <w:tab w:pos="637" w:val="left" w:leader="none"/>
        </w:tabs>
        <w:spacing w:line="240" w:lineRule="auto" w:before="36"/>
        <w:ind w:right="-18"/>
        <w:jc w:val="left"/>
        <w:rPr>
          <w:b w:val="0"/>
          <w:bCs w:val="0"/>
        </w:rPr>
      </w:pPr>
      <w:r>
        <w:rPr>
          <w:rFonts w:ascii="宋体" w:hAnsi="宋体" w:cs="宋体" w:eastAsia="宋体" w:hint="default"/>
          <w:w w:val="95"/>
        </w:rPr>
        <w:t>3.</w:t>
        <w:tab/>
      </w:r>
      <w:r>
        <w:rPr/>
        <w:t>费用</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8" w:right="0"/>
        <w:jc w:val="left"/>
      </w:pPr>
      <w:r>
        <w:rPr/>
        <w:t>单位：千元</w:t>
      </w:r>
    </w:p>
    <w:p>
      <w:pPr>
        <w:spacing w:after="0" w:line="240" w:lineRule="auto"/>
        <w:jc w:val="left"/>
        <w:sectPr>
          <w:type w:val="continuous"/>
          <w:pgSz w:w="11910" w:h="16840"/>
          <w:pgMar w:top="1320" w:bottom="1400" w:left="1580" w:right="1040"/>
          <w:cols w:num="2" w:equalWidth="0">
            <w:col w:w="1795" w:space="5886"/>
            <w:col w:w="160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82"/>
        <w:gridCol w:w="1489"/>
        <w:gridCol w:w="1274"/>
        <w:gridCol w:w="1277"/>
        <w:gridCol w:w="3128"/>
      </w:tblGrid>
      <w:tr>
        <w:trPr>
          <w:trHeight w:val="826"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同期增减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283"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2,034,015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1,906,842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6.67</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同比未发生较大变动</w:t>
            </w:r>
          </w:p>
        </w:tc>
      </w:tr>
      <w:tr>
        <w:trPr>
          <w:trHeight w:val="283"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837,513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700,230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19.61</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同比未发生较大变动</w:t>
            </w:r>
          </w:p>
        </w:tc>
      </w:tr>
      <w:tr>
        <w:trPr>
          <w:trHeight w:val="281"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2,546,310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2,417,482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5.33</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同比未发生较大变动</w:t>
            </w:r>
          </w:p>
        </w:tc>
      </w:tr>
      <w:tr>
        <w:trPr>
          <w:trHeight w:val="284"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(345,275)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(46,053)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(649.73)</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主要为定期存款利息增加所致</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20" w:bottom="1400" w:left="1580" w:right="1040"/>
        </w:sectPr>
      </w:pPr>
    </w:p>
    <w:p>
      <w:pPr>
        <w:pStyle w:val="Heading5"/>
        <w:tabs>
          <w:tab w:pos="637" w:val="left" w:leader="none"/>
        </w:tabs>
        <w:spacing w:line="290" w:lineRule="auto" w:before="36"/>
        <w:ind w:right="202"/>
        <w:jc w:val="left"/>
        <w:rPr>
          <w:b w:val="0"/>
          <w:bCs w:val="0"/>
        </w:rPr>
      </w:pPr>
      <w:r>
        <w:rPr>
          <w:rFonts w:ascii="宋体" w:hAnsi="宋体" w:cs="宋体" w:eastAsia="宋体" w:hint="default"/>
          <w:w w:val="95"/>
        </w:rPr>
        <w:t>4.</w:t>
        <w:tab/>
      </w:r>
      <w:r>
        <w:rPr/>
        <w:t>研发投入</w:t>
      </w:r>
      <w:r>
        <w:rPr>
          <w:w w:val="100"/>
        </w:rPr>
        <w:t> </w:t>
      </w:r>
      <w:r>
        <w:rPr/>
        <w:t>研发投入情况表</w:t>
      </w:r>
      <w:r>
        <w:rPr>
          <w:b w:val="0"/>
          <w:bCs w:val="0"/>
        </w:rPr>
      </w:r>
    </w:p>
    <w:p>
      <w:pPr>
        <w:pStyle w:val="BodyText"/>
        <w:tabs>
          <w:tab w:pos="1060" w:val="left" w:leader="none"/>
        </w:tabs>
        <w:spacing w:line="240" w:lineRule="auto" w:before="14"/>
        <w:ind w:left="21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18" w:right="0"/>
        <w:jc w:val="left"/>
      </w:pPr>
      <w:r>
        <w:rPr/>
        <w:t>单位：千元</w:t>
      </w:r>
    </w:p>
    <w:p>
      <w:pPr>
        <w:spacing w:after="0" w:line="240" w:lineRule="auto"/>
        <w:jc w:val="left"/>
        <w:sectPr>
          <w:type w:val="continuous"/>
          <w:pgSz w:w="11910" w:h="16840"/>
          <w:pgMar w:top="1320" w:bottom="1400" w:left="1580" w:right="1040"/>
          <w:cols w:num="2" w:equalWidth="0">
            <w:col w:w="1901" w:space="5881"/>
            <w:col w:w="150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2,546,310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2,546,310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19.39%</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公司研发人员的数量（人）</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3,837</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研发人员数量占公司总人数的比例（</w:t>
            </w:r>
            <w:r>
              <w:rPr>
                <w:rFonts w:ascii="宋体" w:hAnsi="宋体" w:cs="宋体" w:eastAsia="宋体" w:hint="default"/>
                <w:sz w:val="21"/>
                <w:szCs w:val="21"/>
              </w:rPr>
              <w:t>%</w:t>
            </w:r>
            <w:r>
              <w:rPr>
                <w:rFonts w:ascii="宋体" w:hAnsi="宋体" w:cs="宋体" w:eastAsia="宋体" w:hint="default"/>
                <w:sz w:val="21"/>
                <w:szCs w:val="21"/>
              </w:rPr>
              <w:t>）</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70.81%</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bl>
    <w:p>
      <w:pPr>
        <w:spacing w:line="240" w:lineRule="auto" w:before="1"/>
        <w:rPr>
          <w:rFonts w:ascii="宋体" w:hAnsi="宋体" w:cs="宋体" w:eastAsia="宋体" w:hint="default"/>
          <w:sz w:val="23"/>
          <w:szCs w:val="23"/>
        </w:rPr>
      </w:pPr>
    </w:p>
    <w:p>
      <w:pPr>
        <w:pStyle w:val="Heading5"/>
        <w:spacing w:line="240" w:lineRule="auto" w:before="36"/>
        <w:ind w:right="234"/>
        <w:jc w:val="left"/>
        <w:rPr>
          <w:b w:val="0"/>
          <w:bCs w:val="0"/>
        </w:rPr>
      </w:pPr>
      <w:r>
        <w:rPr/>
        <w:t>情况说明</w:t>
      </w:r>
      <w:r>
        <w:rPr>
          <w:b w:val="0"/>
          <w:bCs w:val="0"/>
        </w:rPr>
      </w:r>
    </w:p>
    <w:p>
      <w:pPr>
        <w:pStyle w:val="BodyText"/>
        <w:spacing w:line="240" w:lineRule="auto" w:before="56"/>
        <w:ind w:left="218" w:right="234"/>
        <w:jc w:val="left"/>
      </w:pPr>
      <w:r>
        <w:rPr/>
        <w:t>□适用</w:t>
      </w:r>
      <w:r>
        <w:rPr>
          <w:spacing w:val="-1"/>
        </w:rPr>
        <w:t> </w:t>
      </w:r>
      <w:r>
        <w:rPr/>
        <w:t>√不适用</w:t>
      </w:r>
    </w:p>
    <w:p>
      <w:pPr>
        <w:spacing w:after="0" w:line="240" w:lineRule="auto"/>
        <w:jc w:val="left"/>
        <w:sectPr>
          <w:type w:val="continuous"/>
          <w:pgSz w:w="11910" w:h="16840"/>
          <w:pgMar w:top="1320" w:bottom="140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15"/>
          <w:footerReference w:type="default" r:id="rId16"/>
          <w:pgSz w:w="16840" w:h="11910" w:orient="landscape"/>
          <w:pgMar w:header="857" w:footer="1218" w:top="1320" w:bottom="1400" w:left="1220" w:right="1300"/>
          <w:pgNumType w:start="26"/>
        </w:sectPr>
      </w:pPr>
    </w:p>
    <w:p>
      <w:pPr>
        <w:pStyle w:val="Heading5"/>
        <w:tabs>
          <w:tab w:pos="640" w:val="left" w:leader="none"/>
        </w:tabs>
        <w:spacing w:line="240" w:lineRule="auto" w:before="36"/>
        <w:ind w:left="220" w:right="-18"/>
        <w:jc w:val="left"/>
        <w:rPr>
          <w:b w:val="0"/>
          <w:bCs w:val="0"/>
        </w:rPr>
      </w:pPr>
      <w:r>
        <w:rPr>
          <w:rFonts w:ascii="宋体" w:hAnsi="宋体" w:cs="宋体" w:eastAsia="宋体" w:hint="default"/>
          <w:w w:val="95"/>
        </w:rPr>
        <w:t>5.</w:t>
        <w:tab/>
      </w:r>
      <w:r>
        <w:rPr/>
        <w:t>现金流</w:t>
      </w:r>
      <w:r>
        <w:rPr>
          <w:b w:val="0"/>
          <w:bCs w:val="0"/>
        </w:rPr>
      </w:r>
    </w:p>
    <w:p>
      <w:pPr>
        <w:pStyle w:val="BodyText"/>
        <w:spacing w:line="240" w:lineRule="auto" w:before="56"/>
        <w:ind w:left="22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20" w:right="0"/>
        <w:jc w:val="left"/>
      </w:pPr>
      <w:r>
        <w:rPr/>
        <w:t>单位：千元</w:t>
      </w:r>
    </w:p>
    <w:p>
      <w:pPr>
        <w:spacing w:after="0" w:line="240" w:lineRule="auto"/>
        <w:jc w:val="left"/>
        <w:sectPr>
          <w:type w:val="continuous"/>
          <w:pgSz w:w="16840" w:h="11910" w:orient="landscape"/>
          <w:pgMar w:top="1320" w:bottom="1400" w:left="1220" w:right="1300"/>
          <w:cols w:num="2" w:equalWidth="0">
            <w:col w:w="1798" w:space="10924"/>
            <w:col w:w="1598"/>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087"/>
        <w:gridCol w:w="1417"/>
        <w:gridCol w:w="1562"/>
        <w:gridCol w:w="1568"/>
        <w:gridCol w:w="6457"/>
      </w:tblGrid>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5"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hanging="53"/>
              <w:jc w:val="left"/>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left="201" w:right="0"/>
              <w:jc w:val="left"/>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r>
              <w:rPr>
                <w:rFonts w:ascii="宋体" w:hAnsi="宋体" w:cs="宋体" w:eastAsia="宋体" w:hint="default"/>
                <w:sz w:val="21"/>
                <w:szCs w:val="21"/>
              </w:rPr>
              <w:t>）</w:t>
            </w:r>
          </w:p>
        </w:tc>
        <w:tc>
          <w:tcPr>
            <w:tcW w:w="6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3,747,795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4,142,529</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(9.53)</w:t>
            </w:r>
          </w:p>
        </w:tc>
        <w:tc>
          <w:tcPr>
            <w:tcW w:w="6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同比未发生较大变动。</w:t>
            </w:r>
          </w:p>
        </w:tc>
      </w:tr>
      <w:tr>
        <w:trPr>
          <w:trHeight w:val="1645"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34"/>
              <w:jc w:val="center"/>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(4,042,486)</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9,045,579</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(144.69)</w:t>
            </w:r>
          </w:p>
        </w:tc>
        <w:tc>
          <w:tcPr>
            <w:tcW w:w="6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、上期赎回的结构性存款及其利息</w:t>
            </w:r>
            <w:r>
              <w:rPr>
                <w:rFonts w:ascii="宋体" w:hAnsi="宋体" w:cs="宋体" w:eastAsia="宋体" w:hint="default"/>
                <w:spacing w:val="-46"/>
                <w:sz w:val="21"/>
                <w:szCs w:val="21"/>
              </w:rPr>
              <w:t> </w:t>
            </w:r>
            <w:r>
              <w:rPr>
                <w:rFonts w:ascii="宋体" w:hAnsi="宋体" w:cs="宋体" w:eastAsia="宋体" w:hint="default"/>
                <w:sz w:val="21"/>
                <w:szCs w:val="21"/>
              </w:rPr>
              <w:t>149.33</w:t>
            </w:r>
            <w:r>
              <w:rPr>
                <w:rFonts w:ascii="宋体" w:hAnsi="宋体" w:cs="宋体" w:eastAsia="宋体" w:hint="default"/>
                <w:spacing w:val="-46"/>
                <w:sz w:val="21"/>
                <w:szCs w:val="21"/>
              </w:rPr>
              <w:t> </w:t>
            </w:r>
            <w:r>
              <w:rPr>
                <w:rFonts w:ascii="宋体" w:hAnsi="宋体" w:cs="宋体" w:eastAsia="宋体" w:hint="default"/>
                <w:sz w:val="21"/>
                <w:szCs w:val="21"/>
              </w:rPr>
              <w:t>亿元视为投资活动现金流</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4"/>
                <w:sz w:val="21"/>
                <w:szCs w:val="21"/>
              </w:rPr>
              <w:t>入，赎回的结构性存款后续用于偿还私有化过程中内保外贷产生的借</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款；</w:t>
            </w:r>
          </w:p>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、本期收到股权转让对价</w:t>
            </w:r>
            <w:r>
              <w:rPr>
                <w:rFonts w:ascii="宋体" w:hAnsi="宋体" w:cs="宋体" w:eastAsia="宋体" w:hint="default"/>
                <w:spacing w:val="-53"/>
                <w:sz w:val="21"/>
                <w:szCs w:val="21"/>
              </w:rPr>
              <w:t> </w:t>
            </w:r>
            <w:r>
              <w:rPr>
                <w:rFonts w:ascii="宋体" w:hAnsi="宋体" w:cs="宋体" w:eastAsia="宋体" w:hint="default"/>
                <w:sz w:val="21"/>
                <w:szCs w:val="21"/>
              </w:rPr>
              <w:t>16.90</w:t>
            </w:r>
            <w:r>
              <w:rPr>
                <w:rFonts w:ascii="宋体" w:hAnsi="宋体" w:cs="宋体" w:eastAsia="宋体" w:hint="default"/>
                <w:spacing w:val="-54"/>
                <w:sz w:val="21"/>
                <w:szCs w:val="21"/>
              </w:rPr>
              <w:t> </w:t>
            </w:r>
            <w:r>
              <w:rPr>
                <w:rFonts w:ascii="宋体" w:hAnsi="宋体" w:cs="宋体" w:eastAsia="宋体" w:hint="default"/>
                <w:sz w:val="21"/>
                <w:szCs w:val="21"/>
              </w:rPr>
              <w:t>亿元；</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、本期较上期增加投资支付</w:t>
            </w:r>
            <w:r>
              <w:rPr>
                <w:rFonts w:ascii="宋体" w:hAnsi="宋体" w:cs="宋体" w:eastAsia="宋体" w:hint="default"/>
                <w:spacing w:val="-55"/>
                <w:sz w:val="21"/>
                <w:szCs w:val="21"/>
              </w:rPr>
              <w:t> </w:t>
            </w:r>
            <w:r>
              <w:rPr>
                <w:rFonts w:ascii="宋体" w:hAnsi="宋体" w:cs="宋体" w:eastAsia="宋体" w:hint="default"/>
                <w:sz w:val="21"/>
                <w:szCs w:val="21"/>
              </w:rPr>
              <w:t>2.89</w:t>
            </w:r>
            <w:r>
              <w:rPr>
                <w:rFonts w:ascii="宋体" w:hAnsi="宋体" w:cs="宋体" w:eastAsia="宋体" w:hint="default"/>
                <w:spacing w:val="-55"/>
                <w:sz w:val="21"/>
                <w:szCs w:val="21"/>
              </w:rPr>
              <w:t> </w:t>
            </w:r>
            <w:r>
              <w:rPr>
                <w:rFonts w:ascii="宋体" w:hAnsi="宋体" w:cs="宋体" w:eastAsia="宋体" w:hint="default"/>
                <w:sz w:val="21"/>
                <w:szCs w:val="21"/>
              </w:rPr>
              <w:t>亿元；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、本期较上期减少三个月以上定期存款和理财产品投资</w:t>
            </w:r>
            <w:r>
              <w:rPr>
                <w:rFonts w:ascii="宋体" w:hAnsi="宋体" w:cs="宋体" w:eastAsia="宋体" w:hint="default"/>
                <w:spacing w:val="-57"/>
                <w:sz w:val="21"/>
                <w:szCs w:val="21"/>
              </w:rPr>
              <w:t> </w:t>
            </w:r>
            <w:r>
              <w:rPr>
                <w:rFonts w:ascii="宋体" w:hAnsi="宋体" w:cs="宋体" w:eastAsia="宋体" w:hint="default"/>
                <w:sz w:val="21"/>
                <w:szCs w:val="21"/>
              </w:rPr>
              <w:t>7.25</w:t>
            </w:r>
            <w:r>
              <w:rPr>
                <w:rFonts w:ascii="宋体" w:hAnsi="宋体" w:cs="宋体" w:eastAsia="宋体" w:hint="default"/>
                <w:spacing w:val="-59"/>
                <w:sz w:val="21"/>
                <w:szCs w:val="21"/>
              </w:rPr>
              <w:t> </w:t>
            </w:r>
            <w:r>
              <w:rPr>
                <w:rFonts w:ascii="宋体" w:hAnsi="宋体" w:cs="宋体" w:eastAsia="宋体" w:hint="default"/>
                <w:sz w:val="21"/>
                <w:szCs w:val="21"/>
              </w:rPr>
              <w:t>亿元。</w:t>
            </w:r>
          </w:p>
        </w:tc>
      </w:tr>
      <w:tr>
        <w:trPr>
          <w:trHeight w:val="828"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4"/>
              <w:jc w:val="center"/>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(246,677)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(11,981,436)</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97.94</w:t>
            </w:r>
          </w:p>
        </w:tc>
        <w:tc>
          <w:tcPr>
            <w:tcW w:w="6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、上期收到来自于原股东天津奇信通达科技有限公司的现金增资款</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30.03</w:t>
            </w:r>
            <w:r>
              <w:rPr>
                <w:rFonts w:ascii="宋体" w:hAnsi="宋体" w:cs="宋体" w:eastAsia="宋体" w:hint="default"/>
                <w:spacing w:val="-52"/>
                <w:sz w:val="21"/>
                <w:szCs w:val="21"/>
              </w:rPr>
              <w:t> </w:t>
            </w:r>
            <w:r>
              <w:rPr>
                <w:rFonts w:ascii="宋体" w:hAnsi="宋体" w:cs="宋体" w:eastAsia="宋体" w:hint="default"/>
                <w:sz w:val="21"/>
                <w:szCs w:val="21"/>
              </w:rPr>
              <w:t>亿元；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、上期偿还私有化过程中内保外贷产生的借款</w:t>
            </w:r>
            <w:r>
              <w:rPr>
                <w:rFonts w:ascii="宋体" w:hAnsi="宋体" w:cs="宋体" w:eastAsia="宋体" w:hint="default"/>
                <w:spacing w:val="-57"/>
                <w:sz w:val="21"/>
                <w:szCs w:val="21"/>
              </w:rPr>
              <w:t> </w:t>
            </w:r>
            <w:r>
              <w:rPr>
                <w:rFonts w:ascii="宋体" w:hAnsi="宋体" w:cs="宋体" w:eastAsia="宋体" w:hint="default"/>
                <w:sz w:val="21"/>
                <w:szCs w:val="21"/>
              </w:rPr>
              <w:t>148.64</w:t>
            </w:r>
            <w:r>
              <w:rPr>
                <w:rFonts w:ascii="宋体" w:hAnsi="宋体" w:cs="宋体" w:eastAsia="宋体" w:hint="default"/>
                <w:spacing w:val="-57"/>
                <w:sz w:val="21"/>
                <w:szCs w:val="21"/>
              </w:rPr>
              <w:t> </w:t>
            </w:r>
            <w:r>
              <w:rPr>
                <w:rFonts w:ascii="宋体" w:hAnsi="宋体" w:cs="宋体" w:eastAsia="宋体" w:hint="default"/>
                <w:sz w:val="21"/>
                <w:szCs w:val="21"/>
              </w:rPr>
              <w:t>亿元。</w:t>
            </w:r>
          </w:p>
        </w:tc>
      </w:tr>
    </w:tbl>
    <w:p>
      <w:pPr>
        <w:spacing w:line="240" w:lineRule="auto" w:before="12"/>
        <w:rPr>
          <w:rFonts w:ascii="宋体" w:hAnsi="宋体" w:cs="宋体" w:eastAsia="宋体" w:hint="default"/>
          <w:sz w:val="22"/>
          <w:szCs w:val="22"/>
        </w:rPr>
      </w:pPr>
    </w:p>
    <w:p>
      <w:pPr>
        <w:pStyle w:val="Heading5"/>
        <w:tabs>
          <w:tab w:pos="1060" w:val="left" w:leader="none"/>
        </w:tabs>
        <w:spacing w:line="240" w:lineRule="auto" w:before="36"/>
        <w:ind w:left="220"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非主营业务导致利润重大变化的说明</w:t>
      </w:r>
      <w:r>
        <w:rPr>
          <w:b w:val="0"/>
          <w:bCs w:val="0"/>
        </w:rPr>
      </w:r>
    </w:p>
    <w:p>
      <w:pPr>
        <w:pStyle w:val="BodyText"/>
        <w:spacing w:line="240" w:lineRule="auto" w:before="58"/>
        <w:ind w:left="220" w:right="0"/>
        <w:jc w:val="left"/>
      </w:pPr>
      <w:r>
        <w:rPr/>
        <w:t>□适用 √不适用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6840" w:h="11910" w:orient="landscape"/>
          <w:pgMar w:top="1320" w:bottom="1400" w:left="1220" w:right="1300"/>
        </w:sectPr>
      </w:pPr>
    </w:p>
    <w:p>
      <w:pPr>
        <w:pStyle w:val="Heading5"/>
        <w:tabs>
          <w:tab w:pos="1060" w:val="left" w:leader="none"/>
        </w:tabs>
        <w:spacing w:line="240" w:lineRule="auto" w:before="36"/>
        <w:ind w:left="220" w:right="-17"/>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pStyle w:val="BodyText"/>
        <w:tabs>
          <w:tab w:pos="1062" w:val="left" w:leader="none"/>
        </w:tabs>
        <w:spacing w:line="240" w:lineRule="auto" w:before="58"/>
        <w:ind w:left="220" w:right="-17"/>
        <w:jc w:val="left"/>
      </w:pPr>
      <w:r>
        <w:rPr/>
        <w:t>√适用</w:t>
        <w:tab/>
        <w:t>□不适用</w:t>
      </w:r>
    </w:p>
    <w:p>
      <w:pPr>
        <w:pStyle w:val="Heading5"/>
        <w:tabs>
          <w:tab w:pos="645" w:val="left" w:leader="none"/>
        </w:tabs>
        <w:spacing w:line="240" w:lineRule="auto" w:before="56"/>
        <w:ind w:left="220" w:right="-17"/>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220" w:right="0"/>
        <w:jc w:val="left"/>
      </w:pPr>
      <w:r>
        <w:rPr/>
        <w:t>单位：千元</w:t>
      </w:r>
    </w:p>
    <w:p>
      <w:pPr>
        <w:spacing w:after="0" w:line="240" w:lineRule="auto"/>
        <w:jc w:val="left"/>
        <w:sectPr>
          <w:type w:val="continuous"/>
          <w:pgSz w:w="16840" w:h="11910" w:orient="landscape"/>
          <w:pgMar w:top="1320" w:bottom="1400" w:left="1220" w:right="1300"/>
          <w:cols w:num="2" w:equalWidth="0">
            <w:col w:w="2962" w:space="9861"/>
            <w:col w:w="1497"/>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156"/>
        <w:gridCol w:w="1765"/>
        <w:gridCol w:w="1543"/>
        <w:gridCol w:w="1985"/>
        <w:gridCol w:w="1548"/>
        <w:gridCol w:w="1767"/>
        <w:gridCol w:w="3327"/>
      </w:tblGrid>
      <w:tr>
        <w:trPr>
          <w:trHeight w:val="829"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5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本期期末数占</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总资产的比例</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上期期末数占</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总资产的比例</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本期期末金额较</w:t>
            </w:r>
          </w:p>
          <w:p>
            <w:pPr>
              <w:pStyle w:val="TableParagraph"/>
              <w:spacing w:line="272" w:lineRule="exact" w:before="27"/>
              <w:ind w:left="508" w:right="142" w:hanging="370"/>
              <w:jc w:val="left"/>
              <w:rPr>
                <w:rFonts w:ascii="宋体" w:hAnsi="宋体" w:cs="宋体" w:eastAsia="宋体" w:hint="default"/>
                <w:sz w:val="21"/>
                <w:szCs w:val="21"/>
              </w:rPr>
            </w:pPr>
            <w:r>
              <w:rPr>
                <w:rFonts w:ascii="宋体" w:hAnsi="宋体" w:cs="宋体" w:eastAsia="宋体" w:hint="default"/>
                <w:sz w:val="21"/>
                <w:szCs w:val="21"/>
              </w:rPr>
              <w:t>上期期末变动比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826"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99" w:right="0"/>
              <w:jc w:val="left"/>
              <w:rPr>
                <w:rFonts w:ascii="宋体" w:hAnsi="宋体" w:cs="宋体" w:eastAsia="宋体" w:hint="default"/>
                <w:sz w:val="21"/>
                <w:szCs w:val="21"/>
              </w:rPr>
            </w:pPr>
            <w:r>
              <w:rPr>
                <w:rFonts w:ascii="宋体"/>
                <w:sz w:val="21"/>
              </w:rPr>
              <w:t>14,976,988</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04" w:right="0"/>
              <w:jc w:val="left"/>
              <w:rPr>
                <w:rFonts w:ascii="宋体" w:hAnsi="宋体" w:cs="宋体" w:eastAsia="宋体" w:hint="default"/>
                <w:sz w:val="21"/>
                <w:szCs w:val="21"/>
              </w:rPr>
            </w:pPr>
            <w:r>
              <w:rPr>
                <w:rFonts w:ascii="宋体"/>
                <w:sz w:val="21"/>
              </w:rPr>
              <w:t>51.03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20" w:right="0"/>
              <w:jc w:val="left"/>
              <w:rPr>
                <w:rFonts w:ascii="宋体" w:hAnsi="宋体" w:cs="宋体" w:eastAsia="宋体" w:hint="default"/>
                <w:sz w:val="21"/>
                <w:szCs w:val="21"/>
              </w:rPr>
            </w:pPr>
            <w:r>
              <w:rPr>
                <w:rFonts w:ascii="宋体"/>
                <w:sz w:val="21"/>
              </w:rPr>
              <w:t>10,012,695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09" w:right="0"/>
              <w:jc w:val="left"/>
              <w:rPr>
                <w:rFonts w:ascii="宋体" w:hAnsi="宋体" w:cs="宋体" w:eastAsia="宋体" w:hint="default"/>
                <w:sz w:val="21"/>
                <w:szCs w:val="21"/>
              </w:rPr>
            </w:pPr>
            <w:r>
              <w:rPr>
                <w:rFonts w:ascii="宋体"/>
                <w:sz w:val="21"/>
              </w:rPr>
              <w:t>47.57</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26" w:right="0"/>
              <w:jc w:val="left"/>
              <w:rPr>
                <w:rFonts w:ascii="宋体" w:hAnsi="宋体" w:cs="宋体" w:eastAsia="宋体" w:hint="default"/>
                <w:sz w:val="21"/>
                <w:szCs w:val="21"/>
              </w:rPr>
            </w:pPr>
            <w:r>
              <w:rPr>
                <w:rFonts w:ascii="宋体"/>
                <w:sz w:val="21"/>
              </w:rPr>
              <w:t>49.58</w:t>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本期增加主要为：</w:t>
            </w:r>
            <w:r>
              <w:rPr>
                <w:rFonts w:ascii="宋体" w:hAnsi="宋体" w:cs="宋体" w:eastAsia="宋体" w:hint="default"/>
                <w:sz w:val="21"/>
                <w:szCs w:val="21"/>
              </w:rPr>
              <w:t>1</w:t>
            </w:r>
            <w:r>
              <w:rPr>
                <w:rFonts w:ascii="宋体" w:hAnsi="宋体" w:cs="宋体" w:eastAsia="宋体" w:hint="default"/>
                <w:sz w:val="21"/>
                <w:szCs w:val="21"/>
              </w:rPr>
              <w:t>）经营活动产</w:t>
            </w:r>
          </w:p>
          <w:p>
            <w:pPr>
              <w:pStyle w:val="TableParagraph"/>
              <w:spacing w:line="240" w:lineRule="auto"/>
              <w:ind w:left="103" w:right="163"/>
              <w:jc w:val="left"/>
              <w:rPr>
                <w:rFonts w:ascii="宋体" w:hAnsi="宋体" w:cs="宋体" w:eastAsia="宋体" w:hint="default"/>
                <w:sz w:val="21"/>
                <w:szCs w:val="21"/>
              </w:rPr>
            </w:pPr>
            <w:r>
              <w:rPr>
                <w:rFonts w:ascii="宋体" w:hAnsi="宋体" w:cs="宋体" w:eastAsia="宋体" w:hint="default"/>
                <w:sz w:val="21"/>
                <w:szCs w:val="21"/>
              </w:rPr>
              <w:t>生现金流量净额</w:t>
            </w:r>
            <w:r>
              <w:rPr>
                <w:rFonts w:ascii="宋体" w:hAnsi="宋体" w:cs="宋体" w:eastAsia="宋体" w:hint="default"/>
                <w:spacing w:val="-54"/>
                <w:sz w:val="21"/>
                <w:szCs w:val="21"/>
              </w:rPr>
              <w:t> </w:t>
            </w:r>
            <w:r>
              <w:rPr>
                <w:rFonts w:ascii="宋体" w:hAnsi="宋体" w:cs="宋体" w:eastAsia="宋体" w:hint="default"/>
                <w:sz w:val="21"/>
                <w:szCs w:val="21"/>
              </w:rPr>
              <w:t>37.48</w:t>
            </w:r>
            <w:r>
              <w:rPr>
                <w:rFonts w:ascii="宋体" w:hAnsi="宋体" w:cs="宋体" w:eastAsia="宋体" w:hint="default"/>
                <w:spacing w:val="-54"/>
                <w:sz w:val="21"/>
                <w:szCs w:val="21"/>
              </w:rPr>
              <w:t> </w:t>
            </w:r>
            <w:r>
              <w:rPr>
                <w:rFonts w:ascii="宋体" w:hAnsi="宋体" w:cs="宋体" w:eastAsia="宋体" w:hint="default"/>
                <w:sz w:val="21"/>
                <w:szCs w:val="21"/>
              </w:rPr>
              <w:t>亿元；</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收到苏州工业园区江南嘉捷机电</w:t>
            </w:r>
          </w:p>
        </w:tc>
      </w:tr>
    </w:tbl>
    <w:p>
      <w:pPr>
        <w:spacing w:after="0" w:line="240" w:lineRule="auto"/>
        <w:jc w:val="left"/>
        <w:rPr>
          <w:rFonts w:ascii="宋体" w:hAnsi="宋体" w:cs="宋体" w:eastAsia="宋体" w:hint="default"/>
          <w:sz w:val="21"/>
          <w:szCs w:val="21"/>
        </w:rPr>
        <w:sectPr>
          <w:type w:val="continuous"/>
          <w:pgSz w:w="16840" w:h="11910" w:orient="landscape"/>
          <w:pgMar w:top="1320" w:bottom="140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07" w:type="dxa"/>
        <w:tblLayout w:type="fixed"/>
        <w:tblCellMar>
          <w:top w:w="0" w:type="dxa"/>
          <w:left w:w="0" w:type="dxa"/>
          <w:bottom w:w="0" w:type="dxa"/>
          <w:right w:w="0" w:type="dxa"/>
        </w:tblCellMar>
        <w:tblLook w:val="01E0"/>
      </w:tblPr>
      <w:tblGrid>
        <w:gridCol w:w="2156"/>
        <w:gridCol w:w="1765"/>
        <w:gridCol w:w="1543"/>
        <w:gridCol w:w="1985"/>
        <w:gridCol w:w="1548"/>
        <w:gridCol w:w="1767"/>
        <w:gridCol w:w="3327"/>
      </w:tblGrid>
      <w:tr>
        <w:trPr>
          <w:trHeight w:val="826"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65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本期期末数占</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总资产的比例</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上期期末数占</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总资产的比例</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本期期末金额较</w:t>
            </w:r>
          </w:p>
          <w:p>
            <w:pPr>
              <w:pStyle w:val="TableParagraph"/>
              <w:spacing w:line="240" w:lineRule="auto"/>
              <w:ind w:left="508" w:right="142" w:hanging="370"/>
              <w:jc w:val="left"/>
              <w:rPr>
                <w:rFonts w:ascii="宋体" w:hAnsi="宋体" w:cs="宋体" w:eastAsia="宋体" w:hint="default"/>
                <w:sz w:val="21"/>
                <w:szCs w:val="21"/>
              </w:rPr>
            </w:pPr>
            <w:r>
              <w:rPr>
                <w:rFonts w:ascii="宋体" w:hAnsi="宋体" w:cs="宋体" w:eastAsia="宋体" w:hint="default"/>
                <w:sz w:val="21"/>
                <w:szCs w:val="21"/>
              </w:rPr>
              <w:t>上期期末变动比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554" w:hRule="exact"/>
        </w:trPr>
        <w:tc>
          <w:tcPr>
            <w:tcW w:w="2156"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single" w:sz="4" w:space="0" w:color="000000"/>
            </w:tcBorders>
          </w:tcPr>
          <w:p>
            <w:pP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科技有限公司支付的</w:t>
            </w:r>
            <w:r>
              <w:rPr>
                <w:rFonts w:ascii="宋体" w:hAnsi="宋体" w:cs="宋体" w:eastAsia="宋体" w:hint="default"/>
                <w:spacing w:val="-74"/>
                <w:sz w:val="21"/>
                <w:szCs w:val="21"/>
              </w:rPr>
              <w:t> </w:t>
            </w:r>
            <w:r>
              <w:rPr>
                <w:rFonts w:ascii="宋体" w:hAnsi="宋体" w:cs="宋体" w:eastAsia="宋体" w:hint="default"/>
                <w:sz w:val="21"/>
                <w:szCs w:val="21"/>
              </w:rPr>
              <w:t>16.90</w:t>
            </w:r>
            <w:r>
              <w:rPr>
                <w:rFonts w:ascii="宋体" w:hAnsi="宋体" w:cs="宋体" w:eastAsia="宋体" w:hint="default"/>
                <w:spacing w:val="-70"/>
                <w:sz w:val="21"/>
                <w:szCs w:val="21"/>
              </w:rPr>
              <w:t> </w:t>
            </w:r>
            <w:r>
              <w:rPr>
                <w:rFonts w:ascii="宋体" w:hAnsi="宋体" w:cs="宋体" w:eastAsia="宋体" w:hint="default"/>
                <w:sz w:val="21"/>
                <w:szCs w:val="21"/>
              </w:rPr>
              <w:t>亿元股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权转让对价款。</w:t>
            </w:r>
          </w:p>
        </w:tc>
      </w:tr>
      <w:tr>
        <w:trPr>
          <w:trHeight w:val="829"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517,343</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1.76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128,344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0.61</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303.09</w:t>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本期增加主要为：</w:t>
            </w:r>
            <w:r>
              <w:rPr>
                <w:rFonts w:ascii="宋体" w:hAnsi="宋体" w:cs="宋体" w:eastAsia="宋体" w:hint="default"/>
                <w:sz w:val="21"/>
                <w:szCs w:val="21"/>
              </w:rPr>
              <w:t>1</w:t>
            </w:r>
            <w:r>
              <w:rPr>
                <w:rFonts w:ascii="宋体" w:hAnsi="宋体" w:cs="宋体" w:eastAsia="宋体" w:hint="default"/>
                <w:sz w:val="21"/>
                <w:szCs w:val="21"/>
              </w:rPr>
              <w:t>）应收定期存</w:t>
            </w:r>
          </w:p>
          <w:p>
            <w:pPr>
              <w:pStyle w:val="TableParagraph"/>
              <w:spacing w:line="240" w:lineRule="auto"/>
              <w:ind w:left="103" w:right="163"/>
              <w:jc w:val="left"/>
              <w:rPr>
                <w:rFonts w:ascii="宋体" w:hAnsi="宋体" w:cs="宋体" w:eastAsia="宋体" w:hint="default"/>
                <w:sz w:val="21"/>
                <w:szCs w:val="21"/>
              </w:rPr>
            </w:pPr>
            <w:r>
              <w:rPr>
                <w:rFonts w:ascii="宋体" w:hAnsi="宋体" w:cs="宋体" w:eastAsia="宋体" w:hint="default"/>
                <w:spacing w:val="-2"/>
                <w:sz w:val="21"/>
                <w:szCs w:val="21"/>
              </w:rPr>
              <w:t>款利息增加；</w:t>
            </w:r>
            <w:r>
              <w:rPr>
                <w:rFonts w:ascii="宋体" w:hAnsi="宋体" w:cs="宋体" w:eastAsia="宋体" w:hint="default"/>
                <w:spacing w:val="-2"/>
                <w:sz w:val="21"/>
                <w:szCs w:val="21"/>
              </w:rPr>
              <w:t>2</w:t>
            </w:r>
            <w:r>
              <w:rPr>
                <w:rFonts w:ascii="宋体" w:hAnsi="宋体" w:cs="宋体" w:eastAsia="宋体" w:hint="default"/>
                <w:spacing w:val="-2"/>
                <w:sz w:val="21"/>
                <w:szCs w:val="21"/>
              </w:rPr>
              <w:t>）应收投资处置款</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增加；</w:t>
            </w:r>
            <w:r>
              <w:rPr>
                <w:rFonts w:ascii="宋体" w:hAnsi="宋体" w:cs="宋体" w:eastAsia="宋体" w:hint="default"/>
                <w:spacing w:val="-2"/>
                <w:sz w:val="21"/>
                <w:szCs w:val="21"/>
              </w:rPr>
              <w:t>3</w:t>
            </w:r>
            <w:r>
              <w:rPr>
                <w:rFonts w:ascii="宋体" w:hAnsi="宋体" w:cs="宋体" w:eastAsia="宋体" w:hint="default"/>
                <w:spacing w:val="-2"/>
                <w:sz w:val="21"/>
                <w:szCs w:val="21"/>
              </w:rPr>
              <w:t>）应收项目保证金增加。</w:t>
            </w:r>
          </w:p>
        </w:tc>
      </w:tr>
      <w:tr>
        <w:trPr>
          <w:trHeight w:val="55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一年内到期的其他非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18,934</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0.06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36,000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0.17</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(47.41)</w:t>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本期减少主要为关联方借款减少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所致。</w:t>
            </w:r>
          </w:p>
        </w:tc>
      </w:tr>
      <w:tr>
        <w:trPr>
          <w:trHeight w:val="55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3,787,525</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12.91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1,349,897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6.41</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180.58</w:t>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本期增加主要为投资的部分股票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公允价值增加所致</w:t>
            </w:r>
          </w:p>
        </w:tc>
      </w:tr>
      <w:tr>
        <w:trPr>
          <w:trHeight w:val="55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482,359</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1.64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355,980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1.69</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35.50</w:t>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本期增加主要为购买电子设备所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致</w:t>
            </w:r>
          </w:p>
        </w:tc>
      </w:tr>
      <w:tr>
        <w:trPr>
          <w:trHeight w:val="828"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237,189</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0.81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119,080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0.57</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99.18</w:t>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本期增加主要原因为天津华苑产</w:t>
            </w:r>
          </w:p>
          <w:p>
            <w:pPr>
              <w:pStyle w:val="TableParagraph"/>
              <w:spacing w:line="240" w:lineRule="auto"/>
              <w:ind w:left="103" w:right="266"/>
              <w:jc w:val="left"/>
              <w:rPr>
                <w:rFonts w:ascii="宋体" w:hAnsi="宋体" w:cs="宋体" w:eastAsia="宋体" w:hint="default"/>
                <w:sz w:val="21"/>
                <w:szCs w:val="21"/>
              </w:rPr>
            </w:pPr>
            <w:r>
              <w:rPr>
                <w:rFonts w:ascii="宋体" w:hAnsi="宋体" w:cs="宋体" w:eastAsia="宋体" w:hint="default"/>
                <w:spacing w:val="-2"/>
                <w:sz w:val="21"/>
                <w:szCs w:val="21"/>
              </w:rPr>
              <w:t>业园创新开放平台项目建设投入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增加所致</w:t>
            </w:r>
          </w:p>
        </w:tc>
      </w:tr>
      <w:tr>
        <w:trPr>
          <w:trHeight w:val="55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26,483</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0.09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64,643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0.31</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(59.03)</w:t>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本期减少主要为因亏损计提的递</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延所得税资产减少所致</w:t>
            </w:r>
          </w:p>
        </w:tc>
      </w:tr>
      <w:tr>
        <w:trPr>
          <w:trHeight w:val="28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265,010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0.90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21,624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1,125.54</w:t>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本期增加主要为预付投资款增加</w:t>
            </w:r>
          </w:p>
        </w:tc>
      </w:tr>
      <w:tr>
        <w:trPr>
          <w:trHeight w:val="55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742,300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2.53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410,668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1.95</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80.75</w:t>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本期增加主要原因为员工工资和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奖金增加</w:t>
            </w:r>
          </w:p>
        </w:tc>
      </w:tr>
      <w:tr>
        <w:trPr>
          <w:trHeight w:val="28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172,065</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312,823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1.49</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(45.00)</w:t>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本期主要为应交所得税的减少</w:t>
            </w:r>
          </w:p>
        </w:tc>
      </w:tr>
      <w:tr>
        <w:trPr>
          <w:trHeight w:val="55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z w:val="21"/>
              </w:rPr>
              <w:t>17,996</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0.06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z w:val="21"/>
              </w:rPr>
              <w:t>13,691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0.07</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31.44</w:t>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本期增加主要原因为一年内到期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的政府补助较上期增加</w:t>
            </w:r>
          </w:p>
        </w:tc>
      </w:tr>
      <w:tr>
        <w:trPr>
          <w:trHeight w:val="55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z w:val="21"/>
              </w:rPr>
              <w:t>3,618</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0.01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1,551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0.01</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133.27</w:t>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本期增加主要原因为待转销税额</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p>
        </w:tc>
      </w:tr>
      <w:tr>
        <w:trPr>
          <w:trHeight w:val="55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10,975</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0.04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19,206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0.09</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(42.86)</w:t>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本期减少主要为一年内到期部分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重分类导致</w:t>
            </w:r>
          </w:p>
        </w:tc>
      </w:tr>
      <w:tr>
        <w:trPr>
          <w:trHeight w:val="55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16,926</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0.06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9,781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0.05</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73.05</w:t>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本期增加主要为应纳税暂时性差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异增加，导致递延所得税负债增加</w:t>
            </w:r>
          </w:p>
        </w:tc>
      </w:tr>
    </w:tbl>
    <w:p>
      <w:pPr>
        <w:spacing w:after="0" w:line="274" w:lineRule="exact"/>
        <w:jc w:val="left"/>
        <w:rPr>
          <w:rFonts w:ascii="宋体" w:hAnsi="宋体" w:cs="宋体" w:eastAsia="宋体" w:hint="default"/>
          <w:sz w:val="21"/>
          <w:szCs w:val="21"/>
        </w:rPr>
        <w:sectPr>
          <w:pgSz w:w="16840" w:h="11910" w:orient="landscape"/>
          <w:pgMar w:header="857" w:footer="1218" w:top="1320" w:bottom="140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07" w:type="dxa"/>
        <w:tblLayout w:type="fixed"/>
        <w:tblCellMar>
          <w:top w:w="0" w:type="dxa"/>
          <w:left w:w="0" w:type="dxa"/>
          <w:bottom w:w="0" w:type="dxa"/>
          <w:right w:w="0" w:type="dxa"/>
        </w:tblCellMar>
        <w:tblLook w:val="01E0"/>
      </w:tblPr>
      <w:tblGrid>
        <w:gridCol w:w="2156"/>
        <w:gridCol w:w="1765"/>
        <w:gridCol w:w="1543"/>
        <w:gridCol w:w="1985"/>
        <w:gridCol w:w="1548"/>
        <w:gridCol w:w="1767"/>
        <w:gridCol w:w="3327"/>
      </w:tblGrid>
      <w:tr>
        <w:trPr>
          <w:trHeight w:val="826"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65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本期期末数占</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总资产的比例</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上期期末数占</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总资产的比例</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本期期末金额较</w:t>
            </w:r>
          </w:p>
          <w:p>
            <w:pPr>
              <w:pStyle w:val="TableParagraph"/>
              <w:spacing w:line="240" w:lineRule="auto"/>
              <w:ind w:left="508" w:right="142" w:hanging="370"/>
              <w:jc w:val="left"/>
              <w:rPr>
                <w:rFonts w:ascii="宋体" w:hAnsi="宋体" w:cs="宋体" w:eastAsia="宋体" w:hint="default"/>
                <w:sz w:val="21"/>
                <w:szCs w:val="21"/>
              </w:rPr>
            </w:pPr>
            <w:r>
              <w:rPr>
                <w:rFonts w:ascii="宋体" w:hAnsi="宋体" w:cs="宋体" w:eastAsia="宋体" w:hint="default"/>
                <w:sz w:val="21"/>
                <w:szCs w:val="21"/>
              </w:rPr>
              <w:t>上期期末变动比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557"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24"/>
                <w:szCs w:val="24"/>
              </w:rPr>
            </w:pPr>
            <w:r>
              <w:rPr>
                <w:rFonts w:ascii="宋体"/>
                <w:sz w:val="24"/>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37" w:right="0"/>
              <w:jc w:val="left"/>
              <w:rPr>
                <w:rFonts w:ascii="宋体" w:hAnsi="宋体" w:cs="宋体" w:eastAsia="宋体" w:hint="default"/>
                <w:sz w:val="21"/>
                <w:szCs w:val="21"/>
              </w:rPr>
            </w:pPr>
            <w:r>
              <w:rPr>
                <w:rFonts w:ascii="宋体"/>
                <w:sz w:val="21"/>
              </w:rPr>
              <w:t>207,149</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5" w:right="0"/>
              <w:jc w:val="left"/>
              <w:rPr>
                <w:rFonts w:ascii="宋体" w:hAnsi="宋体" w:cs="宋体" w:eastAsia="宋体" w:hint="default"/>
                <w:sz w:val="21"/>
                <w:szCs w:val="21"/>
              </w:rPr>
            </w:pPr>
            <w:r>
              <w:rPr>
                <w:rFonts w:ascii="宋体"/>
                <w:sz w:val="21"/>
              </w:rPr>
              <w:t>0.98</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11" w:right="0"/>
              <w:jc w:val="left"/>
              <w:rPr>
                <w:rFonts w:ascii="宋体" w:hAnsi="宋体" w:cs="宋体" w:eastAsia="宋体" w:hint="default"/>
                <w:sz w:val="21"/>
                <w:szCs w:val="21"/>
              </w:rPr>
            </w:pPr>
            <w:r>
              <w:rPr>
                <w:rFonts w:ascii="宋体"/>
                <w:sz w:val="21"/>
              </w:rPr>
              <w:t>(100.00)</w:t>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本期减少主要为实际支付少数股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东股权回购款。</w:t>
            </w:r>
          </w:p>
        </w:tc>
      </w:tr>
    </w:tbl>
    <w:p>
      <w:pPr>
        <w:spacing w:line="240" w:lineRule="auto" w:before="9"/>
        <w:rPr>
          <w:rFonts w:ascii="Times New Roman" w:hAnsi="Times New Roman" w:cs="Times New Roman" w:eastAsia="Times New Roman" w:hint="default"/>
          <w:sz w:val="20"/>
          <w:szCs w:val="20"/>
        </w:rPr>
      </w:pPr>
    </w:p>
    <w:p>
      <w:pPr>
        <w:pStyle w:val="BodyText"/>
        <w:spacing w:line="275" w:lineRule="exact" w:before="36"/>
        <w:ind w:left="220" w:right="0"/>
        <w:jc w:val="left"/>
      </w:pPr>
      <w:r>
        <w:rPr/>
        <w:t>其他说明</w:t>
      </w:r>
    </w:p>
    <w:p>
      <w:pPr>
        <w:pStyle w:val="BodyText"/>
        <w:spacing w:line="275" w:lineRule="exact"/>
        <w:ind w:left="640" w:right="0"/>
        <w:jc w:val="left"/>
      </w:pPr>
      <w:r>
        <w:rPr/>
        <w:t>无。</w:t>
      </w:r>
    </w:p>
    <w:p>
      <w:pPr>
        <w:spacing w:after="0" w:line="275" w:lineRule="exact"/>
        <w:jc w:val="left"/>
        <w:sectPr>
          <w:pgSz w:w="16840" w:h="11910" w:orient="landscape"/>
          <w:pgMar w:header="857" w:footer="1218" w:top="1320" w:bottom="1400" w:left="1220" w:right="13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5"/>
        <w:tabs>
          <w:tab w:pos="642" w:val="left" w:leader="none"/>
        </w:tabs>
        <w:spacing w:line="240" w:lineRule="auto" w:before="36"/>
        <w:ind w:right="234"/>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tabs>
          <w:tab w:pos="1060" w:val="left" w:leader="none"/>
        </w:tabs>
        <w:spacing w:line="240" w:lineRule="auto" w:before="56"/>
        <w:ind w:left="638" w:right="7383" w:hanging="420"/>
        <w:jc w:val="left"/>
      </w:pPr>
      <w:r>
        <w:rPr>
          <w:spacing w:val="-1"/>
        </w:rPr>
        <w:t>√适用</w:t>
        <w:tab/>
      </w:r>
      <w:r>
        <w:rPr>
          <w:spacing w:val="-2"/>
        </w:rPr>
        <w:t>□不适用</w:t>
      </w:r>
      <w:r>
        <w:rPr>
          <w:spacing w:val="-99"/>
        </w:rPr>
        <w:t> </w:t>
      </w:r>
      <w:r>
        <w:rPr>
          <w:spacing w:val="-99"/>
        </w:rPr>
      </w:r>
      <w:r>
        <w:rPr>
          <w:spacing w:val="-1"/>
        </w:rPr>
        <w:t>详见下表说明</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262"/>
        <w:gridCol w:w="2765"/>
        <w:gridCol w:w="5022"/>
      </w:tblGrid>
      <w:tr>
        <w:trPr>
          <w:trHeight w:val="305" w:hRule="exact"/>
        </w:trPr>
        <w:tc>
          <w:tcPr>
            <w:tcW w:w="126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41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76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21" w:right="0"/>
              <w:jc w:val="left"/>
              <w:rPr>
                <w:rFonts w:ascii="宋体" w:hAnsi="宋体" w:cs="宋体" w:eastAsia="宋体" w:hint="default"/>
                <w:sz w:val="21"/>
                <w:szCs w:val="21"/>
              </w:rPr>
            </w:pPr>
            <w:r>
              <w:rPr>
                <w:rFonts w:ascii="宋体" w:hAnsi="宋体" w:cs="宋体" w:eastAsia="宋体" w:hint="default"/>
                <w:sz w:val="21"/>
                <w:szCs w:val="21"/>
              </w:rPr>
              <w:t>期末账面价值（千元）</w:t>
            </w:r>
          </w:p>
        </w:tc>
        <w:tc>
          <w:tcPr>
            <w:tcW w:w="502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545" w:hRule="exact"/>
        </w:trPr>
        <w:tc>
          <w:tcPr>
            <w:tcW w:w="1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9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7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3"/>
              <w:jc w:val="right"/>
              <w:rPr>
                <w:rFonts w:ascii="宋体" w:hAnsi="宋体" w:cs="宋体" w:eastAsia="宋体" w:hint="default"/>
                <w:sz w:val="21"/>
                <w:szCs w:val="21"/>
              </w:rPr>
            </w:pPr>
            <w:r>
              <w:rPr>
                <w:rFonts w:ascii="宋体"/>
                <w:spacing w:val="-1"/>
                <w:sz w:val="21"/>
              </w:rPr>
              <w:t>128,724</w:t>
            </w:r>
          </w:p>
        </w:tc>
        <w:tc>
          <w:tcPr>
            <w:tcW w:w="5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98" w:right="0"/>
              <w:jc w:val="left"/>
              <w:rPr>
                <w:rFonts w:ascii="宋体" w:hAnsi="宋体" w:cs="宋体" w:eastAsia="宋体" w:hint="default"/>
                <w:sz w:val="21"/>
                <w:szCs w:val="21"/>
              </w:rPr>
            </w:pPr>
            <w:r>
              <w:rPr>
                <w:rFonts w:ascii="宋体" w:hAnsi="宋体" w:cs="宋体" w:eastAsia="宋体" w:hint="default"/>
                <w:sz w:val="21"/>
                <w:szCs w:val="21"/>
              </w:rPr>
              <w:t>主要为签订项目履约保函而存入银行保证金账户</w:t>
            </w:r>
          </w:p>
        </w:tc>
      </w:tr>
      <w:tr>
        <w:trPr>
          <w:trHeight w:val="307" w:hRule="exact"/>
        </w:trPr>
        <w:tc>
          <w:tcPr>
            <w:tcW w:w="126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6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3"/>
              <w:jc w:val="right"/>
              <w:rPr>
                <w:rFonts w:ascii="宋体" w:hAnsi="宋体" w:cs="宋体" w:eastAsia="宋体" w:hint="default"/>
                <w:sz w:val="21"/>
                <w:szCs w:val="21"/>
              </w:rPr>
            </w:pPr>
            <w:r>
              <w:rPr>
                <w:rFonts w:ascii="宋体"/>
                <w:spacing w:val="-1"/>
                <w:sz w:val="21"/>
              </w:rPr>
              <w:t>128,724</w:t>
            </w:r>
          </w:p>
        </w:tc>
        <w:tc>
          <w:tcPr>
            <w:tcW w:w="5022"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12"/>
        <w:rPr>
          <w:rFonts w:ascii="宋体" w:hAnsi="宋体" w:cs="宋体" w:eastAsia="宋体" w:hint="default"/>
          <w:sz w:val="19"/>
          <w:szCs w:val="19"/>
        </w:rPr>
      </w:pPr>
    </w:p>
    <w:p>
      <w:pPr>
        <w:pStyle w:val="Heading5"/>
        <w:tabs>
          <w:tab w:pos="642" w:val="left" w:leader="none"/>
        </w:tabs>
        <w:spacing w:line="240" w:lineRule="auto" w:before="36"/>
        <w:ind w:right="234"/>
        <w:jc w:val="left"/>
        <w:rPr>
          <w:b w:val="0"/>
          <w:bCs w:val="0"/>
        </w:rPr>
      </w:pPr>
      <w:r>
        <w:rPr>
          <w:rFonts w:ascii="宋体" w:hAnsi="宋体" w:cs="宋体" w:eastAsia="宋体" w:hint="default"/>
          <w:w w:val="95"/>
        </w:rPr>
        <w:t>3.</w:t>
        <w:tab/>
      </w:r>
      <w:r>
        <w:rPr/>
        <w:t>其他说明</w:t>
      </w:r>
      <w:r>
        <w:rPr>
          <w:b w:val="0"/>
          <w:bCs w:val="0"/>
        </w:rPr>
      </w:r>
    </w:p>
    <w:p>
      <w:pPr>
        <w:pStyle w:val="BodyText"/>
        <w:tabs>
          <w:tab w:pos="1060" w:val="left" w:leader="none"/>
        </w:tabs>
        <w:spacing w:line="240" w:lineRule="auto" w:before="59"/>
        <w:ind w:left="218" w:right="234"/>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tabs>
          <w:tab w:pos="1057" w:val="left" w:leader="none"/>
        </w:tabs>
        <w:spacing w:line="240" w:lineRule="auto"/>
        <w:ind w:right="234"/>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tabs>
          <w:tab w:pos="1060" w:val="left" w:leader="none"/>
        </w:tabs>
        <w:spacing w:line="240" w:lineRule="auto" w:before="56"/>
        <w:ind w:left="218" w:right="234"/>
        <w:jc w:val="left"/>
      </w:pPr>
      <w:r>
        <w:rPr>
          <w:spacing w:val="-1"/>
        </w:rPr>
        <w:t>□适用</w:t>
        <w:tab/>
      </w:r>
      <w:r>
        <w:rPr>
          <w:spacing w:val="-2"/>
        </w:rPr>
        <w:t>√不适用</w:t>
      </w:r>
    </w:p>
    <w:p>
      <w:pPr>
        <w:spacing w:line="240" w:lineRule="auto" w:before="2"/>
        <w:rPr>
          <w:rFonts w:ascii="宋体" w:hAnsi="宋体" w:cs="宋体" w:eastAsia="宋体" w:hint="default"/>
          <w:sz w:val="28"/>
          <w:szCs w:val="28"/>
        </w:rPr>
      </w:pPr>
    </w:p>
    <w:p>
      <w:pPr>
        <w:pStyle w:val="Heading5"/>
        <w:tabs>
          <w:tab w:pos="1057" w:val="left" w:leader="none"/>
        </w:tabs>
        <w:spacing w:line="240" w:lineRule="auto"/>
        <w:ind w:right="234"/>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5"/>
        <w:spacing w:line="240" w:lineRule="auto" w:before="58"/>
        <w:ind w:right="234"/>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74" w:lineRule="exact" w:before="56"/>
        <w:ind w:left="218" w:right="234"/>
        <w:jc w:val="left"/>
      </w:pPr>
      <w:r>
        <w:rPr/>
        <w:t>√适用</w:t>
      </w:r>
      <w:r>
        <w:rPr>
          <w:spacing w:val="-1"/>
        </w:rPr>
        <w:t> </w:t>
      </w:r>
      <w:r>
        <w:rPr/>
        <w:t>□不适用</w:t>
      </w:r>
    </w:p>
    <w:p>
      <w:pPr>
        <w:pStyle w:val="BodyText"/>
        <w:spacing w:line="357" w:lineRule="auto"/>
        <w:ind w:left="638" w:right="228" w:firstLine="480"/>
        <w:jc w:val="both"/>
      </w:pPr>
      <w:r>
        <w:rPr/>
        <w:t>本集团长期股权投资期末余额为</w:t>
      </w:r>
      <w:r>
        <w:rPr>
          <w:spacing w:val="-42"/>
        </w:rPr>
        <w:t> </w:t>
      </w:r>
      <w:r>
        <w:rPr>
          <w:rFonts w:ascii="宋体" w:hAnsi="宋体" w:cs="宋体" w:eastAsia="宋体" w:hint="default"/>
        </w:rPr>
        <w:t>442,681</w:t>
      </w:r>
      <w:r>
        <w:rPr>
          <w:rFonts w:ascii="宋体" w:hAnsi="宋体" w:cs="宋体" w:eastAsia="宋体" w:hint="default"/>
          <w:spacing w:val="-44"/>
        </w:rPr>
        <w:t> </w:t>
      </w:r>
      <w:r>
        <w:rPr>
          <w:spacing w:val="-9"/>
        </w:rPr>
        <w:t>万元，占总资产</w:t>
      </w:r>
      <w:r>
        <w:rPr>
          <w:spacing w:val="-42"/>
        </w:rPr>
        <w:t> </w:t>
      </w:r>
      <w:r>
        <w:rPr>
          <w:rFonts w:ascii="宋体" w:hAnsi="宋体" w:cs="宋体" w:eastAsia="宋体" w:hint="default"/>
          <w:spacing w:val="-5"/>
        </w:rPr>
        <w:t>15.08%</w:t>
      </w:r>
      <w:r>
        <w:rPr>
          <w:spacing w:val="-5"/>
        </w:rPr>
        <w:t>，与上年年末相比减少</w:t>
      </w:r>
      <w:r>
        <w:rPr>
          <w:w w:val="100"/>
        </w:rPr>
        <w:t> </w:t>
      </w:r>
      <w:r>
        <w:rPr>
          <w:rFonts w:ascii="宋体" w:hAnsi="宋体" w:cs="宋体" w:eastAsia="宋体" w:hint="default"/>
        </w:rPr>
        <w:t>421</w:t>
      </w:r>
      <w:r>
        <w:rPr>
          <w:rFonts w:ascii="宋体" w:hAnsi="宋体" w:cs="宋体" w:eastAsia="宋体" w:hint="default"/>
          <w:spacing w:val="-55"/>
        </w:rPr>
        <w:t> </w:t>
      </w:r>
      <w:r>
        <w:rPr/>
        <w:t>万元，变动幅度为</w:t>
      </w:r>
      <w:r>
        <w:rPr>
          <w:rFonts w:ascii="宋体" w:hAnsi="宋体" w:cs="宋体" w:eastAsia="宋体" w:hint="default"/>
        </w:rPr>
        <w:t>-0.10%</w:t>
      </w:r>
      <w:r>
        <w:rPr/>
        <w:t>。本集团可供出售金融资产期末余额为</w:t>
      </w:r>
      <w:r>
        <w:rPr>
          <w:spacing w:val="-55"/>
        </w:rPr>
        <w:t> </w:t>
      </w:r>
      <w:r>
        <w:rPr>
          <w:rFonts w:ascii="宋体" w:hAnsi="宋体" w:cs="宋体" w:eastAsia="宋体" w:hint="default"/>
        </w:rPr>
        <w:t>378,753</w:t>
      </w:r>
      <w:r>
        <w:rPr>
          <w:rFonts w:ascii="宋体" w:hAnsi="宋体" w:cs="宋体" w:eastAsia="宋体" w:hint="default"/>
          <w:spacing w:val="-57"/>
        </w:rPr>
        <w:t> </w:t>
      </w:r>
      <w:r>
        <w:rPr/>
        <w:t>万元，占总资</w:t>
      </w:r>
      <w:r>
        <w:rPr>
          <w:w w:val="100"/>
        </w:rPr>
        <w:t> </w:t>
      </w:r>
      <w:r>
        <w:rPr/>
        <w:t>产</w:t>
      </w:r>
      <w:r>
        <w:rPr>
          <w:spacing w:val="-55"/>
        </w:rPr>
        <w:t> </w:t>
      </w:r>
      <w:r>
        <w:rPr>
          <w:rFonts w:ascii="宋体" w:hAnsi="宋体" w:cs="宋体" w:eastAsia="宋体" w:hint="default"/>
        </w:rPr>
        <w:t>12.91%</w:t>
      </w:r>
      <w:r>
        <w:rPr/>
        <w:t>，与上年年末相比增加</w:t>
      </w:r>
      <w:r>
        <w:rPr>
          <w:spacing w:val="-54"/>
        </w:rPr>
        <w:t> </w:t>
      </w:r>
      <w:r>
        <w:rPr>
          <w:rFonts w:ascii="宋体" w:hAnsi="宋体" w:cs="宋体" w:eastAsia="宋体" w:hint="default"/>
        </w:rPr>
        <w:t>243,763</w:t>
      </w:r>
      <w:r>
        <w:rPr>
          <w:rFonts w:ascii="宋体" w:hAnsi="宋体" w:cs="宋体" w:eastAsia="宋体" w:hint="default"/>
          <w:spacing w:val="-57"/>
        </w:rPr>
        <w:t> </w:t>
      </w:r>
      <w:r>
        <w:rPr/>
        <w:t>万元，变动幅度为</w:t>
      </w:r>
      <w:r>
        <w:rPr>
          <w:spacing w:val="-55"/>
        </w:rPr>
        <w:t> </w:t>
      </w:r>
      <w:r>
        <w:rPr>
          <w:rFonts w:ascii="宋体" w:hAnsi="宋体" w:cs="宋体" w:eastAsia="宋体" w:hint="default"/>
        </w:rPr>
        <w:t>180.58%</w:t>
      </w:r>
      <w:r>
        <w:rPr/>
        <w:t>。本集团在互联网领域</w:t>
      </w:r>
      <w:r>
        <w:rPr>
          <w:w w:val="100"/>
        </w:rPr>
        <w:t> </w:t>
      </w:r>
      <w:r>
        <w:rPr>
          <w:spacing w:val="-4"/>
        </w:rPr>
        <w:t>进行投资布局，投资活动频繁。报告期内，公司对外股权投资的具体情况详见</w:t>
      </w:r>
      <w:r>
        <w:rPr>
          <w:color w:val="1F487C"/>
          <w:spacing w:val="-4"/>
        </w:rPr>
        <w:t>“</w:t>
      </w:r>
      <w:r>
        <w:rPr>
          <w:spacing w:val="-4"/>
        </w:rPr>
        <w:t>第十一节</w:t>
      </w:r>
      <w:r>
        <w:rPr>
          <w:spacing w:val="48"/>
        </w:rPr>
        <w:t> </w:t>
      </w:r>
      <w:r>
        <w:rPr/>
        <w:t>财</w:t>
      </w:r>
      <w:r>
        <w:rPr>
          <w:spacing w:val="-97"/>
        </w:rPr>
        <w:t> </w:t>
      </w:r>
      <w:r>
        <w:rPr>
          <w:spacing w:val="-97"/>
        </w:rPr>
      </w:r>
      <w:r>
        <w:rPr>
          <w:spacing w:val="-10"/>
        </w:rPr>
        <w:t>务报告</w:t>
      </w:r>
      <w:r>
        <w:rPr>
          <w:color w:val="1F487C"/>
          <w:spacing w:val="-10"/>
        </w:rPr>
        <w:t>”</w:t>
      </w:r>
      <w:r>
        <w:rPr>
          <w:spacing w:val="-10"/>
        </w:rPr>
        <w:t>之</w:t>
      </w:r>
      <w:r>
        <w:rPr>
          <w:color w:val="1F487C"/>
          <w:spacing w:val="-10"/>
        </w:rPr>
        <w:t>“</w:t>
      </w:r>
      <w:r>
        <w:rPr>
          <w:spacing w:val="-10"/>
        </w:rPr>
        <w:t>七</w:t>
      </w:r>
      <w:r>
        <w:rPr>
          <w:spacing w:val="59"/>
        </w:rPr>
        <w:t> </w:t>
      </w:r>
      <w:r>
        <w:rPr>
          <w:spacing w:val="-3"/>
        </w:rPr>
        <w:t>合并财务报表项目注释</w:t>
      </w:r>
      <w:r>
        <w:rPr>
          <w:color w:val="1F487C"/>
          <w:spacing w:val="-3"/>
        </w:rPr>
        <w:t>”</w:t>
      </w:r>
      <w:r>
        <w:rPr>
          <w:spacing w:val="-3"/>
        </w:rPr>
        <w:t>中关于长期股权投资和可供出售金融资产的相关内</w:t>
      </w:r>
      <w:r>
        <w:rPr>
          <w:spacing w:val="-95"/>
        </w:rPr>
        <w:t> </w:t>
      </w:r>
      <w:r>
        <w:rPr>
          <w:spacing w:val="-95"/>
        </w:rPr>
      </w:r>
      <w:r>
        <w:rPr/>
        <w:t>容。</w:t>
      </w:r>
    </w:p>
    <w:p>
      <w:pPr>
        <w:spacing w:line="240" w:lineRule="auto" w:before="0"/>
        <w:rPr>
          <w:rFonts w:ascii="宋体" w:hAnsi="宋体" w:cs="宋体" w:eastAsia="宋体" w:hint="default"/>
          <w:sz w:val="20"/>
          <w:szCs w:val="20"/>
        </w:rPr>
      </w:pPr>
    </w:p>
    <w:p>
      <w:pPr>
        <w:pStyle w:val="Heading5"/>
        <w:spacing w:line="240" w:lineRule="auto" w:before="140"/>
        <w:ind w:right="234"/>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1060" w:val="left" w:leader="none"/>
        </w:tabs>
        <w:spacing w:line="240" w:lineRule="auto" w:before="56"/>
        <w:ind w:left="218" w:right="234"/>
        <w:jc w:val="left"/>
      </w:pPr>
      <w:r>
        <w:rPr>
          <w:spacing w:val="-1"/>
        </w:rPr>
        <w:t>□适用</w:t>
        <w:tab/>
      </w:r>
      <w:r>
        <w:rPr>
          <w:spacing w:val="-2"/>
        </w:rPr>
        <w:t>√不适用</w:t>
      </w:r>
    </w:p>
    <w:p>
      <w:pPr>
        <w:spacing w:line="240" w:lineRule="auto" w:before="2"/>
        <w:rPr>
          <w:rFonts w:ascii="宋体" w:hAnsi="宋体" w:cs="宋体" w:eastAsia="宋体" w:hint="default"/>
          <w:sz w:val="28"/>
          <w:szCs w:val="28"/>
        </w:rPr>
      </w:pPr>
    </w:p>
    <w:p>
      <w:pPr>
        <w:pStyle w:val="Heading5"/>
        <w:spacing w:line="240" w:lineRule="auto"/>
        <w:ind w:right="234"/>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1060" w:val="left" w:leader="none"/>
        </w:tabs>
        <w:spacing w:line="240" w:lineRule="auto" w:before="59"/>
        <w:ind w:left="218" w:right="234"/>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44"/>
        <w:ind w:left="0" w:right="15" w:firstLine="0"/>
        <w:jc w:val="center"/>
        <w:rPr>
          <w:rFonts w:ascii="宋体" w:hAnsi="宋体" w:cs="宋体" w:eastAsia="宋体" w:hint="default"/>
          <w:sz w:val="18"/>
          <w:szCs w:val="18"/>
        </w:rPr>
      </w:pPr>
      <w:r>
        <w:rPr>
          <w:rFonts w:ascii="宋体"/>
          <w:b/>
          <w:sz w:val="18"/>
        </w:rPr>
        <w:t>29 </w:t>
      </w:r>
      <w:r>
        <w:rPr>
          <w:rFonts w:ascii="宋体"/>
          <w:sz w:val="18"/>
        </w:rPr>
        <w:t>/</w:t>
      </w:r>
      <w:r>
        <w:rPr>
          <w:rFonts w:ascii="宋体"/>
          <w:spacing w:val="-2"/>
          <w:sz w:val="18"/>
        </w:rPr>
        <w:t> </w:t>
      </w:r>
      <w:r>
        <w:rPr>
          <w:rFonts w:ascii="宋体"/>
          <w:b/>
          <w:sz w:val="18"/>
        </w:rPr>
        <w:t>220</w:t>
      </w:r>
      <w:r>
        <w:rPr>
          <w:rFonts w:ascii="宋体"/>
          <w:sz w:val="18"/>
        </w:rPr>
      </w:r>
    </w:p>
    <w:p>
      <w:pPr>
        <w:spacing w:after="0"/>
        <w:jc w:val="center"/>
        <w:rPr>
          <w:rFonts w:ascii="宋体" w:hAnsi="宋体" w:cs="宋体" w:eastAsia="宋体" w:hint="default"/>
          <w:sz w:val="18"/>
          <w:szCs w:val="18"/>
        </w:rPr>
        <w:sectPr>
          <w:headerReference w:type="default" r:id="rId17"/>
          <w:footerReference w:type="default" r:id="rId18"/>
          <w:pgSz w:w="11910" w:h="16840"/>
          <w:pgMar w:header="855" w:footer="0" w:top="1320" w:bottom="280" w:left="1580" w:right="1040"/>
        </w:sectPr>
      </w:pPr>
    </w:p>
    <w:p>
      <w:pPr>
        <w:spacing w:line="240" w:lineRule="auto" w:before="11"/>
        <w:rPr>
          <w:rFonts w:ascii="宋体" w:hAnsi="宋体" w:cs="宋体" w:eastAsia="宋体" w:hint="default"/>
          <w:b/>
          <w:bCs/>
          <w:sz w:val="15"/>
          <w:szCs w:val="15"/>
        </w:rPr>
      </w:pPr>
    </w:p>
    <w:p>
      <w:pPr>
        <w:spacing w:before="44"/>
        <w:ind w:left="3720" w:right="0" w:firstLine="0"/>
        <w:jc w:val="left"/>
        <w:rPr>
          <w:rFonts w:ascii="宋体" w:hAnsi="宋体" w:cs="宋体" w:eastAsia="宋体" w:hint="default"/>
          <w:sz w:val="18"/>
          <w:szCs w:val="18"/>
        </w:rPr>
      </w:pPr>
      <w:r>
        <w:rPr/>
        <w:pict>
          <v:shape style="position:absolute;margin-left:72pt;margin-top:-6.848299pt;width:69.361pt;height:19.52pt;mso-position-horizontal-relative:page;mso-position-vertical-relative:paragraph;z-index:1048" type="#_x0000_t75" stroked="false">
            <v:imagedata r:id="rId21" o:title=""/>
          </v:shape>
        </w:pic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3"/>
          <w:szCs w:val="3"/>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5"/>
        <w:spacing w:line="240" w:lineRule="auto" w:before="36"/>
        <w:ind w:left="220" w:right="0"/>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1062" w:val="left" w:leader="none"/>
        </w:tabs>
        <w:spacing w:line="240" w:lineRule="auto" w:before="58"/>
        <w:ind w:left="220" w:right="0"/>
        <w:jc w:val="left"/>
      </w:pPr>
      <w:r>
        <w:rPr/>
        <w:t>√适用</w:t>
        <w:tab/>
        <w:t>□不适用</w:t>
      </w:r>
    </w:p>
    <w:p>
      <w:pPr>
        <w:spacing w:line="240" w:lineRule="auto" w:before="2"/>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718"/>
        <w:gridCol w:w="1152"/>
        <w:gridCol w:w="1598"/>
        <w:gridCol w:w="2693"/>
        <w:gridCol w:w="1419"/>
        <w:gridCol w:w="1135"/>
        <w:gridCol w:w="1272"/>
        <w:gridCol w:w="1421"/>
        <w:gridCol w:w="1421"/>
        <w:gridCol w:w="1500"/>
      </w:tblGrid>
      <w:tr>
        <w:trPr>
          <w:trHeight w:val="829"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证券品种</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证券代码</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证券简称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最初投资成</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（千元）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本期购入</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（千元）</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1"/>
              <w:jc w:val="left"/>
              <w:rPr>
                <w:rFonts w:ascii="宋体" w:hAnsi="宋体" w:cs="宋体" w:eastAsia="宋体" w:hint="default"/>
                <w:sz w:val="21"/>
                <w:szCs w:val="21"/>
              </w:rPr>
            </w:pPr>
            <w:r>
              <w:rPr>
                <w:rFonts w:ascii="宋体" w:hAnsi="宋体" w:cs="宋体" w:eastAsia="宋体" w:hint="default"/>
                <w:sz w:val="21"/>
                <w:szCs w:val="21"/>
              </w:rPr>
              <w:t>本期售出金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额（千元）</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86" w:right="175" w:hanging="106"/>
              <w:jc w:val="left"/>
              <w:rPr>
                <w:rFonts w:ascii="宋体" w:hAnsi="宋体" w:cs="宋体" w:eastAsia="宋体" w:hint="default"/>
                <w:sz w:val="21"/>
                <w:szCs w:val="21"/>
              </w:rPr>
            </w:pPr>
            <w:r>
              <w:rPr>
                <w:rFonts w:ascii="宋体" w:hAnsi="宋体" w:cs="宋体" w:eastAsia="宋体" w:hint="default"/>
                <w:sz w:val="21"/>
                <w:szCs w:val="21"/>
              </w:rPr>
              <w:t>期末持有数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值</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（千元）</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公允价值变动</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（千元）</w:t>
            </w:r>
          </w:p>
        </w:tc>
      </w:tr>
      <w:tr>
        <w:trPr>
          <w:trHeight w:val="28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06188.HK</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迪信通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77,050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28,551,000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62,557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(10,892)</w:t>
            </w:r>
          </w:p>
        </w:tc>
      </w:tr>
      <w:tr>
        <w:trPr>
          <w:trHeight w:val="28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01778.HK</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彩生活</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101,704</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20,502,000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75,288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(22,153)</w:t>
            </w:r>
          </w:p>
        </w:tc>
      </w:tr>
      <w:tr>
        <w:trPr>
          <w:trHeight w:val="28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NYSE:GM</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通用汽车公司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16,695</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77,608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17,817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(3,922)</w:t>
            </w:r>
          </w:p>
        </w:tc>
      </w:tr>
      <w:tr>
        <w:trPr>
          <w:trHeight w:val="28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NEEQ:839493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并行科技</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5,817,200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42,360</w:t>
            </w: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NEEQ:832757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景安网络</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46,060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5,686,400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46,060</w:t>
            </w: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NYSE:TME</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腾讯音乐娱乐集团</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36,292</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1,758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50,189,923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2,276,904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2,259,473</w:t>
            </w:r>
          </w:p>
        </w:tc>
      </w:tr>
      <w:tr>
        <w:trPr>
          <w:trHeight w:val="28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基金</w:t>
            </w:r>
          </w:p>
        </w:tc>
        <w:tc>
          <w:tcPr>
            <w:tcW w:w="1598"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正前方分级债券</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号基金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99,000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99,000</w:t>
            </w: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98"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461,120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229,370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234,570</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230,674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3,532</w:t>
            </w:r>
          </w:p>
        </w:tc>
      </w:tr>
      <w:tr>
        <w:trPr>
          <w:trHeight w:val="284" w:hRule="exact"/>
        </w:trPr>
        <w:tc>
          <w:tcPr>
            <w:tcW w:w="61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887,921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229,370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236,328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110,824,131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2,850,660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2,226,038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44"/>
        <w:ind w:left="6776" w:right="7019" w:firstLine="0"/>
        <w:jc w:val="center"/>
        <w:rPr>
          <w:rFonts w:ascii="宋体" w:hAnsi="宋体" w:cs="宋体" w:eastAsia="宋体" w:hint="default"/>
          <w:sz w:val="18"/>
          <w:szCs w:val="18"/>
        </w:rPr>
      </w:pPr>
      <w:r>
        <w:rPr>
          <w:rFonts w:ascii="宋体"/>
          <w:b/>
          <w:sz w:val="18"/>
        </w:rPr>
        <w:t>30 </w:t>
      </w:r>
      <w:r>
        <w:rPr>
          <w:rFonts w:ascii="宋体"/>
          <w:sz w:val="18"/>
        </w:rPr>
        <w:t>/</w:t>
      </w:r>
      <w:r>
        <w:rPr>
          <w:rFonts w:ascii="宋体"/>
          <w:spacing w:val="-1"/>
          <w:sz w:val="18"/>
        </w:rPr>
        <w:t> </w:t>
      </w:r>
      <w:r>
        <w:rPr>
          <w:rFonts w:ascii="宋体"/>
          <w:b/>
          <w:sz w:val="18"/>
        </w:rPr>
        <w:t>220</w:t>
      </w:r>
      <w:r>
        <w:rPr>
          <w:rFonts w:ascii="宋体"/>
          <w:sz w:val="18"/>
        </w:rPr>
      </w:r>
    </w:p>
    <w:p>
      <w:pPr>
        <w:spacing w:after="0"/>
        <w:jc w:val="center"/>
        <w:rPr>
          <w:rFonts w:ascii="宋体" w:hAnsi="宋体" w:cs="宋体" w:eastAsia="宋体" w:hint="default"/>
          <w:sz w:val="18"/>
          <w:szCs w:val="18"/>
        </w:rPr>
        <w:sectPr>
          <w:headerReference w:type="default" r:id="rId19"/>
          <w:footerReference w:type="default" r:id="rId20"/>
          <w:pgSz w:w="16840" w:h="11910" w:orient="landscape"/>
          <w:pgMar w:header="0" w:footer="0" w:top="780" w:bottom="280" w:left="1220" w:right="106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pStyle w:val="Heading5"/>
        <w:spacing w:line="240" w:lineRule="auto" w:before="36"/>
        <w:ind w:left="138" w:right="0"/>
        <w:jc w:val="both"/>
        <w:rPr>
          <w:b w:val="0"/>
          <w:bCs w:val="0"/>
        </w:rPr>
      </w:pPr>
      <w:r>
        <w:rPr>
          <w:rFonts w:ascii="宋体" w:hAnsi="宋体" w:cs="宋体" w:eastAsia="宋体" w:hint="default"/>
        </w:rPr>
        <w:t>(</w:t>
      </w:r>
      <w:r>
        <w:rPr/>
        <w:t>六</w:t>
      </w:r>
      <w:r>
        <w:rPr>
          <w:rFonts w:ascii="宋体" w:hAnsi="宋体" w:cs="宋体" w:eastAsia="宋体" w:hint="default"/>
        </w:rPr>
        <w:t>)  </w:t>
      </w:r>
      <w:r>
        <w:rPr>
          <w:rFonts w:ascii="宋体" w:hAnsi="宋体" w:cs="宋体" w:eastAsia="宋体" w:hint="default"/>
          <w:spacing w:val="102"/>
        </w:rPr>
        <w:t> </w:t>
      </w:r>
      <w:r>
        <w:rPr/>
        <w:t>重大资产和股权出售</w:t>
      </w:r>
      <w:r>
        <w:rPr>
          <w:b w:val="0"/>
          <w:bCs w:val="0"/>
        </w:rPr>
      </w:r>
    </w:p>
    <w:p>
      <w:pPr>
        <w:pStyle w:val="BodyText"/>
        <w:spacing w:line="273" w:lineRule="exact" w:before="58"/>
        <w:ind w:right="0"/>
        <w:jc w:val="both"/>
      </w:pPr>
      <w:r>
        <w:rPr/>
        <w:t>√适用</w:t>
      </w:r>
      <w:r>
        <w:rPr>
          <w:spacing w:val="104"/>
        </w:rPr>
        <w:t> </w:t>
      </w:r>
      <w:r>
        <w:rPr/>
        <w:t>□不适用</w:t>
      </w:r>
    </w:p>
    <w:p>
      <w:pPr>
        <w:pStyle w:val="BodyText"/>
        <w:spacing w:line="357" w:lineRule="auto"/>
        <w:ind w:right="0" w:firstLine="419"/>
        <w:jc w:val="left"/>
      </w:pPr>
      <w:r>
        <w:rPr/>
        <w:t>根据中国证券监督管理委员会于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26</w:t>
      </w:r>
      <w:r>
        <w:rPr>
          <w:rFonts w:ascii="宋体" w:hAnsi="宋体" w:cs="宋体" w:eastAsia="宋体" w:hint="default"/>
          <w:spacing w:val="-53"/>
        </w:rPr>
        <w:t> </w:t>
      </w:r>
      <w:r>
        <w:rPr/>
        <w:t>日核发的《关于核准江南嘉捷电梯股份有限</w:t>
      </w:r>
      <w:r>
        <w:rPr>
          <w:w w:val="100"/>
        </w:rPr>
        <w:t> </w:t>
      </w:r>
      <w:r>
        <w:rPr/>
        <w:t>公司重大资产重组及向天津奇信志成科技有限公司等发行股份购买资产的批复》</w:t>
      </w:r>
      <w:r>
        <w:rPr>
          <w:rFonts w:ascii="宋体" w:hAnsi="宋体" w:cs="宋体" w:eastAsia="宋体" w:hint="default"/>
        </w:rPr>
        <w:t>(</w:t>
      </w:r>
      <w:r>
        <w:rPr/>
        <w:t>证监许可</w:t>
      </w:r>
      <w:r>
        <w:rPr>
          <w:w w:val="100"/>
        </w:rPr>
        <w:t> </w:t>
      </w:r>
      <w:r>
        <w:rPr>
          <w:rFonts w:ascii="宋体" w:hAnsi="宋体" w:cs="宋体" w:eastAsia="宋体" w:hint="default"/>
        </w:rPr>
        <w:t>[2018]214 </w:t>
      </w:r>
      <w:r>
        <w:rPr>
          <w:spacing w:val="-3"/>
        </w:rPr>
        <w:t>号</w:t>
      </w:r>
      <w:r>
        <w:rPr>
          <w:rFonts w:ascii="宋体" w:hAnsi="宋体" w:cs="宋体" w:eastAsia="宋体" w:hint="default"/>
          <w:spacing w:val="-3"/>
        </w:rPr>
        <w:t>)</w:t>
      </w:r>
      <w:r>
        <w:rPr>
          <w:spacing w:val="-3"/>
        </w:rPr>
        <w:t>，公司（原江南嘉捷）以发行股份和资产置换的方式向三六零科技全体股东购买其</w:t>
      </w:r>
      <w:r>
        <w:rPr>
          <w:spacing w:val="-93"/>
        </w:rPr>
        <w:t> </w:t>
      </w:r>
      <w:r>
        <w:rPr>
          <w:spacing w:val="-93"/>
        </w:rPr>
      </w:r>
      <w:r>
        <w:rPr>
          <w:spacing w:val="-2"/>
        </w:rPr>
        <w:t>持有的三六零科技</w:t>
      </w:r>
      <w:r>
        <w:rPr>
          <w:spacing w:val="5"/>
        </w:rPr>
        <w:t> </w:t>
      </w:r>
      <w:r>
        <w:rPr>
          <w:rFonts w:ascii="宋体" w:hAnsi="宋体" w:cs="宋体" w:eastAsia="宋体" w:hint="default"/>
          <w:spacing w:val="-2"/>
        </w:rPr>
        <w:t>100%</w:t>
      </w:r>
      <w:r>
        <w:rPr>
          <w:spacing w:val="-2"/>
        </w:rPr>
        <w:t>的股权。其中涉及重大资产出售情况如下：</w:t>
      </w:r>
    </w:p>
    <w:p>
      <w:pPr>
        <w:pStyle w:val="BodyText"/>
        <w:spacing w:line="240" w:lineRule="auto" w:before="30"/>
        <w:ind w:left="558" w:right="0"/>
        <w:jc w:val="left"/>
      </w:pPr>
      <w:r>
        <w:rPr/>
        <w:t>公司将截至</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日拥有的，除全资子公司苏州江南嘉捷机电技术研究院有限公司</w:t>
      </w:r>
    </w:p>
    <w:p>
      <w:pPr>
        <w:pStyle w:val="BodyText"/>
        <w:spacing w:line="357" w:lineRule="auto" w:before="133"/>
        <w:ind w:right="207"/>
        <w:jc w:val="both"/>
      </w:pPr>
      <w:r>
        <w:rPr>
          <w:spacing w:val="-3"/>
        </w:rPr>
        <w:t>（已更名为“苏州江南嘉捷电梯有限公司”，以下简称“苏州嘉捷电梯”</w:t>
      </w:r>
      <w:r>
        <w:rPr>
          <w:spacing w:val="47"/>
        </w:rPr>
        <w:t> </w:t>
      </w:r>
      <w:r>
        <w:rPr>
          <w:spacing w:val="-5"/>
        </w:rPr>
        <w:t>）</w:t>
      </w:r>
      <w:r>
        <w:rPr>
          <w:rFonts w:ascii="宋体" w:hAnsi="宋体" w:cs="宋体" w:eastAsia="宋体" w:hint="default"/>
          <w:spacing w:val="-5"/>
        </w:rPr>
        <w:t>100%</w:t>
      </w:r>
      <w:r>
        <w:rPr>
          <w:spacing w:val="-5"/>
        </w:rPr>
        <w:t>股权之外的全部</w:t>
      </w:r>
      <w:r>
        <w:rPr>
          <w:spacing w:val="-96"/>
        </w:rPr>
        <w:t> </w:t>
      </w:r>
      <w:r>
        <w:rPr>
          <w:spacing w:val="-96"/>
        </w:rPr>
      </w:r>
      <w:r>
        <w:rPr>
          <w:spacing w:val="-2"/>
        </w:rPr>
        <w:t>资产、负债、业务、人员、合同、资质及其他一切权利与义务划转至苏州嘉捷电梯。在划转重组</w:t>
      </w:r>
      <w:r>
        <w:rPr>
          <w:spacing w:val="-25"/>
        </w:rPr>
        <w:t> </w:t>
      </w:r>
      <w:r>
        <w:rPr>
          <w:spacing w:val="-25"/>
        </w:rPr>
      </w:r>
      <w:r>
        <w:rPr>
          <w:spacing w:val="-3"/>
        </w:rPr>
        <w:t>的基础上，公司分别将苏州嘉捷电梯 </w:t>
      </w:r>
      <w:r>
        <w:rPr>
          <w:rFonts w:ascii="宋体" w:hAnsi="宋体" w:cs="宋体" w:eastAsia="宋体" w:hint="default"/>
          <w:spacing w:val="-3"/>
        </w:rPr>
        <w:t>90.29%</w:t>
      </w:r>
      <w:r>
        <w:rPr>
          <w:spacing w:val="-3"/>
        </w:rPr>
        <w:t>的股权以现金方式转让给金志峰、金祖铭或其指定的</w:t>
      </w:r>
      <w:r>
        <w:rPr>
          <w:spacing w:val="-73"/>
        </w:rPr>
        <w:t> </w:t>
      </w:r>
      <w:r>
        <w:rPr>
          <w:spacing w:val="-73"/>
        </w:rPr>
      </w:r>
      <w:r>
        <w:rPr/>
        <w:t>第三方，交易作价为人民币</w:t>
      </w:r>
      <w:r>
        <w:rPr>
          <w:spacing w:val="-54"/>
        </w:rPr>
        <w:t> </w:t>
      </w:r>
      <w:r>
        <w:rPr>
          <w:rFonts w:ascii="宋体" w:hAnsi="宋体" w:cs="宋体" w:eastAsia="宋体" w:hint="default"/>
        </w:rPr>
        <w:t>169,000</w:t>
      </w:r>
      <w:r>
        <w:rPr>
          <w:rFonts w:ascii="宋体" w:hAnsi="宋体" w:cs="宋体" w:eastAsia="宋体" w:hint="default"/>
          <w:spacing w:val="-56"/>
        </w:rPr>
        <w:t> </w:t>
      </w:r>
      <w:r>
        <w:rPr/>
        <w:t>万元；将苏州嘉捷电梯</w:t>
      </w:r>
      <w:r>
        <w:rPr>
          <w:spacing w:val="-54"/>
        </w:rPr>
        <w:t> </w:t>
      </w:r>
      <w:r>
        <w:rPr>
          <w:rFonts w:ascii="宋体" w:hAnsi="宋体" w:cs="宋体" w:eastAsia="宋体" w:hint="default"/>
        </w:rPr>
        <w:t>9.71%</w:t>
      </w:r>
      <w:r>
        <w:rPr/>
        <w:t>的股权与三六零科技全体股东</w:t>
      </w:r>
      <w:r>
        <w:rPr>
          <w:w w:val="100"/>
        </w:rPr>
        <w:t> </w:t>
      </w:r>
      <w:r>
        <w:rPr/>
        <w:t>拥有的三六零科技</w:t>
      </w:r>
      <w:r>
        <w:rPr>
          <w:spacing w:val="-55"/>
        </w:rPr>
        <w:t> </w:t>
      </w:r>
      <w:r>
        <w:rPr>
          <w:rFonts w:ascii="宋体" w:hAnsi="宋体" w:cs="宋体" w:eastAsia="宋体" w:hint="default"/>
        </w:rPr>
        <w:t>100%</w:t>
      </w:r>
      <w:r>
        <w:rPr/>
        <w:t>股权的等值部分进行置换，三六零科技全体股东再将苏州嘉捷电梯</w:t>
      </w:r>
      <w:r>
        <w:rPr>
          <w:spacing w:val="-55"/>
        </w:rPr>
        <w:t> </w:t>
      </w:r>
      <w:r>
        <w:rPr>
          <w:rFonts w:ascii="宋体" w:hAnsi="宋体" w:cs="宋体" w:eastAsia="宋体" w:hint="default"/>
        </w:rPr>
        <w:t>9.71%</w:t>
      </w:r>
      <w:r>
        <w:rPr>
          <w:rFonts w:ascii="宋体" w:hAnsi="宋体" w:cs="宋体" w:eastAsia="宋体" w:hint="default"/>
          <w:w w:val="100"/>
        </w:rPr>
        <w:t> </w:t>
      </w:r>
      <w:r>
        <w:rPr/>
        <w:t>股权转让给金志峰、金祖铭或其指定的第三方。</w:t>
      </w:r>
    </w:p>
    <w:p>
      <w:pPr>
        <w:pStyle w:val="BodyText"/>
        <w:spacing w:line="240" w:lineRule="auto" w:before="30"/>
        <w:ind w:left="558" w:right="0"/>
        <w:jc w:val="left"/>
      </w:pPr>
      <w:r>
        <w:rPr/>
        <w:t>根据中联资产评估集团有限公司出具的中联评报字</w:t>
      </w:r>
      <w:r>
        <w:rPr>
          <w:rFonts w:ascii="宋体" w:hAnsi="宋体" w:cs="宋体" w:eastAsia="宋体" w:hint="default"/>
        </w:rPr>
        <w:t>[2017]</w:t>
      </w:r>
      <w:r>
        <w:rPr/>
        <w:t>第</w:t>
      </w:r>
      <w:r>
        <w:rPr>
          <w:spacing w:val="-53"/>
        </w:rPr>
        <w:t> </w:t>
      </w:r>
      <w:r>
        <w:rPr>
          <w:rFonts w:ascii="宋体" w:hAnsi="宋体" w:cs="宋体" w:eastAsia="宋体" w:hint="default"/>
        </w:rPr>
        <w:t>1518</w:t>
      </w:r>
      <w:r>
        <w:rPr>
          <w:rFonts w:ascii="宋体" w:hAnsi="宋体" w:cs="宋体" w:eastAsia="宋体" w:hint="default"/>
          <w:spacing w:val="-53"/>
        </w:rPr>
        <w:t> </w:t>
      </w:r>
      <w:r>
        <w:rPr/>
        <w:t>号《出售资产评估报告》，</w:t>
      </w:r>
    </w:p>
    <w:p>
      <w:pPr>
        <w:pStyle w:val="BodyText"/>
        <w:spacing w:line="240" w:lineRule="auto" w:before="135"/>
        <w:ind w:right="0"/>
        <w:jc w:val="both"/>
      </w:pPr>
      <w:r>
        <w:rPr/>
        <w:t>以</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日为基准日，选用资产基础法评估结果作为最终评估结论，此次交易的拟出售</w:t>
      </w:r>
    </w:p>
    <w:p>
      <w:pPr>
        <w:pStyle w:val="BodyText"/>
        <w:spacing w:line="240" w:lineRule="auto" w:before="133"/>
        <w:ind w:right="0"/>
        <w:jc w:val="both"/>
      </w:pPr>
      <w:r>
        <w:rPr/>
        <w:t>资产评估值为 </w:t>
      </w:r>
      <w:r>
        <w:rPr>
          <w:rFonts w:ascii="宋体" w:hAnsi="宋体" w:cs="宋体" w:eastAsia="宋体" w:hint="default"/>
        </w:rPr>
        <w:t>187,179.75</w:t>
      </w:r>
      <w:r>
        <w:rPr>
          <w:rFonts w:ascii="宋体" w:hAnsi="宋体" w:cs="宋体" w:eastAsia="宋体" w:hint="default"/>
          <w:spacing w:val="-56"/>
        </w:rPr>
        <w:t> </w:t>
      </w:r>
      <w:r>
        <w:rPr>
          <w:spacing w:val="-5"/>
        </w:rPr>
        <w:t>万元。根据《重大资产出售协议》，经交易各方友好协商，以拟出售资</w:t>
      </w:r>
    </w:p>
    <w:p>
      <w:pPr>
        <w:pStyle w:val="BodyText"/>
        <w:spacing w:line="240" w:lineRule="auto" w:before="133"/>
        <w:ind w:right="0"/>
        <w:jc w:val="both"/>
      </w:pPr>
      <w:r>
        <w:rPr/>
        <w:t>产评估值为基础，此次交易拟出售资产最终作价</w:t>
      </w:r>
      <w:r>
        <w:rPr>
          <w:spacing w:val="-56"/>
        </w:rPr>
        <w:t> </w:t>
      </w:r>
      <w:r>
        <w:rPr>
          <w:rFonts w:ascii="宋体" w:hAnsi="宋体" w:cs="宋体" w:eastAsia="宋体" w:hint="default"/>
        </w:rPr>
        <w:t>187,179.75</w:t>
      </w:r>
      <w:r>
        <w:rPr>
          <w:rFonts w:ascii="宋体" w:hAnsi="宋体" w:cs="宋体" w:eastAsia="宋体" w:hint="default"/>
          <w:spacing w:val="-57"/>
        </w:rPr>
        <w:t> </w:t>
      </w:r>
      <w:r>
        <w:rPr/>
        <w:t>万元。</w:t>
      </w:r>
    </w:p>
    <w:p>
      <w:pPr>
        <w:pStyle w:val="BodyText"/>
        <w:spacing w:line="240" w:lineRule="auto" w:before="133"/>
        <w:ind w:left="558" w:right="0"/>
        <w:jc w:val="left"/>
        <w:rPr>
          <w:rFonts w:ascii="宋体" w:hAnsi="宋体" w:cs="宋体" w:eastAsia="宋体" w:hint="default"/>
        </w:rPr>
      </w:pPr>
      <w:r>
        <w:rPr/>
        <w:t>根据中联资产评估集团有限公司出具的中联评报字</w:t>
      </w:r>
      <w:r>
        <w:rPr>
          <w:rFonts w:ascii="宋体" w:hAnsi="宋体" w:cs="宋体" w:eastAsia="宋体" w:hint="default"/>
        </w:rPr>
        <w:t>[2017]</w:t>
      </w:r>
      <w:r>
        <w:rPr/>
        <w:t>第</w:t>
      </w:r>
      <w:r>
        <w:rPr>
          <w:spacing w:val="-54"/>
        </w:rPr>
        <w:t> </w:t>
      </w:r>
      <w:r>
        <w:rPr>
          <w:rFonts w:ascii="宋体" w:hAnsi="宋体" w:cs="宋体" w:eastAsia="宋体" w:hint="default"/>
        </w:rPr>
        <w:t>1517</w:t>
      </w:r>
      <w:r>
        <w:rPr>
          <w:rFonts w:ascii="宋体" w:hAnsi="宋体" w:cs="宋体" w:eastAsia="宋体" w:hint="default"/>
          <w:spacing w:val="-54"/>
        </w:rPr>
        <w:t> </w:t>
      </w:r>
      <w:r>
        <w:rPr/>
        <w:t>号评估报告，以</w:t>
      </w:r>
      <w:r>
        <w:rPr>
          <w:spacing w:val="-53"/>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3</w:t>
      </w:r>
    </w:p>
    <w:p>
      <w:pPr>
        <w:pStyle w:val="BodyText"/>
        <w:spacing w:line="240" w:lineRule="auto" w:before="133"/>
        <w:ind w:right="0"/>
        <w:jc w:val="both"/>
      </w:pPr>
      <w:r>
        <w:rPr/>
        <w:t>月</w:t>
      </w:r>
      <w:r>
        <w:rPr>
          <w:spacing w:val="-56"/>
        </w:rPr>
        <w:t> </w:t>
      </w:r>
      <w:r>
        <w:rPr>
          <w:rFonts w:ascii="宋体" w:hAnsi="宋体" w:cs="宋体" w:eastAsia="宋体" w:hint="default"/>
        </w:rPr>
        <w:t>31</w:t>
      </w:r>
      <w:r>
        <w:rPr>
          <w:rFonts w:ascii="宋体" w:hAnsi="宋体" w:cs="宋体" w:eastAsia="宋体" w:hint="default"/>
          <w:spacing w:val="-58"/>
        </w:rPr>
        <w:t> </w:t>
      </w:r>
      <w:r>
        <w:rPr/>
        <w:t>日为基准日，选用收益法评估结果作为最终评估结论，此次交易的拟置入资产三六零科技</w:t>
      </w:r>
    </w:p>
    <w:p>
      <w:pPr>
        <w:pStyle w:val="BodyText"/>
        <w:spacing w:line="355" w:lineRule="auto" w:before="135"/>
        <w:ind w:right="207"/>
        <w:jc w:val="both"/>
      </w:pPr>
      <w:r>
        <w:rPr>
          <w:rFonts w:ascii="宋体" w:hAnsi="宋体" w:cs="宋体" w:eastAsia="宋体" w:hint="default"/>
          <w:spacing w:val="-2"/>
          <w:w w:val="100"/>
        </w:rPr>
        <w:t>100%</w:t>
      </w:r>
      <w:r>
        <w:rPr>
          <w:spacing w:val="-2"/>
          <w:w w:val="100"/>
        </w:rPr>
        <w:t>股权的评估值为人民币</w:t>
      </w:r>
      <w:r>
        <w:rPr>
          <w:spacing w:val="-42"/>
          <w:w w:val="100"/>
        </w:rPr>
        <w:t> </w:t>
      </w:r>
      <w:r>
        <w:rPr>
          <w:rFonts w:ascii="宋体" w:hAnsi="宋体" w:cs="宋体" w:eastAsia="宋体" w:hint="default"/>
          <w:spacing w:val="-1"/>
          <w:w w:val="100"/>
        </w:rPr>
        <w:t>5,041,642.33</w:t>
      </w:r>
      <w:r>
        <w:rPr>
          <w:rFonts w:ascii="宋体" w:hAnsi="宋体" w:cs="宋体" w:eastAsia="宋体" w:hint="default"/>
          <w:spacing w:val="-43"/>
          <w:w w:val="100"/>
        </w:rPr>
        <w:t> </w:t>
      </w:r>
      <w:r>
        <w:rPr>
          <w:spacing w:val="-14"/>
          <w:w w:val="100"/>
        </w:rPr>
        <w:t>万元。根据《重大资产置换及发行股份购买资产协议》，</w:t>
      </w:r>
      <w:r>
        <w:rPr>
          <w:spacing w:val="-102"/>
          <w:w w:val="100"/>
        </w:rPr>
        <w:t> </w:t>
      </w:r>
      <w:r>
        <w:rPr>
          <w:spacing w:val="-102"/>
          <w:w w:val="100"/>
        </w:rPr>
      </w:r>
      <w:r>
        <w:rPr>
          <w:spacing w:val="-3"/>
        </w:rPr>
        <w:t>经交易各方友好协商，以拟置入资产评估值为基础，此次交易三六零科技</w:t>
      </w:r>
      <w:r>
        <w:rPr>
          <w:spacing w:val="-20"/>
        </w:rPr>
        <w:t> </w:t>
      </w:r>
      <w:r>
        <w:rPr>
          <w:rFonts w:ascii="宋体" w:hAnsi="宋体" w:cs="宋体" w:eastAsia="宋体" w:hint="default"/>
        </w:rPr>
        <w:t>100%</w:t>
      </w:r>
      <w:r>
        <w:rPr/>
        <w:t>股权的最终作价为</w:t>
      </w:r>
      <w:r>
        <w:rPr>
          <w:spacing w:val="-91"/>
        </w:rPr>
        <w:t> </w:t>
      </w:r>
      <w:r>
        <w:rPr>
          <w:spacing w:val="-91"/>
        </w:rPr>
      </w:r>
      <w:r>
        <w:rPr/>
        <w:t>人民币 </w:t>
      </w:r>
      <w:r>
        <w:rPr>
          <w:rFonts w:ascii="宋体" w:hAnsi="宋体" w:cs="宋体" w:eastAsia="宋体" w:hint="default"/>
        </w:rPr>
        <w:t>5,041,642.33</w:t>
      </w:r>
      <w:r>
        <w:rPr>
          <w:rFonts w:ascii="宋体" w:hAnsi="宋体" w:cs="宋体" w:eastAsia="宋体" w:hint="default"/>
          <w:spacing w:val="-45"/>
        </w:rPr>
        <w:t> </w:t>
      </w:r>
      <w:r>
        <w:rPr>
          <w:spacing w:val="-5"/>
        </w:rPr>
        <w:t>万元。通过重大资产置换与拟置入资产的价款等值部分抵销后，拟置入资产</w:t>
      </w:r>
    </w:p>
    <w:p>
      <w:pPr>
        <w:pStyle w:val="BodyText"/>
        <w:spacing w:line="357" w:lineRule="auto" w:before="32"/>
        <w:ind w:right="208"/>
        <w:jc w:val="both"/>
      </w:pPr>
      <w:r>
        <w:rPr>
          <w:spacing w:val="-2"/>
          <w:w w:val="100"/>
        </w:rPr>
        <w:t>剩余差额部分为人民币</w:t>
      </w:r>
      <w:r>
        <w:rPr>
          <w:spacing w:val="-48"/>
          <w:w w:val="100"/>
        </w:rPr>
        <w:t> </w:t>
      </w:r>
      <w:r>
        <w:rPr>
          <w:rFonts w:ascii="宋体" w:hAnsi="宋体" w:cs="宋体" w:eastAsia="宋体" w:hint="default"/>
          <w:spacing w:val="-1"/>
          <w:w w:val="100"/>
        </w:rPr>
        <w:t>5,023,462.58</w:t>
      </w:r>
      <w:r>
        <w:rPr>
          <w:rFonts w:ascii="宋体" w:hAnsi="宋体" w:cs="宋体" w:eastAsia="宋体" w:hint="default"/>
          <w:spacing w:val="-49"/>
          <w:w w:val="100"/>
        </w:rPr>
        <w:t> </w:t>
      </w:r>
      <w:r>
        <w:rPr>
          <w:spacing w:val="-5"/>
          <w:w w:val="100"/>
        </w:rPr>
        <w:t>万元，由本公司向三六零科技全体股东以发行股份的方式支</w:t>
      </w:r>
      <w:r>
        <w:rPr>
          <w:w w:val="100"/>
        </w:rPr>
        <w:t> </w:t>
      </w:r>
      <w:r>
        <w:rPr/>
        <w:t>付。</w:t>
      </w:r>
    </w:p>
    <w:p>
      <w:pPr>
        <w:pStyle w:val="BodyText"/>
        <w:spacing w:line="355" w:lineRule="auto" w:before="31"/>
        <w:ind w:right="207" w:firstLine="419"/>
        <w:jc w:val="both"/>
      </w:pPr>
      <w:r>
        <w:rPr>
          <w:spacing w:val="-2"/>
        </w:rPr>
        <w:t>此次发行股份购买资产所发行股份的定价基准日为本公司第四届董事会第十一次会议决议公</w:t>
      </w:r>
      <w:r>
        <w:rPr>
          <w:w w:val="100"/>
        </w:rPr>
        <w:t> </w:t>
      </w:r>
      <w:r>
        <w:rPr>
          <w:spacing w:val="-5"/>
          <w:w w:val="100"/>
        </w:rPr>
        <w:t>告日，此次发行股份购买资产发行价格为经除权除息调整后的定价基准日前</w:t>
      </w:r>
      <w:r>
        <w:rPr>
          <w:spacing w:val="-39"/>
          <w:w w:val="100"/>
        </w:rPr>
        <w:t> </w:t>
      </w:r>
      <w:r>
        <w:rPr>
          <w:rFonts w:ascii="宋体" w:hAnsi="宋体" w:cs="宋体" w:eastAsia="宋体" w:hint="default"/>
          <w:spacing w:val="-2"/>
          <w:w w:val="100"/>
        </w:rPr>
        <w:t>20</w:t>
      </w:r>
      <w:r>
        <w:rPr>
          <w:rFonts w:ascii="宋体" w:hAnsi="宋体" w:cs="宋体" w:eastAsia="宋体" w:hint="default"/>
          <w:spacing w:val="-40"/>
          <w:w w:val="100"/>
        </w:rPr>
        <w:t> </w:t>
      </w:r>
      <w:r>
        <w:rPr>
          <w:spacing w:val="-2"/>
          <w:w w:val="100"/>
        </w:rPr>
        <w:t>个交易日公司股票</w:t>
      </w:r>
      <w:r>
        <w:rPr>
          <w:spacing w:val="-100"/>
          <w:w w:val="100"/>
        </w:rPr>
        <w:t> </w:t>
      </w:r>
      <w:r>
        <w:rPr>
          <w:spacing w:val="-100"/>
          <w:w w:val="100"/>
        </w:rPr>
      </w:r>
      <w:r>
        <w:rPr/>
        <w:t>交易均价的</w:t>
      </w:r>
      <w:r>
        <w:rPr>
          <w:spacing w:val="-54"/>
        </w:rPr>
        <w:t> </w:t>
      </w:r>
      <w:r>
        <w:rPr>
          <w:rFonts w:ascii="宋体" w:hAnsi="宋体" w:cs="宋体" w:eastAsia="宋体" w:hint="default"/>
        </w:rPr>
        <w:t>90%</w:t>
      </w:r>
      <w:r>
        <w:rPr/>
        <w:t>，为人民币</w:t>
      </w:r>
      <w:r>
        <w:rPr>
          <w:spacing w:val="-53"/>
        </w:rPr>
        <w:t> </w:t>
      </w:r>
      <w:r>
        <w:rPr>
          <w:rFonts w:ascii="宋体" w:hAnsi="宋体" w:cs="宋体" w:eastAsia="宋体" w:hint="default"/>
        </w:rPr>
        <w:t>7.89</w:t>
      </w:r>
      <w:r>
        <w:rPr>
          <w:rFonts w:ascii="宋体" w:hAnsi="宋体" w:cs="宋体" w:eastAsia="宋体" w:hint="default"/>
          <w:spacing w:val="-54"/>
        </w:rPr>
        <w:t> </w:t>
      </w:r>
      <w:r>
        <w:rPr/>
        <w:t>元</w:t>
      </w:r>
      <w:r>
        <w:rPr>
          <w:rFonts w:ascii="宋体" w:hAnsi="宋体" w:cs="宋体" w:eastAsia="宋体" w:hint="default"/>
        </w:rPr>
        <w:t>/</w:t>
      </w:r>
      <w:r>
        <w:rPr/>
        <w:t>股。据此计算，本公司向三六零科技全体股东发行股份的数</w:t>
      </w:r>
      <w:r>
        <w:rPr>
          <w:w w:val="100"/>
        </w:rPr>
        <w:t> </w:t>
      </w:r>
      <w:r>
        <w:rPr/>
        <w:t>量合计</w:t>
      </w:r>
      <w:r>
        <w:rPr>
          <w:spacing w:val="-53"/>
        </w:rPr>
        <w:t> </w:t>
      </w:r>
      <w:r>
        <w:rPr>
          <w:rFonts w:ascii="宋体" w:hAnsi="宋体" w:cs="宋体" w:eastAsia="宋体" w:hint="default"/>
        </w:rPr>
        <w:t>6,366,872,724</w:t>
      </w:r>
      <w:r>
        <w:rPr>
          <w:rFonts w:ascii="宋体" w:hAnsi="宋体" w:cs="宋体" w:eastAsia="宋体" w:hint="default"/>
          <w:spacing w:val="-52"/>
        </w:rPr>
        <w:t> </w:t>
      </w:r>
      <w:r>
        <w:rPr>
          <w:spacing w:val="-3"/>
        </w:rPr>
        <w:t>股。</w:t>
      </w:r>
      <w:r>
        <w:rPr/>
      </w:r>
    </w:p>
    <w:p>
      <w:pPr>
        <w:pStyle w:val="BodyText"/>
        <w:spacing w:line="357" w:lineRule="auto" w:before="34"/>
        <w:ind w:right="207" w:firstLine="419"/>
        <w:jc w:val="both"/>
      </w:pPr>
      <w:r>
        <w:rPr>
          <w:spacing w:val="-2"/>
        </w:rPr>
        <w:t>截至报告期末，经江苏省工商行政管理局核准股东变更申请，本次重大资产重组向三六零科</w:t>
      </w:r>
      <w:r>
        <w:rPr>
          <w:w w:val="100"/>
        </w:rPr>
        <w:t> </w:t>
      </w:r>
      <w:r>
        <w:rPr/>
        <w:t>技全体股东发行的</w:t>
      </w:r>
      <w:r>
        <w:rPr>
          <w:spacing w:val="-48"/>
        </w:rPr>
        <w:t> </w:t>
      </w:r>
      <w:r>
        <w:rPr>
          <w:rFonts w:ascii="宋体" w:hAnsi="宋体" w:cs="宋体" w:eastAsia="宋体" w:hint="default"/>
        </w:rPr>
        <w:t>6,366,872,724</w:t>
      </w:r>
      <w:r>
        <w:rPr>
          <w:rFonts w:ascii="宋体" w:hAnsi="宋体" w:cs="宋体" w:eastAsia="宋体" w:hint="default"/>
          <w:spacing w:val="-47"/>
        </w:rPr>
        <w:t> </w:t>
      </w:r>
      <w:r>
        <w:rPr>
          <w:spacing w:val="-4"/>
        </w:rPr>
        <w:t>股已全部发行完毕并上市，三六零科技</w:t>
      </w:r>
      <w:r>
        <w:rPr>
          <w:spacing w:val="-48"/>
        </w:rPr>
        <w:t> </w:t>
      </w:r>
      <w:r>
        <w:rPr>
          <w:rFonts w:ascii="宋体" w:hAnsi="宋体" w:cs="宋体" w:eastAsia="宋体" w:hint="default"/>
        </w:rPr>
        <w:t>100%</w:t>
      </w:r>
      <w:r>
        <w:rPr/>
        <w:t>股权已过户至本公</w:t>
      </w:r>
      <w:r>
        <w:rPr>
          <w:spacing w:val="-103"/>
        </w:rPr>
        <w:t> </w:t>
      </w:r>
      <w:r>
        <w:rPr>
          <w:spacing w:val="-103"/>
        </w:rPr>
      </w:r>
      <w:r>
        <w:rPr>
          <w:spacing w:val="-2"/>
        </w:rPr>
        <w:t>司名下，成为本公司的全资子公司。公司的控股股东变更为天津奇信志成科技有限公司，实际控</w:t>
      </w:r>
      <w:r>
        <w:rPr>
          <w:spacing w:val="-25"/>
        </w:rPr>
        <w:t> </w:t>
      </w:r>
      <w:r>
        <w:rPr>
          <w:spacing w:val="-25"/>
        </w:rPr>
      </w:r>
      <w:r>
        <w:rPr>
          <w:spacing w:val="-6"/>
        </w:rPr>
        <w:t>制人变更为周鸿祎。公司完成了公司名称、注册资本、经营范围等相关信息的工商变更登记手续，</w:t>
      </w:r>
      <w:r>
        <w:rPr>
          <w:spacing w:val="-54"/>
        </w:rPr>
        <w:t> </w:t>
      </w:r>
      <w:r>
        <w:rPr>
          <w:spacing w:val="-54"/>
        </w:rPr>
      </w:r>
      <w:r>
        <w:rPr/>
        <w:t>取得了江苏省工商行政管理局换发的新《营业执照》。</w:t>
      </w:r>
    </w:p>
    <w:p>
      <w:pPr>
        <w:spacing w:after="0" w:line="357" w:lineRule="auto"/>
        <w:jc w:val="both"/>
        <w:sectPr>
          <w:footerReference w:type="default" r:id="rId22"/>
          <w:pgSz w:w="11910" w:h="16840"/>
          <w:pgMar w:footer="1217" w:header="0" w:top="1320" w:bottom="1400" w:left="1660" w:right="1060"/>
          <w:pgNumType w:start="31"/>
        </w:sectPr>
      </w:pPr>
    </w:p>
    <w:p>
      <w:pPr>
        <w:spacing w:line="240" w:lineRule="auto" w:before="4"/>
        <w:rPr>
          <w:rFonts w:ascii="宋体" w:hAnsi="宋体" w:cs="宋体" w:eastAsia="宋体" w:hint="default"/>
          <w:sz w:val="9"/>
          <w:szCs w:val="9"/>
        </w:rPr>
      </w:pPr>
    </w:p>
    <w:p>
      <w:pPr>
        <w:pStyle w:val="BodyText"/>
        <w:spacing w:line="240" w:lineRule="auto" w:before="36"/>
        <w:ind w:left="558" w:right="0"/>
        <w:jc w:val="left"/>
      </w:pPr>
      <w:r>
        <w:rPr>
          <w:rFonts w:ascii="宋体" w:hAnsi="宋体" w:cs="宋体" w:eastAsia="宋体" w:hint="default"/>
          <w:w w:val="100"/>
        </w:rPr>
        <w:t>2018</w:t>
      </w:r>
      <w:r>
        <w:rPr>
          <w:rFonts w:ascii="宋体" w:hAnsi="宋体" w:cs="宋体" w:eastAsia="宋体" w:hint="default"/>
          <w:spacing w:val="-62"/>
        </w:rPr>
        <w:t> </w:t>
      </w:r>
      <w:r>
        <w:rPr>
          <w:w w:val="100"/>
        </w:rPr>
        <w:t>年</w:t>
      </w:r>
      <w:r>
        <w:rPr>
          <w:spacing w:val="-62"/>
        </w:rPr>
        <w:t> </w:t>
      </w:r>
      <w:r>
        <w:rPr>
          <w:rFonts w:ascii="宋体" w:hAnsi="宋体" w:cs="宋体" w:eastAsia="宋体" w:hint="default"/>
          <w:w w:val="100"/>
        </w:rPr>
        <w:t>2</w:t>
      </w:r>
      <w:r>
        <w:rPr>
          <w:rFonts w:ascii="宋体" w:hAnsi="宋体" w:cs="宋体" w:eastAsia="宋体" w:hint="default"/>
          <w:spacing w:val="-62"/>
        </w:rPr>
        <w:t> </w:t>
      </w:r>
      <w:r>
        <w:rPr>
          <w:w w:val="100"/>
        </w:rPr>
        <w:t>月</w:t>
      </w:r>
      <w:r>
        <w:rPr>
          <w:spacing w:val="-60"/>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60"/>
        </w:rPr>
        <w:t> </w:t>
      </w:r>
      <w:r>
        <w:rPr>
          <w:spacing w:val="-3"/>
          <w:w w:val="100"/>
        </w:rPr>
        <w:t>日</w:t>
      </w:r>
      <w:r>
        <w:rPr>
          <w:spacing w:val="-106"/>
          <w:w w:val="100"/>
        </w:rPr>
        <w:t>，</w:t>
      </w:r>
      <w:r>
        <w:rPr>
          <w:spacing w:val="-3"/>
          <w:w w:val="100"/>
        </w:rPr>
        <w:t>金</w:t>
      </w:r>
      <w:r>
        <w:rPr>
          <w:w w:val="100"/>
        </w:rPr>
        <w:t>志</w:t>
      </w:r>
      <w:r>
        <w:rPr>
          <w:spacing w:val="-3"/>
          <w:w w:val="100"/>
        </w:rPr>
        <w:t>峰</w:t>
      </w:r>
      <w:r>
        <w:rPr>
          <w:w w:val="100"/>
        </w:rPr>
        <w:t>和金</w:t>
      </w:r>
      <w:r>
        <w:rPr>
          <w:spacing w:val="-3"/>
          <w:w w:val="100"/>
        </w:rPr>
        <w:t>祖</w:t>
      </w:r>
      <w:r>
        <w:rPr>
          <w:w w:val="100"/>
        </w:rPr>
        <w:t>铭</w:t>
      </w:r>
      <w:r>
        <w:rPr>
          <w:spacing w:val="-3"/>
          <w:w w:val="100"/>
        </w:rPr>
        <w:t>在</w:t>
      </w:r>
      <w:r>
        <w:rPr>
          <w:w w:val="100"/>
        </w:rPr>
        <w:t>苏</w:t>
      </w:r>
      <w:r>
        <w:rPr>
          <w:spacing w:val="-3"/>
          <w:w w:val="100"/>
        </w:rPr>
        <w:t>州</w:t>
      </w:r>
      <w:r>
        <w:rPr>
          <w:w w:val="100"/>
        </w:rPr>
        <w:t>设</w:t>
      </w:r>
      <w:r>
        <w:rPr>
          <w:spacing w:val="-2"/>
          <w:w w:val="100"/>
        </w:rPr>
        <w:t>立</w:t>
      </w:r>
      <w:r>
        <w:rPr>
          <w:w w:val="100"/>
        </w:rPr>
        <w:t>“</w:t>
      </w:r>
      <w:r>
        <w:rPr>
          <w:spacing w:val="-3"/>
          <w:w w:val="100"/>
        </w:rPr>
        <w:t>苏</w:t>
      </w:r>
      <w:r>
        <w:rPr>
          <w:w w:val="100"/>
        </w:rPr>
        <w:t>州工</w:t>
      </w:r>
      <w:r>
        <w:rPr>
          <w:spacing w:val="-3"/>
          <w:w w:val="100"/>
        </w:rPr>
        <w:t>业</w:t>
      </w:r>
      <w:r>
        <w:rPr>
          <w:w w:val="100"/>
        </w:rPr>
        <w:t>园</w:t>
      </w:r>
      <w:r>
        <w:rPr>
          <w:spacing w:val="-3"/>
          <w:w w:val="100"/>
        </w:rPr>
        <w:t>区</w:t>
      </w:r>
      <w:r>
        <w:rPr>
          <w:w w:val="100"/>
        </w:rPr>
        <w:t>江</w:t>
      </w:r>
      <w:r>
        <w:rPr>
          <w:spacing w:val="-3"/>
          <w:w w:val="100"/>
        </w:rPr>
        <w:t>南</w:t>
      </w:r>
      <w:r>
        <w:rPr>
          <w:w w:val="100"/>
        </w:rPr>
        <w:t>嘉</w:t>
      </w:r>
      <w:r>
        <w:rPr>
          <w:spacing w:val="-3"/>
          <w:w w:val="100"/>
        </w:rPr>
        <w:t>捷</w:t>
      </w:r>
      <w:r>
        <w:rPr>
          <w:w w:val="100"/>
        </w:rPr>
        <w:t>机</w:t>
      </w:r>
      <w:r>
        <w:rPr>
          <w:spacing w:val="-3"/>
          <w:w w:val="100"/>
        </w:rPr>
        <w:t>电</w:t>
      </w:r>
      <w:r>
        <w:rPr>
          <w:w w:val="100"/>
        </w:rPr>
        <w:t>科技</w:t>
      </w:r>
      <w:r>
        <w:rPr>
          <w:spacing w:val="-3"/>
          <w:w w:val="100"/>
        </w:rPr>
        <w:t>有限公司</w:t>
      </w:r>
      <w:r>
        <w:rPr>
          <w:w w:val="100"/>
        </w:rPr>
        <w:t>”</w:t>
      </w:r>
    </w:p>
    <w:p>
      <w:pPr>
        <w:pStyle w:val="BodyText"/>
        <w:spacing w:line="240" w:lineRule="auto" w:before="135"/>
        <w:ind w:right="0"/>
        <w:jc w:val="both"/>
      </w:pPr>
      <w:r>
        <w:rPr/>
        <w:t>（以下简称“嘉捷机电科技”）。</w:t>
      </w:r>
    </w:p>
    <w:p>
      <w:pPr>
        <w:pStyle w:val="BodyText"/>
        <w:spacing w:line="355" w:lineRule="auto" w:before="133"/>
        <w:ind w:right="0" w:firstLine="419"/>
        <w:jc w:val="left"/>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22</w:t>
      </w:r>
      <w:r>
        <w:rPr>
          <w:rFonts w:ascii="宋体" w:hAnsi="宋体" w:cs="宋体" w:eastAsia="宋体" w:hint="default"/>
          <w:spacing w:val="-55"/>
        </w:rPr>
        <w:t> </w:t>
      </w:r>
      <w:r>
        <w:rPr/>
        <w:t>日，公司、金志峰、金祖铭、嘉捷机电科技和苏州嘉捷电梯签署了《拟出售</w:t>
      </w:r>
      <w:r>
        <w:rPr>
          <w:w w:val="100"/>
        </w:rPr>
        <w:t> </w:t>
      </w:r>
      <w:r>
        <w:rPr/>
        <w:t>资产置出安排确认书》，各方对拟出售资产交割进行确认并明确交割后相关安排。</w:t>
      </w:r>
    </w:p>
    <w:p>
      <w:pPr>
        <w:pStyle w:val="BodyText"/>
        <w:spacing w:line="240" w:lineRule="auto" w:before="32"/>
        <w:ind w:left="558" w:right="0"/>
        <w:jc w:val="left"/>
      </w:pPr>
      <w:r>
        <w:rPr>
          <w:spacing w:val="-4"/>
        </w:rPr>
        <w:t>截至报告期末，公司已收到嘉捷机电科技支付的 </w:t>
      </w:r>
      <w:r>
        <w:rPr>
          <w:rFonts w:ascii="宋体" w:hAnsi="宋体" w:cs="宋体" w:eastAsia="宋体" w:hint="default"/>
        </w:rPr>
        <w:t>16.9</w:t>
      </w:r>
      <w:r>
        <w:rPr>
          <w:rFonts w:ascii="宋体" w:hAnsi="宋体" w:cs="宋体" w:eastAsia="宋体" w:hint="default"/>
          <w:spacing w:val="-35"/>
        </w:rPr>
        <w:t> </w:t>
      </w:r>
      <w:r>
        <w:rPr>
          <w:spacing w:val="-5"/>
        </w:rPr>
        <w:t>亿元股权转让对价款，出售资产权属转</w:t>
      </w:r>
    </w:p>
    <w:p>
      <w:pPr>
        <w:pStyle w:val="BodyText"/>
        <w:spacing w:line="357" w:lineRule="auto" w:before="133"/>
        <w:ind w:right="108"/>
        <w:jc w:val="both"/>
      </w:pPr>
      <w:r>
        <w:rPr/>
        <w:t>移涉及的债权债务转移手续及员工安置手续等已经办理完成。</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6"/>
        </w:rPr>
        <w:t> </w:t>
      </w:r>
      <w:r>
        <w:rPr>
          <w:rFonts w:ascii="宋体" w:hAnsi="宋体" w:cs="宋体" w:eastAsia="宋体" w:hint="default"/>
        </w:rPr>
        <w:t>9</w:t>
      </w:r>
      <w:r>
        <w:rPr>
          <w:rFonts w:ascii="宋体" w:hAnsi="宋体" w:cs="宋体" w:eastAsia="宋体" w:hint="default"/>
          <w:spacing w:val="-56"/>
        </w:rPr>
        <w:t> </w:t>
      </w:r>
      <w:r>
        <w:rPr>
          <w:spacing w:val="-4"/>
        </w:rPr>
        <w:t>日，苏州江南嘉捷电</w:t>
      </w:r>
      <w:r>
        <w:rPr>
          <w:w w:val="100"/>
        </w:rPr>
        <w:t> </w:t>
      </w:r>
      <w:r>
        <w:rPr>
          <w:spacing w:val="-2"/>
        </w:rPr>
        <w:t>梯有限公司收到属地市场监督管理局出具的《公司准予变更登记通知书》，截至本报告披露日，</w:t>
      </w:r>
      <w:r>
        <w:rPr>
          <w:spacing w:val="-25"/>
        </w:rPr>
        <w:t> </w:t>
      </w:r>
      <w:r>
        <w:rPr>
          <w:spacing w:val="-25"/>
        </w:rPr>
      </w:r>
      <w:r>
        <w:rPr/>
        <w:t>置出资产的工商变更正在进行中。</w:t>
      </w:r>
    </w:p>
    <w:p>
      <w:pPr>
        <w:spacing w:after="0" w:line="357" w:lineRule="auto"/>
        <w:jc w:val="both"/>
        <w:sectPr>
          <w:pgSz w:w="11910" w:h="16840"/>
          <w:pgMar w:header="0" w:footer="1217" w:top="1320" w:bottom="1400" w:left="166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tabs>
          <w:tab w:pos="1060" w:val="left" w:leader="none"/>
        </w:tabs>
        <w:spacing w:line="240" w:lineRule="auto" w:before="169"/>
        <w:ind w:left="220" w:right="0"/>
        <w:jc w:val="left"/>
        <w:rPr>
          <w:b w:val="0"/>
          <w:bCs w:val="0"/>
        </w:rPr>
      </w:pPr>
      <w:r>
        <w:rPr>
          <w:rFonts w:ascii="宋体" w:hAnsi="宋体" w:cs="宋体" w:eastAsia="宋体" w:hint="default"/>
          <w:w w:val="95"/>
        </w:rPr>
        <w:t>(</w:t>
      </w:r>
      <w:r>
        <w:rPr>
          <w:w w:val="95"/>
        </w:rPr>
        <w:t>七</w:t>
      </w:r>
      <w:r>
        <w:rPr>
          <w:rFonts w:ascii="宋体" w:hAnsi="宋体" w:cs="宋体" w:eastAsia="宋体" w:hint="default"/>
          <w:w w:val="95"/>
        </w:rPr>
        <w:t>)</w:t>
        <w:tab/>
      </w:r>
      <w:r>
        <w:rPr/>
        <w:t>主要控股参股公司分析</w:t>
      </w:r>
      <w:r>
        <w:rPr>
          <w:b w:val="0"/>
          <w:bCs w:val="0"/>
        </w:rPr>
      </w:r>
    </w:p>
    <w:p>
      <w:pPr>
        <w:pStyle w:val="BodyText"/>
        <w:tabs>
          <w:tab w:pos="1062" w:val="left" w:leader="none"/>
        </w:tabs>
        <w:spacing w:line="240" w:lineRule="auto" w:before="58"/>
        <w:ind w:left="220" w:right="0"/>
        <w:jc w:val="left"/>
      </w:pPr>
      <w:r>
        <w:rPr/>
        <w:t>√适用</w:t>
        <w:tab/>
        <w:t>□不适用</w:t>
      </w:r>
    </w:p>
    <w:p>
      <w:pPr>
        <w:spacing w:line="240" w:lineRule="auto" w:before="2"/>
        <w:rPr>
          <w:rFonts w:ascii="宋体" w:hAnsi="宋体" w:cs="宋体" w:eastAsia="宋体" w:hint="default"/>
          <w:sz w:val="26"/>
          <w:szCs w:val="26"/>
        </w:rPr>
      </w:pPr>
    </w:p>
    <w:tbl>
      <w:tblPr>
        <w:tblW w:w="0" w:type="auto"/>
        <w:jc w:val="left"/>
        <w:tblInd w:w="102" w:type="dxa"/>
        <w:tblLayout w:type="fixed"/>
        <w:tblCellMar>
          <w:top w:w="0" w:type="dxa"/>
          <w:left w:w="0" w:type="dxa"/>
          <w:bottom w:w="0" w:type="dxa"/>
          <w:right w:w="0" w:type="dxa"/>
        </w:tblCellMar>
        <w:tblLook w:val="01E0"/>
      </w:tblPr>
      <w:tblGrid>
        <w:gridCol w:w="824"/>
        <w:gridCol w:w="658"/>
        <w:gridCol w:w="1999"/>
        <w:gridCol w:w="1767"/>
        <w:gridCol w:w="1764"/>
        <w:gridCol w:w="2062"/>
        <w:gridCol w:w="1731"/>
        <w:gridCol w:w="1505"/>
        <w:gridCol w:w="1781"/>
      </w:tblGrid>
      <w:tr>
        <w:trPr>
          <w:trHeight w:val="487" w:hRule="exact"/>
        </w:trPr>
        <w:tc>
          <w:tcPr>
            <w:tcW w:w="824" w:type="dxa"/>
            <w:tcBorders>
              <w:top w:val="single" w:sz="8" w:space="0" w:color="000000"/>
              <w:left w:val="single" w:sz="8" w:space="0" w:color="000000"/>
              <w:bottom w:val="single" w:sz="8" w:space="0" w:color="000000"/>
              <w:right w:val="single" w:sz="8" w:space="0" w:color="000000"/>
            </w:tcBorders>
          </w:tcPr>
          <w:p>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序号</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5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2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注册资本（千元）</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（千元）</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472"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（千元）</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净利润</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（千元）</w:t>
            </w:r>
          </w:p>
        </w:tc>
      </w:tr>
      <w:tr>
        <w:trPr>
          <w:trHeight w:val="488" w:hRule="exact"/>
        </w:trPr>
        <w:tc>
          <w:tcPr>
            <w:tcW w:w="824"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32" w:lineRule="exact"/>
              <w:ind w:left="220" w:right="130" w:hanging="89"/>
              <w:jc w:val="left"/>
              <w:rPr>
                <w:rFonts w:ascii="宋体" w:hAnsi="宋体" w:cs="宋体" w:eastAsia="宋体" w:hint="default"/>
                <w:sz w:val="18"/>
                <w:szCs w:val="18"/>
              </w:rPr>
            </w:pPr>
            <w:r>
              <w:rPr>
                <w:rFonts w:ascii="宋体" w:hAnsi="宋体" w:cs="宋体" w:eastAsia="宋体" w:hint="default"/>
                <w:sz w:val="18"/>
                <w:szCs w:val="18"/>
              </w:rPr>
              <w:t>主要子 公司</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5"/>
              <w:jc w:val="center"/>
              <w:rPr>
                <w:rFonts w:ascii="宋体" w:hAnsi="宋体" w:cs="宋体" w:eastAsia="宋体" w:hint="default"/>
                <w:sz w:val="18"/>
                <w:szCs w:val="18"/>
              </w:rPr>
            </w:pPr>
            <w:r>
              <w:rPr>
                <w:rFonts w:ascii="宋体"/>
                <w:sz w:val="18"/>
              </w:rPr>
              <w:t>1</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left="98" w:right="0"/>
              <w:jc w:val="left"/>
              <w:rPr>
                <w:rFonts w:ascii="宋体" w:hAnsi="宋体" w:cs="宋体" w:eastAsia="宋体" w:hint="default"/>
                <w:sz w:val="18"/>
                <w:szCs w:val="18"/>
              </w:rPr>
            </w:pPr>
            <w:r>
              <w:rPr>
                <w:rFonts w:ascii="宋体" w:hAnsi="宋体" w:cs="宋体" w:eastAsia="宋体" w:hint="default"/>
                <w:sz w:val="18"/>
                <w:szCs w:val="18"/>
              </w:rPr>
              <w:t>三六零科技有限公司</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pacing w:val="-8"/>
                <w:sz w:val="18"/>
                <w:szCs w:val="18"/>
              </w:rPr>
              <w:t>有限责任公司（法人</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独资）</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互联网广告及服务、</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技术开发及服务</w:t>
            </w:r>
          </w:p>
        </w:tc>
        <w:tc>
          <w:tcPr>
            <w:tcW w:w="2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3"/>
              <w:jc w:val="right"/>
              <w:rPr>
                <w:rFonts w:ascii="宋体" w:hAnsi="宋体" w:cs="宋体" w:eastAsia="宋体" w:hint="default"/>
                <w:sz w:val="18"/>
                <w:szCs w:val="18"/>
              </w:rPr>
            </w:pPr>
            <w:r>
              <w:rPr>
                <w:rFonts w:ascii="宋体"/>
                <w:spacing w:val="-1"/>
                <w:sz w:val="18"/>
              </w:rPr>
              <w:t>2,000,000</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9"/>
              <w:jc w:val="right"/>
              <w:rPr>
                <w:rFonts w:ascii="宋体" w:hAnsi="宋体" w:cs="宋体" w:eastAsia="宋体" w:hint="default"/>
                <w:sz w:val="18"/>
                <w:szCs w:val="18"/>
              </w:rPr>
            </w:pPr>
            <w:r>
              <w:rPr>
                <w:rFonts w:ascii="宋体"/>
                <w:spacing w:val="-1"/>
                <w:sz w:val="18"/>
              </w:rPr>
              <w:t>16,661,817</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宋体" w:hAnsi="宋体" w:cs="宋体" w:eastAsia="宋体" w:hint="default"/>
                <w:sz w:val="18"/>
                <w:szCs w:val="18"/>
              </w:rPr>
            </w:pPr>
            <w:r>
              <w:rPr>
                <w:rFonts w:ascii="宋体"/>
                <w:spacing w:val="-1"/>
                <w:sz w:val="18"/>
              </w:rPr>
              <w:t>14,279,370</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宋体" w:hAnsi="宋体" w:cs="宋体" w:eastAsia="宋体" w:hint="default"/>
                <w:sz w:val="18"/>
                <w:szCs w:val="18"/>
              </w:rPr>
            </w:pPr>
            <w:r>
              <w:rPr>
                <w:rFonts w:ascii="宋体"/>
                <w:spacing w:val="-1"/>
                <w:sz w:val="18"/>
              </w:rPr>
              <w:t>1,577,156</w:t>
            </w:r>
          </w:p>
        </w:tc>
      </w:tr>
      <w:tr>
        <w:trPr>
          <w:trHeight w:val="487" w:hRule="exact"/>
        </w:trPr>
        <w:tc>
          <w:tcPr>
            <w:tcW w:w="824" w:type="dxa"/>
            <w:vMerge/>
            <w:tcBorders>
              <w:left w:val="single" w:sz="8" w:space="0" w:color="000000"/>
              <w:right w:val="single" w:sz="8" w:space="0" w:color="000000"/>
            </w:tcBorders>
          </w:tcPr>
          <w:p>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2</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北京奇虎科技有限公</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pacing w:val="-8"/>
                <w:sz w:val="18"/>
                <w:szCs w:val="18"/>
              </w:rPr>
              <w:t>有限责任公司（法人</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独资）</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互联网广告及服务、</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技术开发及服务</w:t>
            </w:r>
          </w:p>
        </w:tc>
        <w:tc>
          <w:tcPr>
            <w:tcW w:w="2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3"/>
              <w:jc w:val="right"/>
              <w:rPr>
                <w:rFonts w:ascii="宋体" w:hAnsi="宋体" w:cs="宋体" w:eastAsia="宋体" w:hint="default"/>
                <w:sz w:val="18"/>
                <w:szCs w:val="18"/>
              </w:rPr>
            </w:pPr>
            <w:r>
              <w:rPr>
                <w:rFonts w:ascii="宋体"/>
                <w:sz w:val="18"/>
              </w:rPr>
              <w:t>500,000</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5,835,989</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4,366,327</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826,272</w:t>
            </w:r>
          </w:p>
        </w:tc>
      </w:tr>
      <w:tr>
        <w:trPr>
          <w:trHeight w:val="485" w:hRule="exact"/>
        </w:trPr>
        <w:tc>
          <w:tcPr>
            <w:tcW w:w="824" w:type="dxa"/>
            <w:vMerge/>
            <w:tcBorders>
              <w:left w:val="single" w:sz="8" w:space="0" w:color="000000"/>
              <w:right w:val="single" w:sz="8" w:space="0" w:color="000000"/>
            </w:tcBorders>
          </w:tcPr>
          <w:p>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5"/>
              <w:jc w:val="center"/>
              <w:rPr>
                <w:rFonts w:ascii="宋体" w:hAnsi="宋体" w:cs="宋体" w:eastAsia="宋体" w:hint="default"/>
                <w:sz w:val="18"/>
                <w:szCs w:val="18"/>
              </w:rPr>
            </w:pPr>
            <w:r>
              <w:rPr>
                <w:rFonts w:ascii="宋体"/>
                <w:sz w:val="18"/>
              </w:rPr>
              <w:t>3</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北京世界星辉科技有</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pacing w:val="-8"/>
                <w:sz w:val="18"/>
                <w:szCs w:val="18"/>
              </w:rPr>
              <w:t>有限责任公司（法人</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独资）</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left="98" w:right="0"/>
              <w:jc w:val="left"/>
              <w:rPr>
                <w:rFonts w:ascii="宋体" w:hAnsi="宋体" w:cs="宋体" w:eastAsia="宋体" w:hint="default"/>
                <w:sz w:val="18"/>
                <w:szCs w:val="18"/>
              </w:rPr>
            </w:pPr>
            <w:r>
              <w:rPr>
                <w:rFonts w:ascii="宋体" w:hAnsi="宋体" w:cs="宋体" w:eastAsia="宋体" w:hint="default"/>
                <w:sz w:val="18"/>
                <w:szCs w:val="18"/>
              </w:rPr>
              <w:t>互联网增值服务</w:t>
            </w:r>
          </w:p>
        </w:tc>
        <w:tc>
          <w:tcPr>
            <w:tcW w:w="2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93"/>
              <w:jc w:val="right"/>
              <w:rPr>
                <w:rFonts w:ascii="宋体" w:hAnsi="宋体" w:cs="宋体" w:eastAsia="宋体" w:hint="default"/>
                <w:sz w:val="18"/>
                <w:szCs w:val="18"/>
              </w:rPr>
            </w:pPr>
            <w:r>
              <w:rPr>
                <w:rFonts w:ascii="宋体"/>
                <w:spacing w:val="-1"/>
                <w:sz w:val="18"/>
              </w:rPr>
              <w:t>10,000</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pacing w:val="-1"/>
                <w:sz w:val="18"/>
              </w:rPr>
              <w:t>1,746,594</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595,289</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95"/>
              <w:jc w:val="right"/>
              <w:rPr>
                <w:rFonts w:ascii="宋体" w:hAnsi="宋体" w:cs="宋体" w:eastAsia="宋体" w:hint="default"/>
                <w:sz w:val="18"/>
                <w:szCs w:val="18"/>
              </w:rPr>
            </w:pPr>
            <w:r>
              <w:rPr>
                <w:rFonts w:ascii="宋体"/>
                <w:spacing w:val="-1"/>
                <w:sz w:val="18"/>
              </w:rPr>
              <w:t>16,568</w:t>
            </w:r>
          </w:p>
        </w:tc>
      </w:tr>
      <w:tr>
        <w:trPr>
          <w:trHeight w:val="487" w:hRule="exact"/>
        </w:trPr>
        <w:tc>
          <w:tcPr>
            <w:tcW w:w="824" w:type="dxa"/>
            <w:vMerge/>
            <w:tcBorders>
              <w:left w:val="single" w:sz="8" w:space="0" w:color="000000"/>
              <w:right w:val="single" w:sz="8" w:space="0" w:color="000000"/>
            </w:tcBorders>
          </w:tcPr>
          <w:p>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4</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北京奇虎</w:t>
            </w:r>
            <w:r>
              <w:rPr>
                <w:rFonts w:ascii="宋体" w:hAnsi="宋体" w:cs="宋体" w:eastAsia="宋体" w:hint="default"/>
                <w:spacing w:val="-53"/>
                <w:sz w:val="18"/>
                <w:szCs w:val="18"/>
              </w:rPr>
              <w:t> </w:t>
            </w:r>
            <w:r>
              <w:rPr>
                <w:rFonts w:ascii="宋体" w:hAnsi="宋体" w:cs="宋体" w:eastAsia="宋体" w:hint="default"/>
                <w:sz w:val="18"/>
                <w:szCs w:val="18"/>
              </w:rPr>
              <w:t>360</w:t>
            </w:r>
            <w:r>
              <w:rPr>
                <w:rFonts w:ascii="宋体" w:hAnsi="宋体" w:cs="宋体" w:eastAsia="宋体" w:hint="default"/>
                <w:spacing w:val="-52"/>
                <w:sz w:val="18"/>
                <w:szCs w:val="18"/>
              </w:rPr>
              <w:t> </w:t>
            </w:r>
            <w:r>
              <w:rPr>
                <w:rFonts w:ascii="宋体" w:hAnsi="宋体" w:cs="宋体" w:eastAsia="宋体" w:hint="default"/>
                <w:sz w:val="18"/>
                <w:szCs w:val="18"/>
              </w:rPr>
              <w:t>科技有限</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8"/>
                <w:sz w:val="18"/>
                <w:szCs w:val="18"/>
              </w:rPr>
              <w:t>有限责任公司（法人</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独资）</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技术开发及服务</w:t>
            </w:r>
          </w:p>
        </w:tc>
        <w:tc>
          <w:tcPr>
            <w:tcW w:w="2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3"/>
              <w:jc w:val="right"/>
              <w:rPr>
                <w:rFonts w:ascii="宋体" w:hAnsi="宋体" w:cs="宋体" w:eastAsia="宋体" w:hint="default"/>
                <w:sz w:val="18"/>
                <w:szCs w:val="18"/>
              </w:rPr>
            </w:pPr>
            <w:r>
              <w:rPr>
                <w:rFonts w:ascii="宋体"/>
                <w:sz w:val="18"/>
              </w:rPr>
              <w:t>6,500</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pacing w:val="-1"/>
                <w:sz w:val="18"/>
              </w:rPr>
              <w:t>160</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z w:val="18"/>
              </w:rPr>
              <w:t>(60)</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z w:val="18"/>
              </w:rPr>
              <w:t>(2,230)</w:t>
            </w:r>
          </w:p>
        </w:tc>
      </w:tr>
      <w:tr>
        <w:trPr>
          <w:trHeight w:val="720" w:hRule="exact"/>
        </w:trPr>
        <w:tc>
          <w:tcPr>
            <w:tcW w:w="824" w:type="dxa"/>
            <w:vMerge/>
            <w:tcBorders>
              <w:left w:val="single" w:sz="8" w:space="0" w:color="000000"/>
              <w:right w:val="single" w:sz="8" w:space="0" w:color="000000"/>
            </w:tcBorders>
          </w:tcPr>
          <w:p>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sz w:val="18"/>
              </w:rPr>
              <w:t>5</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12"/>
              <w:ind w:left="98" w:right="259"/>
              <w:jc w:val="left"/>
              <w:rPr>
                <w:rFonts w:ascii="宋体" w:hAnsi="宋体" w:cs="宋体" w:eastAsia="宋体" w:hint="default"/>
                <w:sz w:val="18"/>
                <w:szCs w:val="18"/>
              </w:rPr>
            </w:pPr>
            <w:r>
              <w:rPr>
                <w:rFonts w:ascii="宋体" w:hAnsi="宋体" w:cs="宋体" w:eastAsia="宋体" w:hint="default"/>
                <w:sz w:val="18"/>
                <w:szCs w:val="18"/>
              </w:rPr>
              <w:t>深圳市奇虎智能科技 有限公司</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8"/>
                <w:sz w:val="18"/>
                <w:szCs w:val="18"/>
              </w:rPr>
              <w:t>有限责任公司（自然</w:t>
            </w:r>
          </w:p>
          <w:p>
            <w:pPr>
              <w:pStyle w:val="TableParagraph"/>
              <w:spacing w:line="232" w:lineRule="exact" w:before="23"/>
              <w:ind w:left="98" w:right="206"/>
              <w:jc w:val="left"/>
              <w:rPr>
                <w:rFonts w:ascii="宋体" w:hAnsi="宋体" w:cs="宋体" w:eastAsia="宋体" w:hint="default"/>
                <w:sz w:val="18"/>
                <w:szCs w:val="18"/>
              </w:rPr>
            </w:pPr>
            <w:r>
              <w:rPr>
                <w:rFonts w:ascii="宋体" w:hAnsi="宋体" w:cs="宋体" w:eastAsia="宋体" w:hint="default"/>
                <w:sz w:val="18"/>
                <w:szCs w:val="18"/>
              </w:rPr>
              <w:t>人投资或控股的法 人独资）</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12"/>
              <w:ind w:left="98" w:right="204"/>
              <w:jc w:val="left"/>
              <w:rPr>
                <w:rFonts w:ascii="宋体" w:hAnsi="宋体" w:cs="宋体" w:eastAsia="宋体" w:hint="default"/>
                <w:sz w:val="18"/>
                <w:szCs w:val="18"/>
              </w:rPr>
            </w:pPr>
            <w:r>
              <w:rPr>
                <w:rFonts w:ascii="宋体" w:hAnsi="宋体" w:cs="宋体" w:eastAsia="宋体" w:hint="default"/>
                <w:sz w:val="18"/>
                <w:szCs w:val="18"/>
              </w:rPr>
              <w:t>智能硬件研发及销 售</w:t>
            </w:r>
          </w:p>
        </w:tc>
        <w:tc>
          <w:tcPr>
            <w:tcW w:w="2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30,000</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1,235,345</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2,278</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(4,826)</w:t>
            </w:r>
          </w:p>
        </w:tc>
      </w:tr>
      <w:tr>
        <w:trPr>
          <w:trHeight w:val="487" w:hRule="exact"/>
        </w:trPr>
        <w:tc>
          <w:tcPr>
            <w:tcW w:w="824" w:type="dxa"/>
            <w:vMerge/>
            <w:tcBorders>
              <w:left w:val="single" w:sz="8" w:space="0" w:color="000000"/>
              <w:right w:val="single" w:sz="8" w:space="0" w:color="000000"/>
            </w:tcBorders>
          </w:tcPr>
          <w:p>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6</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北京奇虎测腾科技有</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8"/>
                <w:sz w:val="18"/>
                <w:szCs w:val="18"/>
              </w:rPr>
              <w:t>有限责任公司（法人</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独资）</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技术开发及服务</w:t>
            </w:r>
          </w:p>
        </w:tc>
        <w:tc>
          <w:tcPr>
            <w:tcW w:w="2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3"/>
              <w:jc w:val="right"/>
              <w:rPr>
                <w:rFonts w:ascii="宋体" w:hAnsi="宋体" w:cs="宋体" w:eastAsia="宋体" w:hint="default"/>
                <w:sz w:val="18"/>
                <w:szCs w:val="18"/>
              </w:rPr>
            </w:pPr>
            <w:r>
              <w:rPr>
                <w:rFonts w:ascii="宋体"/>
                <w:spacing w:val="-1"/>
                <w:sz w:val="18"/>
              </w:rPr>
              <w:t>10,000</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pacing w:val="-1"/>
                <w:sz w:val="18"/>
              </w:rPr>
              <w:t>3,824</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pacing w:val="-1"/>
                <w:sz w:val="18"/>
              </w:rPr>
              <w:t>1,851</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(4,147)</w:t>
            </w:r>
          </w:p>
        </w:tc>
      </w:tr>
      <w:tr>
        <w:trPr>
          <w:trHeight w:val="487" w:hRule="exact"/>
        </w:trPr>
        <w:tc>
          <w:tcPr>
            <w:tcW w:w="824" w:type="dxa"/>
            <w:vMerge/>
            <w:tcBorders>
              <w:left w:val="single" w:sz="8" w:space="0" w:color="000000"/>
              <w:right w:val="single" w:sz="8" w:space="0" w:color="000000"/>
            </w:tcBorders>
          </w:tcPr>
          <w:p>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7</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北京鑫富恒通科技有</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8"/>
                <w:sz w:val="18"/>
                <w:szCs w:val="18"/>
              </w:rPr>
              <w:t>有限责任公司（法人</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独资）</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技术开发及服务</w:t>
            </w:r>
          </w:p>
        </w:tc>
        <w:tc>
          <w:tcPr>
            <w:tcW w:w="2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1"/>
              <w:jc w:val="right"/>
              <w:rPr>
                <w:rFonts w:ascii="宋体" w:hAnsi="宋体" w:cs="宋体" w:eastAsia="宋体" w:hint="default"/>
                <w:sz w:val="18"/>
                <w:szCs w:val="18"/>
              </w:rPr>
            </w:pPr>
            <w:r>
              <w:rPr>
                <w:rFonts w:ascii="宋体"/>
                <w:sz w:val="18"/>
              </w:rPr>
              <w:t>500</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456,708</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456,278</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18,452</w:t>
            </w:r>
          </w:p>
        </w:tc>
      </w:tr>
      <w:tr>
        <w:trPr>
          <w:trHeight w:val="487" w:hRule="exact"/>
        </w:trPr>
        <w:tc>
          <w:tcPr>
            <w:tcW w:w="824" w:type="dxa"/>
            <w:vMerge/>
            <w:tcBorders>
              <w:left w:val="single" w:sz="8" w:space="0" w:color="000000"/>
              <w:right w:val="single" w:sz="8" w:space="0" w:color="000000"/>
            </w:tcBorders>
          </w:tcPr>
          <w:p>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8</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北京远图科技有限公</w:t>
            </w: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pacing w:val="-8"/>
                <w:sz w:val="18"/>
                <w:szCs w:val="18"/>
              </w:rPr>
              <w:t>有限责任公司（法人</w:t>
            </w: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独资）</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技术开发及服务</w:t>
            </w:r>
          </w:p>
        </w:tc>
        <w:tc>
          <w:tcPr>
            <w:tcW w:w="2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3"/>
              <w:jc w:val="right"/>
              <w:rPr>
                <w:rFonts w:ascii="宋体" w:hAnsi="宋体" w:cs="宋体" w:eastAsia="宋体" w:hint="default"/>
                <w:sz w:val="18"/>
                <w:szCs w:val="18"/>
              </w:rPr>
            </w:pPr>
            <w:r>
              <w:rPr>
                <w:rFonts w:ascii="宋体"/>
                <w:sz w:val="18"/>
              </w:rPr>
              <w:t>2,600</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783,948</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211,141</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z w:val="18"/>
              </w:rPr>
              <w:t>239,422</w:t>
            </w:r>
          </w:p>
        </w:tc>
      </w:tr>
      <w:tr>
        <w:trPr>
          <w:trHeight w:val="487" w:hRule="exact"/>
        </w:trPr>
        <w:tc>
          <w:tcPr>
            <w:tcW w:w="824" w:type="dxa"/>
            <w:vMerge/>
            <w:tcBorders>
              <w:left w:val="single" w:sz="8" w:space="0" w:color="000000"/>
              <w:right w:val="single" w:sz="8" w:space="0" w:color="000000"/>
            </w:tcBorders>
          </w:tcPr>
          <w:p>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9</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奇逸软件（北京）有限</w:t>
            </w: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pacing w:val="-8"/>
                <w:sz w:val="18"/>
                <w:szCs w:val="18"/>
              </w:rPr>
              <w:t>有限责任公司（法人</w:t>
            </w: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独资）</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互联网增值服务</w:t>
            </w:r>
          </w:p>
        </w:tc>
        <w:tc>
          <w:tcPr>
            <w:tcW w:w="2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3"/>
              <w:jc w:val="right"/>
              <w:rPr>
                <w:rFonts w:ascii="宋体" w:hAnsi="宋体" w:cs="宋体" w:eastAsia="宋体" w:hint="default"/>
                <w:sz w:val="18"/>
                <w:szCs w:val="18"/>
              </w:rPr>
            </w:pPr>
            <w:r>
              <w:rPr>
                <w:rFonts w:ascii="宋体"/>
                <w:sz w:val="18"/>
              </w:rPr>
              <w:t>6,000</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500,851</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4,347</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(589)</w:t>
            </w:r>
          </w:p>
        </w:tc>
      </w:tr>
      <w:tr>
        <w:trPr>
          <w:trHeight w:val="487" w:hRule="exact"/>
        </w:trPr>
        <w:tc>
          <w:tcPr>
            <w:tcW w:w="824" w:type="dxa"/>
            <w:vMerge/>
            <w:tcBorders>
              <w:left w:val="single" w:sz="8" w:space="0" w:color="000000"/>
              <w:right w:val="single" w:sz="8" w:space="0" w:color="000000"/>
            </w:tcBorders>
          </w:tcPr>
          <w:p>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10</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sz w:val="18"/>
              </w:rPr>
              <w:t>Qisi (HK)</w:t>
            </w:r>
            <w:r>
              <w:rPr>
                <w:rFonts w:ascii="宋体"/>
                <w:spacing w:val="-23"/>
                <w:sz w:val="18"/>
              </w:rPr>
              <w:t> </w:t>
            </w:r>
            <w:r>
              <w:rPr>
                <w:rFonts w:ascii="宋体"/>
                <w:sz w:val="18"/>
              </w:rPr>
              <w:t>Technology</w:t>
            </w:r>
          </w:p>
          <w:p>
            <w:pPr>
              <w:pStyle w:val="TableParagraph"/>
              <w:spacing w:line="234" w:lineRule="exact"/>
              <w:ind w:left="98" w:right="0"/>
              <w:jc w:val="left"/>
              <w:rPr>
                <w:rFonts w:ascii="宋体" w:hAnsi="宋体" w:cs="宋体" w:eastAsia="宋体" w:hint="default"/>
                <w:sz w:val="18"/>
                <w:szCs w:val="18"/>
              </w:rPr>
            </w:pPr>
            <w:r>
              <w:rPr>
                <w:rFonts w:ascii="宋体"/>
                <w:sz w:val="18"/>
              </w:rPr>
              <w:t>Co.</w:t>
            </w:r>
            <w:r>
              <w:rPr>
                <w:rFonts w:ascii="宋体"/>
                <w:spacing w:val="-2"/>
                <w:sz w:val="18"/>
              </w:rPr>
              <w:t> </w:t>
            </w:r>
            <w:r>
              <w:rPr>
                <w:rFonts w:ascii="宋体"/>
                <w:sz w:val="18"/>
              </w:rPr>
              <w:t>Limited</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206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1"/>
              <w:jc w:val="righ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（千美元）</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46,640</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z w:val="18"/>
              </w:rPr>
              <w:t>(36)</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z w:val="18"/>
              </w:rPr>
              <w:t>(35)</w:t>
            </w:r>
          </w:p>
        </w:tc>
      </w:tr>
      <w:tr>
        <w:trPr>
          <w:trHeight w:val="485" w:hRule="exact"/>
        </w:trPr>
        <w:tc>
          <w:tcPr>
            <w:tcW w:w="824" w:type="dxa"/>
            <w:vMerge/>
            <w:tcBorders>
              <w:left w:val="single" w:sz="8" w:space="0" w:color="000000"/>
              <w:bottom w:val="single" w:sz="8" w:space="0" w:color="000000"/>
              <w:right w:val="single" w:sz="8" w:space="0" w:color="000000"/>
            </w:tcBorders>
          </w:tcPr>
          <w:p>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11</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left="98" w:right="0"/>
              <w:jc w:val="left"/>
              <w:rPr>
                <w:rFonts w:ascii="宋体" w:hAnsi="宋体" w:cs="宋体" w:eastAsia="宋体" w:hint="default"/>
                <w:sz w:val="18"/>
                <w:szCs w:val="18"/>
              </w:rPr>
            </w:pPr>
            <w:r>
              <w:rPr>
                <w:rFonts w:ascii="宋体"/>
                <w:sz w:val="18"/>
              </w:rPr>
              <w:t>True Thrive</w:t>
            </w:r>
            <w:r>
              <w:rPr>
                <w:rFonts w:ascii="宋体"/>
                <w:spacing w:val="-6"/>
                <w:sz w:val="18"/>
              </w:rPr>
              <w:t> </w:t>
            </w:r>
            <w:r>
              <w:rPr>
                <w:rFonts w:ascii="宋体"/>
                <w:sz w:val="18"/>
              </w:rPr>
              <w:t>Limited</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left="98"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2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91"/>
              <w:jc w:val="right"/>
              <w:rPr>
                <w:rFonts w:ascii="宋体" w:hAnsi="宋体" w:cs="宋体" w:eastAsia="宋体" w:hint="default"/>
                <w:sz w:val="18"/>
                <w:szCs w:val="18"/>
              </w:rPr>
            </w:pPr>
            <w:r>
              <w:rPr>
                <w:rFonts w:ascii="宋体" w:hAnsi="宋体" w:cs="宋体" w:eastAsia="宋体" w:hint="default"/>
                <w:spacing w:val="-1"/>
                <w:sz w:val="18"/>
                <w:szCs w:val="18"/>
              </w:rPr>
              <w:t>10,000,000</w:t>
            </w:r>
            <w:r>
              <w:rPr>
                <w:rFonts w:ascii="宋体" w:hAnsi="宋体" w:cs="宋体" w:eastAsia="宋体" w:hint="default"/>
                <w:spacing w:val="-1"/>
                <w:sz w:val="18"/>
                <w:szCs w:val="18"/>
              </w:rPr>
              <w:t>（千美元）</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pacing w:val="-1"/>
                <w:sz w:val="18"/>
              </w:rPr>
              <w:t>5,970,925</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95"/>
              <w:jc w:val="right"/>
              <w:rPr>
                <w:rFonts w:ascii="宋体" w:hAnsi="宋体" w:cs="宋体" w:eastAsia="宋体" w:hint="default"/>
                <w:sz w:val="18"/>
                <w:szCs w:val="18"/>
              </w:rPr>
            </w:pPr>
            <w:r>
              <w:rPr>
                <w:rFonts w:ascii="宋体"/>
                <w:spacing w:val="-1"/>
                <w:sz w:val="18"/>
              </w:rPr>
              <w:t>4,815,036</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15,078</w:t>
            </w:r>
          </w:p>
        </w:tc>
      </w:tr>
      <w:tr>
        <w:trPr>
          <w:trHeight w:val="487" w:hRule="exact"/>
        </w:trPr>
        <w:tc>
          <w:tcPr>
            <w:tcW w:w="82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132" w:right="0"/>
              <w:jc w:val="left"/>
              <w:rPr>
                <w:rFonts w:ascii="宋体" w:hAnsi="宋体" w:cs="宋体" w:eastAsia="宋体" w:hint="default"/>
                <w:sz w:val="18"/>
                <w:szCs w:val="18"/>
              </w:rPr>
            </w:pPr>
            <w:r>
              <w:rPr>
                <w:rFonts w:ascii="宋体" w:hAnsi="宋体" w:cs="宋体" w:eastAsia="宋体" w:hint="default"/>
                <w:sz w:val="18"/>
                <w:szCs w:val="18"/>
              </w:rPr>
              <w:t>其他重</w:t>
            </w:r>
          </w:p>
          <w:p>
            <w:pPr>
              <w:pStyle w:val="TableParagraph"/>
              <w:spacing w:line="234" w:lineRule="exact"/>
              <w:ind w:left="132" w:right="0"/>
              <w:jc w:val="left"/>
              <w:rPr>
                <w:rFonts w:ascii="宋体" w:hAnsi="宋体" w:cs="宋体" w:eastAsia="宋体" w:hint="default"/>
                <w:sz w:val="18"/>
                <w:szCs w:val="18"/>
              </w:rPr>
            </w:pPr>
            <w:r>
              <w:rPr>
                <w:rFonts w:ascii="宋体" w:hAnsi="宋体" w:cs="宋体" w:eastAsia="宋体" w:hint="default"/>
                <w:sz w:val="18"/>
                <w:szCs w:val="18"/>
              </w:rPr>
              <w:t>要子公</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1</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北京奇宝科技有限公</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07"/>
              <w:jc w:val="center"/>
              <w:rPr>
                <w:rFonts w:ascii="宋体" w:hAnsi="宋体" w:cs="宋体" w:eastAsia="宋体" w:hint="default"/>
                <w:sz w:val="18"/>
                <w:szCs w:val="18"/>
              </w:rPr>
            </w:pPr>
            <w:r>
              <w:rPr>
                <w:rFonts w:ascii="宋体" w:hAnsi="宋体" w:cs="宋体" w:eastAsia="宋体" w:hint="default"/>
                <w:sz w:val="18"/>
                <w:szCs w:val="18"/>
              </w:rPr>
              <w:t>其他有限责任公司</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智能硬件研发及销</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售</w:t>
            </w:r>
          </w:p>
        </w:tc>
        <w:tc>
          <w:tcPr>
            <w:tcW w:w="2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3"/>
              <w:jc w:val="right"/>
              <w:rPr>
                <w:rFonts w:ascii="宋体" w:hAnsi="宋体" w:cs="宋体" w:eastAsia="宋体" w:hint="default"/>
                <w:sz w:val="18"/>
                <w:szCs w:val="18"/>
              </w:rPr>
            </w:pPr>
            <w:r>
              <w:rPr>
                <w:rFonts w:ascii="宋体"/>
                <w:spacing w:val="-1"/>
                <w:sz w:val="18"/>
              </w:rPr>
              <w:t>11,245.2</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224,187</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178,660</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(90,788)</w:t>
            </w:r>
          </w:p>
        </w:tc>
      </w:tr>
    </w:tbl>
    <w:p>
      <w:pPr>
        <w:spacing w:after="0" w:line="240" w:lineRule="auto"/>
        <w:jc w:val="right"/>
        <w:rPr>
          <w:rFonts w:ascii="宋体" w:hAnsi="宋体" w:cs="宋体" w:eastAsia="宋体" w:hint="default"/>
          <w:sz w:val="18"/>
          <w:szCs w:val="18"/>
        </w:rPr>
        <w:sectPr>
          <w:headerReference w:type="default" r:id="rId23"/>
          <w:footerReference w:type="default" r:id="rId24"/>
          <w:pgSz w:w="16840" w:h="11910" w:orient="landscape"/>
          <w:pgMar w:header="857" w:footer="1218" w:top="1320" w:bottom="1400" w:left="1220" w:right="1280"/>
          <w:pgNumType w:start="33"/>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02" w:type="dxa"/>
        <w:tblLayout w:type="fixed"/>
        <w:tblCellMar>
          <w:top w:w="0" w:type="dxa"/>
          <w:left w:w="0" w:type="dxa"/>
          <w:bottom w:w="0" w:type="dxa"/>
          <w:right w:w="0" w:type="dxa"/>
        </w:tblCellMar>
        <w:tblLook w:val="01E0"/>
      </w:tblPr>
      <w:tblGrid>
        <w:gridCol w:w="824"/>
        <w:gridCol w:w="658"/>
        <w:gridCol w:w="1999"/>
        <w:gridCol w:w="1767"/>
        <w:gridCol w:w="1764"/>
        <w:gridCol w:w="2062"/>
        <w:gridCol w:w="1731"/>
        <w:gridCol w:w="1505"/>
        <w:gridCol w:w="1781"/>
      </w:tblGrid>
      <w:tr>
        <w:trPr>
          <w:trHeight w:val="487" w:hRule="exact"/>
        </w:trPr>
        <w:tc>
          <w:tcPr>
            <w:tcW w:w="824" w:type="dxa"/>
            <w:tcBorders>
              <w:top w:val="single" w:sz="8" w:space="0" w:color="000000"/>
              <w:left w:val="single" w:sz="8" w:space="0" w:color="000000"/>
              <w:bottom w:val="single" w:sz="8" w:space="0" w:color="000000"/>
              <w:right w:val="single" w:sz="8" w:space="0" w:color="000000"/>
            </w:tcBorders>
          </w:tcPr>
          <w:p>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序号</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514"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5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2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注册资本（千元）</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（千元）</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472"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34" w:lineRule="exact"/>
              <w:ind w:left="381" w:right="0"/>
              <w:jc w:val="left"/>
              <w:rPr>
                <w:rFonts w:ascii="宋体" w:hAnsi="宋体" w:cs="宋体" w:eastAsia="宋体" w:hint="default"/>
                <w:sz w:val="18"/>
                <w:szCs w:val="18"/>
              </w:rPr>
            </w:pPr>
            <w:r>
              <w:rPr>
                <w:rFonts w:ascii="宋体" w:hAnsi="宋体" w:cs="宋体" w:eastAsia="宋体" w:hint="default"/>
                <w:sz w:val="18"/>
                <w:szCs w:val="18"/>
              </w:rPr>
              <w:t>（千元）</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净利润</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（千元）</w:t>
            </w:r>
          </w:p>
        </w:tc>
      </w:tr>
      <w:tr>
        <w:trPr>
          <w:trHeight w:val="720" w:hRule="exact"/>
        </w:trPr>
        <w:tc>
          <w:tcPr>
            <w:tcW w:w="824" w:type="dxa"/>
            <w:vMerge w:val="restart"/>
            <w:tcBorders>
              <w:top w:val="single" w:sz="8" w:space="0" w:color="000000"/>
              <w:left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sz w:val="18"/>
              </w:rPr>
              <w:t>2</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12"/>
              <w:ind w:left="98" w:right="259"/>
              <w:jc w:val="left"/>
              <w:rPr>
                <w:rFonts w:ascii="宋体" w:hAnsi="宋体" w:cs="宋体" w:eastAsia="宋体" w:hint="default"/>
                <w:sz w:val="18"/>
                <w:szCs w:val="18"/>
              </w:rPr>
            </w:pPr>
            <w:r>
              <w:rPr>
                <w:rFonts w:ascii="宋体" w:hAnsi="宋体" w:cs="宋体" w:eastAsia="宋体" w:hint="default"/>
                <w:sz w:val="18"/>
                <w:szCs w:val="18"/>
              </w:rPr>
              <w:t>深圳奇虎健安智能科 技有限公司</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pacing w:val="-8"/>
                <w:sz w:val="18"/>
                <w:szCs w:val="18"/>
              </w:rPr>
              <w:t>有限责任公司（自然</w:t>
            </w:r>
          </w:p>
          <w:p>
            <w:pPr>
              <w:pStyle w:val="TableParagraph"/>
              <w:spacing w:line="232" w:lineRule="exact" w:before="23"/>
              <w:ind w:left="98" w:right="206"/>
              <w:jc w:val="left"/>
              <w:rPr>
                <w:rFonts w:ascii="宋体" w:hAnsi="宋体" w:cs="宋体" w:eastAsia="宋体" w:hint="default"/>
                <w:sz w:val="18"/>
                <w:szCs w:val="18"/>
              </w:rPr>
            </w:pPr>
            <w:r>
              <w:rPr>
                <w:rFonts w:ascii="宋体" w:hAnsi="宋体" w:cs="宋体" w:eastAsia="宋体" w:hint="default"/>
                <w:sz w:val="18"/>
                <w:szCs w:val="18"/>
              </w:rPr>
              <w:t>人投资或控股的法 人独资）</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12"/>
              <w:ind w:left="98" w:right="204"/>
              <w:jc w:val="left"/>
              <w:rPr>
                <w:rFonts w:ascii="宋体" w:hAnsi="宋体" w:cs="宋体" w:eastAsia="宋体" w:hint="default"/>
                <w:sz w:val="18"/>
                <w:szCs w:val="18"/>
              </w:rPr>
            </w:pPr>
            <w:r>
              <w:rPr>
                <w:rFonts w:ascii="宋体" w:hAnsi="宋体" w:cs="宋体" w:eastAsia="宋体" w:hint="default"/>
                <w:sz w:val="18"/>
                <w:szCs w:val="18"/>
              </w:rPr>
              <w:t>智能硬件研发及销 售</w:t>
            </w:r>
          </w:p>
        </w:tc>
        <w:tc>
          <w:tcPr>
            <w:tcW w:w="2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10,000</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389,947</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(60,057)</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5"/>
              <w:jc w:val="right"/>
              <w:rPr>
                <w:rFonts w:ascii="宋体" w:hAnsi="宋体" w:cs="宋体" w:eastAsia="宋体" w:hint="default"/>
                <w:sz w:val="18"/>
                <w:szCs w:val="18"/>
              </w:rPr>
            </w:pPr>
            <w:r>
              <w:rPr>
                <w:rFonts w:ascii="宋体"/>
                <w:sz w:val="18"/>
              </w:rPr>
              <w:t>(6,940)</w:t>
            </w:r>
          </w:p>
        </w:tc>
      </w:tr>
      <w:tr>
        <w:trPr>
          <w:trHeight w:val="487" w:hRule="exact"/>
        </w:trPr>
        <w:tc>
          <w:tcPr>
            <w:tcW w:w="824" w:type="dxa"/>
            <w:vMerge/>
            <w:tcBorders>
              <w:left w:val="single" w:sz="8" w:space="0" w:color="000000"/>
              <w:right w:val="single" w:sz="8" w:space="0" w:color="000000"/>
            </w:tcBorders>
          </w:tcPr>
          <w:p>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3</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上海聚效广告有限公</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pacing w:val="-8"/>
                <w:sz w:val="18"/>
                <w:szCs w:val="18"/>
              </w:rPr>
              <w:t>有限责任公司（台港</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澳法人独资）</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互联网广告及服务</w:t>
            </w:r>
          </w:p>
        </w:tc>
        <w:tc>
          <w:tcPr>
            <w:tcW w:w="2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1"/>
              <w:jc w:val="right"/>
              <w:rPr>
                <w:rFonts w:ascii="宋体" w:hAnsi="宋体" w:cs="宋体" w:eastAsia="宋体" w:hint="default"/>
                <w:sz w:val="18"/>
                <w:szCs w:val="18"/>
              </w:rPr>
            </w:pPr>
            <w:r>
              <w:rPr>
                <w:rFonts w:ascii="宋体" w:hAnsi="宋体" w:cs="宋体" w:eastAsia="宋体" w:hint="default"/>
                <w:sz w:val="18"/>
                <w:szCs w:val="18"/>
              </w:rPr>
              <w:t>12,000</w:t>
            </w:r>
            <w:r>
              <w:rPr>
                <w:rFonts w:ascii="宋体" w:hAnsi="宋体" w:cs="宋体" w:eastAsia="宋体" w:hint="default"/>
                <w:sz w:val="18"/>
                <w:szCs w:val="18"/>
              </w:rPr>
              <w:t>（千美元）</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64,554</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45,268</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47,580</w:t>
            </w:r>
          </w:p>
        </w:tc>
      </w:tr>
      <w:tr>
        <w:trPr>
          <w:trHeight w:val="485" w:hRule="exact"/>
        </w:trPr>
        <w:tc>
          <w:tcPr>
            <w:tcW w:w="824" w:type="dxa"/>
            <w:vMerge/>
            <w:tcBorders>
              <w:left w:val="single" w:sz="8" w:space="0" w:color="000000"/>
              <w:right w:val="single" w:sz="8" w:space="0" w:color="000000"/>
            </w:tcBorders>
          </w:tcPr>
          <w:p>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5"/>
              <w:jc w:val="center"/>
              <w:rPr>
                <w:rFonts w:ascii="宋体" w:hAnsi="宋体" w:cs="宋体" w:eastAsia="宋体" w:hint="default"/>
                <w:sz w:val="18"/>
                <w:szCs w:val="18"/>
              </w:rPr>
            </w:pPr>
            <w:r>
              <w:rPr>
                <w:rFonts w:ascii="宋体"/>
                <w:sz w:val="18"/>
              </w:rPr>
              <w:t>4</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摩比神奇（北京）信息</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left="98" w:right="0"/>
              <w:jc w:val="left"/>
              <w:rPr>
                <w:rFonts w:ascii="宋体" w:hAnsi="宋体" w:cs="宋体" w:eastAsia="宋体" w:hint="default"/>
                <w:sz w:val="18"/>
                <w:szCs w:val="18"/>
              </w:rPr>
            </w:pPr>
            <w:r>
              <w:rPr>
                <w:rFonts w:ascii="宋体" w:hAnsi="宋体" w:cs="宋体" w:eastAsia="宋体" w:hint="default"/>
                <w:sz w:val="18"/>
                <w:szCs w:val="18"/>
              </w:rPr>
              <w:t>其他有限责任公司</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移动安全软件研发</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及运营管理</w:t>
            </w:r>
          </w:p>
        </w:tc>
        <w:tc>
          <w:tcPr>
            <w:tcW w:w="2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3"/>
              <w:jc w:val="right"/>
              <w:rPr>
                <w:rFonts w:ascii="宋体" w:hAnsi="宋体" w:cs="宋体" w:eastAsia="宋体" w:hint="default"/>
                <w:sz w:val="18"/>
                <w:szCs w:val="18"/>
              </w:rPr>
            </w:pPr>
            <w:r>
              <w:rPr>
                <w:rFonts w:ascii="宋体"/>
                <w:spacing w:val="-1"/>
                <w:sz w:val="18"/>
              </w:rPr>
              <w:t>10,350.766</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8"/>
              <w:jc w:val="right"/>
              <w:rPr>
                <w:rFonts w:ascii="宋体" w:hAnsi="宋体" w:cs="宋体" w:eastAsia="宋体" w:hint="default"/>
                <w:sz w:val="18"/>
                <w:szCs w:val="18"/>
              </w:rPr>
            </w:pPr>
            <w:r>
              <w:rPr>
                <w:rFonts w:ascii="宋体"/>
                <w:spacing w:val="-1"/>
                <w:sz w:val="18"/>
              </w:rPr>
              <w:t>458,893</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宋体" w:hAnsi="宋体" w:cs="宋体" w:eastAsia="宋体" w:hint="default"/>
                <w:sz w:val="18"/>
                <w:szCs w:val="18"/>
              </w:rPr>
            </w:pPr>
            <w:r>
              <w:rPr>
                <w:rFonts w:ascii="宋体"/>
                <w:sz w:val="18"/>
              </w:rPr>
              <w:t>229,355</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宋体" w:hAnsi="宋体" w:cs="宋体" w:eastAsia="宋体" w:hint="default"/>
                <w:sz w:val="18"/>
                <w:szCs w:val="18"/>
              </w:rPr>
            </w:pPr>
            <w:r>
              <w:rPr>
                <w:rFonts w:ascii="宋体"/>
                <w:sz w:val="18"/>
              </w:rPr>
              <w:t>(1,005)</w:t>
            </w:r>
          </w:p>
        </w:tc>
      </w:tr>
      <w:tr>
        <w:trPr>
          <w:trHeight w:val="487" w:hRule="exact"/>
        </w:trPr>
        <w:tc>
          <w:tcPr>
            <w:tcW w:w="824" w:type="dxa"/>
            <w:vMerge/>
            <w:tcBorders>
              <w:left w:val="single" w:sz="8" w:space="0" w:color="000000"/>
              <w:right w:val="single" w:sz="8" w:space="0" w:color="000000"/>
            </w:tcBorders>
          </w:tcPr>
          <w:p>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5</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天津奇睿天成股权投</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资中心（有限合伙）</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有限合伙企业</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2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z w:val="18"/>
              </w:rPr>
              <w:t>-</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558,877</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55,797</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(13,745)</w:t>
            </w:r>
          </w:p>
        </w:tc>
      </w:tr>
      <w:tr>
        <w:trPr>
          <w:trHeight w:val="720" w:hRule="exact"/>
        </w:trPr>
        <w:tc>
          <w:tcPr>
            <w:tcW w:w="824" w:type="dxa"/>
            <w:vMerge/>
            <w:tcBorders>
              <w:left w:val="single" w:sz="8" w:space="0" w:color="000000"/>
              <w:right w:val="single" w:sz="8" w:space="0" w:color="000000"/>
            </w:tcBorders>
          </w:tcPr>
          <w:p>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sz w:val="18"/>
              </w:rPr>
              <w:t>6</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259"/>
              <w:jc w:val="left"/>
              <w:rPr>
                <w:rFonts w:ascii="宋体" w:hAnsi="宋体" w:cs="宋体" w:eastAsia="宋体" w:hint="default"/>
                <w:sz w:val="18"/>
                <w:szCs w:val="18"/>
              </w:rPr>
            </w:pPr>
            <w:r>
              <w:rPr>
                <w:rFonts w:ascii="宋体" w:hAnsi="宋体" w:cs="宋体" w:eastAsia="宋体" w:hint="default"/>
                <w:sz w:val="18"/>
                <w:szCs w:val="18"/>
              </w:rPr>
              <w:t>深圳市奇付通科技有 限公司</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8"/>
                <w:sz w:val="18"/>
                <w:szCs w:val="18"/>
              </w:rPr>
              <w:t>有限责任公司（自然</w:t>
            </w:r>
          </w:p>
          <w:p>
            <w:pPr>
              <w:pStyle w:val="TableParagraph"/>
              <w:spacing w:line="232" w:lineRule="exact" w:before="23"/>
              <w:ind w:left="98" w:right="206"/>
              <w:jc w:val="left"/>
              <w:rPr>
                <w:rFonts w:ascii="宋体" w:hAnsi="宋体" w:cs="宋体" w:eastAsia="宋体" w:hint="default"/>
                <w:sz w:val="18"/>
                <w:szCs w:val="18"/>
              </w:rPr>
            </w:pPr>
            <w:r>
              <w:rPr>
                <w:rFonts w:ascii="宋体" w:hAnsi="宋体" w:cs="宋体" w:eastAsia="宋体" w:hint="default"/>
                <w:sz w:val="18"/>
                <w:szCs w:val="18"/>
              </w:rPr>
              <w:t>人投资或控股的法 人独资）</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技术开发及服务</w:t>
            </w:r>
          </w:p>
        </w:tc>
        <w:tc>
          <w:tcPr>
            <w:tcW w:w="2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3"/>
              <w:jc w:val="right"/>
              <w:rPr>
                <w:rFonts w:ascii="宋体" w:hAnsi="宋体" w:cs="宋体" w:eastAsia="宋体" w:hint="default"/>
                <w:sz w:val="18"/>
                <w:szCs w:val="18"/>
              </w:rPr>
            </w:pPr>
            <w:r>
              <w:rPr>
                <w:rFonts w:ascii="宋体"/>
                <w:sz w:val="18"/>
              </w:rPr>
              <w:t>100,000</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165,346</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159,687</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43,642</w:t>
            </w:r>
          </w:p>
        </w:tc>
      </w:tr>
      <w:tr>
        <w:trPr>
          <w:trHeight w:val="722" w:hRule="exact"/>
        </w:trPr>
        <w:tc>
          <w:tcPr>
            <w:tcW w:w="824" w:type="dxa"/>
            <w:vMerge/>
            <w:tcBorders>
              <w:left w:val="single" w:sz="8" w:space="0" w:color="000000"/>
              <w:right w:val="single" w:sz="8" w:space="0" w:color="000000"/>
            </w:tcBorders>
          </w:tcPr>
          <w:p>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sz w:val="18"/>
              </w:rPr>
              <w:t>7</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sz w:val="18"/>
              </w:rPr>
              <w:t>Qifei</w:t>
            </w:r>
            <w:r>
              <w:rPr>
                <w:rFonts w:ascii="宋体"/>
                <w:spacing w:val="-6"/>
                <w:sz w:val="18"/>
              </w:rPr>
              <w:t> </w:t>
            </w:r>
            <w:r>
              <w:rPr>
                <w:rFonts w:ascii="宋体"/>
                <w:sz w:val="18"/>
              </w:rPr>
              <w:t>International</w:t>
            </w:r>
          </w:p>
          <w:p>
            <w:pPr>
              <w:pStyle w:val="TableParagraph"/>
              <w:spacing w:line="232" w:lineRule="exact" w:before="23"/>
              <w:ind w:left="98" w:right="528"/>
              <w:jc w:val="left"/>
              <w:rPr>
                <w:rFonts w:ascii="宋体" w:hAnsi="宋体" w:cs="宋体" w:eastAsia="宋体" w:hint="default"/>
                <w:sz w:val="18"/>
                <w:szCs w:val="18"/>
              </w:rPr>
            </w:pPr>
            <w:r>
              <w:rPr>
                <w:rFonts w:ascii="宋体"/>
                <w:sz w:val="18"/>
              </w:rPr>
              <w:t>Development</w:t>
            </w:r>
            <w:r>
              <w:rPr>
                <w:rFonts w:ascii="宋体"/>
                <w:spacing w:val="-4"/>
                <w:sz w:val="18"/>
              </w:rPr>
              <w:t> </w:t>
            </w:r>
            <w:r>
              <w:rPr>
                <w:rFonts w:ascii="宋体"/>
                <w:sz w:val="18"/>
              </w:rPr>
              <w:t>Co.</w:t>
            </w:r>
            <w:r>
              <w:rPr>
                <w:rFonts w:ascii="宋体"/>
                <w:sz w:val="18"/>
              </w:rPr>
              <w:t> Limited</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sz w:val="18"/>
              </w:rPr>
              <w:t>-</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2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（港币）</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7,195,394</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3,284,273</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168,808</w:t>
            </w:r>
          </w:p>
        </w:tc>
      </w:tr>
      <w:tr>
        <w:trPr>
          <w:trHeight w:val="305" w:hRule="exact"/>
        </w:trPr>
        <w:tc>
          <w:tcPr>
            <w:tcW w:w="824" w:type="dxa"/>
            <w:vMerge/>
            <w:tcBorders>
              <w:left w:val="single" w:sz="8" w:space="0" w:color="000000"/>
              <w:right w:val="single" w:sz="8" w:space="0" w:color="000000"/>
            </w:tcBorders>
          </w:tcPr>
          <w:p>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5"/>
              <w:jc w:val="center"/>
              <w:rPr>
                <w:rFonts w:ascii="宋体" w:hAnsi="宋体" w:cs="宋体" w:eastAsia="宋体" w:hint="default"/>
                <w:sz w:val="18"/>
                <w:szCs w:val="18"/>
              </w:rPr>
            </w:pPr>
            <w:r>
              <w:rPr>
                <w:rFonts w:ascii="宋体"/>
                <w:sz w:val="18"/>
              </w:rPr>
              <w:t>8</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sz w:val="18"/>
              </w:rPr>
              <w:t>Ample Choice</w:t>
            </w:r>
            <w:r>
              <w:rPr>
                <w:rFonts w:ascii="宋体"/>
                <w:spacing w:val="-24"/>
                <w:sz w:val="18"/>
              </w:rPr>
              <w:t> </w:t>
            </w:r>
            <w:r>
              <w:rPr>
                <w:rFonts w:ascii="宋体"/>
                <w:sz w:val="18"/>
              </w:rPr>
              <w:t>Limited</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sz w:val="18"/>
              </w:rPr>
              <w:t>-</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20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1"/>
              <w:jc w:val="righ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（千美元）</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8"/>
              <w:jc w:val="right"/>
              <w:rPr>
                <w:rFonts w:ascii="宋体" w:hAnsi="宋体" w:cs="宋体" w:eastAsia="宋体" w:hint="default"/>
                <w:sz w:val="18"/>
                <w:szCs w:val="18"/>
              </w:rPr>
            </w:pPr>
            <w:r>
              <w:rPr>
                <w:rFonts w:ascii="宋体"/>
                <w:spacing w:val="-1"/>
                <w:sz w:val="18"/>
              </w:rPr>
              <w:t>394,637</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5"/>
              <w:jc w:val="right"/>
              <w:rPr>
                <w:rFonts w:ascii="宋体" w:hAnsi="宋体" w:cs="宋体" w:eastAsia="宋体" w:hint="default"/>
                <w:sz w:val="18"/>
                <w:szCs w:val="18"/>
              </w:rPr>
            </w:pPr>
            <w:r>
              <w:rPr>
                <w:rFonts w:ascii="宋体"/>
                <w:spacing w:val="-1"/>
                <w:sz w:val="18"/>
              </w:rPr>
              <w:t>(98,887)</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7"/>
              <w:jc w:val="right"/>
              <w:rPr>
                <w:rFonts w:ascii="宋体" w:hAnsi="宋体" w:cs="宋体" w:eastAsia="宋体" w:hint="default"/>
                <w:sz w:val="18"/>
                <w:szCs w:val="18"/>
              </w:rPr>
            </w:pPr>
            <w:r>
              <w:rPr>
                <w:rFonts w:ascii="宋体"/>
                <w:spacing w:val="-1"/>
                <w:sz w:val="18"/>
              </w:rPr>
              <w:t>(272)</w:t>
            </w:r>
          </w:p>
        </w:tc>
      </w:tr>
      <w:tr>
        <w:trPr>
          <w:trHeight w:val="488" w:hRule="exact"/>
        </w:trPr>
        <w:tc>
          <w:tcPr>
            <w:tcW w:w="824" w:type="dxa"/>
            <w:vMerge/>
            <w:tcBorders>
              <w:left w:val="single" w:sz="8" w:space="0" w:color="000000"/>
              <w:bottom w:val="single" w:sz="8" w:space="0" w:color="000000"/>
              <w:right w:val="single" w:sz="8" w:space="0" w:color="000000"/>
            </w:tcBorders>
          </w:tcPr>
          <w:p>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9</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sz w:val="18"/>
              </w:rPr>
              <w:t>Power</w:t>
            </w:r>
            <w:r>
              <w:rPr>
                <w:rFonts w:ascii="宋体"/>
                <w:spacing w:val="-3"/>
                <w:sz w:val="18"/>
              </w:rPr>
              <w:t> </w:t>
            </w:r>
            <w:r>
              <w:rPr>
                <w:rFonts w:ascii="宋体"/>
                <w:sz w:val="18"/>
              </w:rPr>
              <w:t>Linkage</w:t>
            </w:r>
          </w:p>
          <w:p>
            <w:pPr>
              <w:pStyle w:val="TableParagraph"/>
              <w:spacing w:line="234" w:lineRule="exact"/>
              <w:ind w:left="98" w:right="0"/>
              <w:jc w:val="left"/>
              <w:rPr>
                <w:rFonts w:ascii="宋体" w:hAnsi="宋体" w:cs="宋体" w:eastAsia="宋体" w:hint="default"/>
                <w:sz w:val="18"/>
                <w:szCs w:val="18"/>
              </w:rPr>
            </w:pPr>
            <w:r>
              <w:rPr>
                <w:rFonts w:ascii="宋体"/>
                <w:sz w:val="18"/>
              </w:rPr>
              <w:t>Holdings</w:t>
            </w:r>
            <w:r>
              <w:rPr>
                <w:rFonts w:ascii="宋体"/>
                <w:spacing w:val="-2"/>
                <w:sz w:val="18"/>
              </w:rPr>
              <w:t> </w:t>
            </w:r>
            <w:r>
              <w:rPr>
                <w:rFonts w:ascii="宋体"/>
                <w:sz w:val="18"/>
              </w:rPr>
              <w:t>Ltd.</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sz w:val="18"/>
              </w:rPr>
              <w:t>-</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2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1"/>
              <w:jc w:val="righ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（千美元）</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308,938</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(21,538)</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z w:val="18"/>
              </w:rPr>
              <w:t>(9,336)</w:t>
            </w:r>
          </w:p>
        </w:tc>
      </w:tr>
      <w:tr>
        <w:trPr>
          <w:trHeight w:val="485" w:hRule="exact"/>
        </w:trPr>
        <w:tc>
          <w:tcPr>
            <w:tcW w:w="824"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32" w:lineRule="exact"/>
              <w:ind w:left="132" w:right="130"/>
              <w:jc w:val="left"/>
              <w:rPr>
                <w:rFonts w:ascii="宋体" w:hAnsi="宋体" w:cs="宋体" w:eastAsia="宋体" w:hint="default"/>
                <w:sz w:val="18"/>
                <w:szCs w:val="18"/>
              </w:rPr>
            </w:pPr>
            <w:r>
              <w:rPr>
                <w:rFonts w:ascii="宋体" w:hAnsi="宋体" w:cs="宋体" w:eastAsia="宋体" w:hint="default"/>
                <w:sz w:val="18"/>
                <w:szCs w:val="18"/>
              </w:rPr>
              <w:t>主要参 股公司</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1</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北京奇安信科技有限</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其他有限责任公司</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技术开发及服务</w:t>
            </w:r>
          </w:p>
        </w:tc>
        <w:tc>
          <w:tcPr>
            <w:tcW w:w="2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3"/>
              <w:jc w:val="right"/>
              <w:rPr>
                <w:rFonts w:ascii="宋体" w:hAnsi="宋体" w:cs="宋体" w:eastAsia="宋体" w:hint="default"/>
                <w:sz w:val="18"/>
                <w:szCs w:val="18"/>
              </w:rPr>
            </w:pPr>
            <w:r>
              <w:rPr>
                <w:rFonts w:ascii="宋体"/>
                <w:sz w:val="18"/>
              </w:rPr>
              <w:t>7,500</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7,932,497</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5,484,948</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(157,713)</w:t>
            </w:r>
          </w:p>
        </w:tc>
      </w:tr>
      <w:tr>
        <w:trPr>
          <w:trHeight w:val="487" w:hRule="exact"/>
        </w:trPr>
        <w:tc>
          <w:tcPr>
            <w:tcW w:w="824" w:type="dxa"/>
            <w:vMerge/>
            <w:tcBorders>
              <w:left w:val="single" w:sz="8" w:space="0" w:color="000000"/>
              <w:right w:val="single" w:sz="8" w:space="0" w:color="000000"/>
            </w:tcBorders>
          </w:tcPr>
          <w:p>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2</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在线途游（北京）科技</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其他有限责任公司</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互联网增值服务</w:t>
            </w:r>
          </w:p>
        </w:tc>
        <w:tc>
          <w:tcPr>
            <w:tcW w:w="2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3"/>
              <w:jc w:val="right"/>
              <w:rPr>
                <w:rFonts w:ascii="宋体" w:hAnsi="宋体" w:cs="宋体" w:eastAsia="宋体" w:hint="default"/>
                <w:sz w:val="18"/>
                <w:szCs w:val="18"/>
              </w:rPr>
            </w:pPr>
            <w:r>
              <w:rPr>
                <w:rFonts w:ascii="宋体"/>
                <w:spacing w:val="-1"/>
                <w:sz w:val="18"/>
              </w:rPr>
              <w:t>14,336.5</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z w:val="18"/>
              </w:rPr>
              <w:t>636,135</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z w:val="18"/>
              </w:rPr>
              <w:t>509,669</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z w:val="18"/>
              </w:rPr>
              <w:t>146,026</w:t>
            </w:r>
          </w:p>
        </w:tc>
      </w:tr>
      <w:tr>
        <w:trPr>
          <w:trHeight w:val="427" w:hRule="exact"/>
        </w:trPr>
        <w:tc>
          <w:tcPr>
            <w:tcW w:w="824" w:type="dxa"/>
            <w:vMerge/>
            <w:tcBorders>
              <w:left w:val="single" w:sz="8" w:space="0" w:color="000000"/>
              <w:bottom w:val="single" w:sz="8" w:space="0" w:color="000000"/>
              <w:right w:val="single" w:sz="8" w:space="0" w:color="000000"/>
            </w:tcBorders>
          </w:tcPr>
          <w:p>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5"/>
              <w:jc w:val="center"/>
              <w:rPr>
                <w:rFonts w:ascii="宋体" w:hAnsi="宋体" w:cs="宋体" w:eastAsia="宋体" w:hint="default"/>
                <w:sz w:val="18"/>
                <w:szCs w:val="18"/>
              </w:rPr>
            </w:pPr>
            <w:r>
              <w:rPr>
                <w:rFonts w:ascii="宋体"/>
                <w:sz w:val="18"/>
              </w:rPr>
              <w:t>3</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98" w:right="0"/>
              <w:jc w:val="left"/>
              <w:rPr>
                <w:rFonts w:ascii="宋体" w:hAnsi="宋体" w:cs="宋体" w:eastAsia="宋体" w:hint="default"/>
                <w:sz w:val="18"/>
                <w:szCs w:val="18"/>
              </w:rPr>
            </w:pPr>
            <w:r>
              <w:rPr>
                <w:rFonts w:ascii="宋体"/>
                <w:sz w:val="18"/>
              </w:rPr>
              <w:t>Opera</w:t>
            </w:r>
            <w:r>
              <w:rPr>
                <w:rFonts w:ascii="宋体"/>
                <w:spacing w:val="-3"/>
                <w:sz w:val="18"/>
              </w:rPr>
              <w:t> </w:t>
            </w:r>
            <w:r>
              <w:rPr>
                <w:rFonts w:ascii="宋体"/>
                <w:sz w:val="18"/>
              </w:rPr>
              <w:t>Limited</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98" w:right="0"/>
              <w:jc w:val="left"/>
              <w:rPr>
                <w:rFonts w:ascii="宋体" w:hAnsi="宋体" w:cs="宋体" w:eastAsia="宋体" w:hint="default"/>
                <w:sz w:val="18"/>
                <w:szCs w:val="18"/>
              </w:rPr>
            </w:pPr>
            <w:r>
              <w:rPr>
                <w:rFonts w:ascii="宋体"/>
                <w:sz w:val="18"/>
              </w:rPr>
              <w:t>-</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网络浏览器</w:t>
            </w:r>
          </w:p>
        </w:tc>
        <w:tc>
          <w:tcPr>
            <w:tcW w:w="2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91"/>
              <w:jc w:val="right"/>
              <w:rPr>
                <w:rFonts w:ascii="宋体" w:hAnsi="宋体" w:cs="宋体" w:eastAsia="宋体" w:hint="default"/>
                <w:sz w:val="18"/>
                <w:szCs w:val="18"/>
              </w:rPr>
            </w:pPr>
            <w:r>
              <w:rPr>
                <w:rFonts w:ascii="宋体" w:hAnsi="宋体" w:cs="宋体" w:eastAsia="宋体" w:hint="default"/>
                <w:sz w:val="18"/>
                <w:szCs w:val="18"/>
              </w:rPr>
              <w:t>21.87</w:t>
            </w:r>
            <w:r>
              <w:rPr>
                <w:rFonts w:ascii="宋体" w:hAnsi="宋体" w:cs="宋体" w:eastAsia="宋体" w:hint="default"/>
                <w:sz w:val="18"/>
                <w:szCs w:val="18"/>
              </w:rPr>
              <w:t>（千美元）</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96"/>
              <w:jc w:val="right"/>
              <w:rPr>
                <w:rFonts w:ascii="宋体" w:hAnsi="宋体" w:cs="宋体" w:eastAsia="宋体" w:hint="default"/>
                <w:sz w:val="18"/>
                <w:szCs w:val="18"/>
              </w:rPr>
            </w:pPr>
            <w:r>
              <w:rPr>
                <w:rFonts w:ascii="宋体"/>
                <w:spacing w:val="-1"/>
                <w:sz w:val="18"/>
              </w:rPr>
              <w:t>5,653,377</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95"/>
              <w:jc w:val="right"/>
              <w:rPr>
                <w:rFonts w:ascii="宋体" w:hAnsi="宋体" w:cs="宋体" w:eastAsia="宋体" w:hint="default"/>
                <w:sz w:val="18"/>
                <w:szCs w:val="18"/>
              </w:rPr>
            </w:pPr>
            <w:r>
              <w:rPr>
                <w:rFonts w:ascii="宋体"/>
                <w:spacing w:val="-1"/>
                <w:sz w:val="18"/>
              </w:rPr>
              <w:t>5,311,295</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95"/>
              <w:jc w:val="right"/>
              <w:rPr>
                <w:rFonts w:ascii="宋体" w:hAnsi="宋体" w:cs="宋体" w:eastAsia="宋体" w:hint="default"/>
                <w:sz w:val="18"/>
                <w:szCs w:val="18"/>
              </w:rPr>
            </w:pPr>
            <w:r>
              <w:rPr>
                <w:rFonts w:ascii="宋体"/>
                <w:sz w:val="18"/>
              </w:rPr>
              <w:t>232,471</w:t>
            </w:r>
          </w:p>
        </w:tc>
      </w:tr>
    </w:tbl>
    <w:p>
      <w:pPr>
        <w:spacing w:after="0" w:line="240" w:lineRule="auto"/>
        <w:jc w:val="right"/>
        <w:rPr>
          <w:rFonts w:ascii="宋体" w:hAnsi="宋体" w:cs="宋体" w:eastAsia="宋体" w:hint="default"/>
          <w:sz w:val="18"/>
          <w:szCs w:val="18"/>
        </w:rPr>
        <w:sectPr>
          <w:pgSz w:w="16840" w:h="11910" w:orient="landscape"/>
          <w:pgMar w:header="857" w:footer="1218" w:top="1320" w:bottom="140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p>
      <w:pPr>
        <w:pStyle w:val="Heading5"/>
        <w:spacing w:line="240" w:lineRule="auto" w:before="36"/>
        <w:ind w:left="138" w:right="0"/>
        <w:jc w:val="left"/>
        <w:rPr>
          <w:b w:val="0"/>
          <w:bCs w:val="0"/>
        </w:rPr>
      </w:pPr>
      <w:r>
        <w:rPr>
          <w:rFonts w:ascii="宋体" w:hAnsi="宋体" w:cs="宋体" w:eastAsia="宋体" w:hint="default"/>
        </w:rPr>
        <w:t>(</w:t>
      </w:r>
      <w:r>
        <w:rPr/>
        <w:t>八</w:t>
      </w:r>
      <w:r>
        <w:rPr>
          <w:rFonts w:ascii="宋体" w:hAnsi="宋体" w:cs="宋体" w:eastAsia="宋体" w:hint="default"/>
        </w:rPr>
        <w:t>)</w:t>
      </w:r>
      <w:r>
        <w:rPr>
          <w:rFonts w:ascii="宋体" w:hAnsi="宋体" w:cs="宋体" w:eastAsia="宋体" w:hint="default"/>
          <w:spacing w:val="-52"/>
        </w:rPr>
        <w:t> </w:t>
      </w:r>
      <w:r>
        <w:rPr/>
        <w:t>公司控制的结构化主体情况</w:t>
      </w:r>
      <w:r>
        <w:rPr>
          <w:b w:val="0"/>
          <w:bCs w:val="0"/>
        </w:rPr>
      </w:r>
    </w:p>
    <w:p>
      <w:pPr>
        <w:pStyle w:val="BodyText"/>
        <w:tabs>
          <w:tab w:pos="980" w:val="left" w:leader="none"/>
        </w:tabs>
        <w:spacing w:line="240" w:lineRule="auto" w:before="58"/>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spacing w:line="290" w:lineRule="auto"/>
        <w:ind w:left="138" w:right="4922"/>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8"/>
        </w:rPr>
        <w:t> </w:t>
      </w:r>
      <w:r>
        <w:rPr/>
        <w:t>行业格局和趋势</w:t>
      </w:r>
      <w:r>
        <w:rPr>
          <w:b w:val="0"/>
          <w:bCs w:val="0"/>
        </w:rPr>
      </w:r>
    </w:p>
    <w:p>
      <w:pPr>
        <w:pStyle w:val="BodyText"/>
        <w:tabs>
          <w:tab w:pos="980" w:val="left" w:leader="none"/>
        </w:tabs>
        <w:spacing w:line="274" w:lineRule="exact" w:before="12"/>
        <w:ind w:right="0"/>
        <w:jc w:val="left"/>
      </w:pPr>
      <w:r>
        <w:rPr>
          <w:spacing w:val="-1"/>
        </w:rPr>
        <w:t>√适用</w:t>
        <w:tab/>
      </w:r>
      <w:r>
        <w:rPr>
          <w:spacing w:val="-2"/>
        </w:rPr>
        <w:t>□不适用</w:t>
      </w:r>
    </w:p>
    <w:p>
      <w:pPr>
        <w:pStyle w:val="BodyText"/>
        <w:spacing w:line="357" w:lineRule="auto"/>
        <w:ind w:right="107" w:firstLine="419"/>
        <w:jc w:val="both"/>
      </w:pPr>
      <w:r>
        <w:rPr>
          <w:rFonts w:ascii="宋体" w:hAnsi="宋体" w:cs="宋体" w:eastAsia="宋体" w:hint="default"/>
        </w:rPr>
        <w:t>2014</w:t>
      </w:r>
      <w:r>
        <w:rPr>
          <w:rFonts w:ascii="宋体" w:hAnsi="宋体" w:cs="宋体" w:eastAsia="宋体" w:hint="default"/>
          <w:spacing w:val="-7"/>
        </w:rPr>
        <w:t> </w:t>
      </w:r>
      <w:r>
        <w:rPr>
          <w:spacing w:val="-3"/>
        </w:rPr>
        <w:t>年中央网络安全和信息化领导小组成立，习近平总书记第一次发表“没有网络安全就没</w:t>
      </w:r>
      <w:r>
        <w:rPr>
          <w:w w:val="100"/>
        </w:rPr>
        <w:t> </w:t>
      </w:r>
      <w:r>
        <w:rPr>
          <w:spacing w:val="-2"/>
        </w:rPr>
        <w:t>有国家安全”的重要论述，标志着网络安全已上升到国家安全战略高度，成为国家总体安全观的</w:t>
      </w:r>
      <w:r>
        <w:rPr>
          <w:spacing w:val="-25"/>
        </w:rPr>
        <w:t> </w:t>
      </w:r>
      <w:r>
        <w:rPr>
          <w:spacing w:val="-25"/>
        </w:rPr>
      </w:r>
      <w:r>
        <w:rPr>
          <w:spacing w:val="-2"/>
        </w:rPr>
        <w:t>重要组成部分。近五年来，《中华人民共和国网络安全法》、《国家网络空间安全战略》、《国</w:t>
      </w:r>
      <w:r>
        <w:rPr>
          <w:spacing w:val="-25"/>
        </w:rPr>
        <w:t> </w:t>
      </w:r>
      <w:r>
        <w:rPr>
          <w:spacing w:val="-25"/>
        </w:rPr>
      </w:r>
      <w:r>
        <w:rPr>
          <w:spacing w:val="-2"/>
        </w:rPr>
        <w:t>家网络安全事件应急预案》相继颁布并实施，我国网络安全领域的法律法规和标准化体系日趋完</w:t>
      </w:r>
      <w:r>
        <w:rPr>
          <w:spacing w:val="-25"/>
        </w:rPr>
        <w:t> </w:t>
      </w:r>
      <w:r>
        <w:rPr>
          <w:spacing w:val="-25"/>
        </w:rPr>
      </w:r>
      <w:r>
        <w:rPr>
          <w:spacing w:val="-3"/>
        </w:rPr>
        <w:t>善，网络空间安全治理规则正在有序构建。</w:t>
      </w:r>
      <w:r>
        <w:rPr>
          <w:rFonts w:ascii="宋体" w:hAnsi="宋体" w:cs="宋体" w:eastAsia="宋体" w:hint="default"/>
          <w:spacing w:val="-3"/>
        </w:rPr>
        <w:t>2018</w:t>
      </w:r>
      <w:r>
        <w:rPr>
          <w:rFonts w:ascii="宋体" w:hAnsi="宋体" w:cs="宋体" w:eastAsia="宋体" w:hint="default"/>
          <w:spacing w:val="-30"/>
        </w:rPr>
        <w:t> </w:t>
      </w:r>
      <w:r>
        <w:rPr/>
        <w:t>年</w:t>
      </w:r>
      <w:r>
        <w:rPr>
          <w:spacing w:val="-33"/>
        </w:rPr>
        <w:t> </w:t>
      </w:r>
      <w:r>
        <w:rPr>
          <w:rFonts w:ascii="宋体" w:hAnsi="宋体" w:cs="宋体" w:eastAsia="宋体" w:hint="default"/>
        </w:rPr>
        <w:t>4</w:t>
      </w:r>
      <w:r>
        <w:rPr>
          <w:rFonts w:ascii="宋体" w:hAnsi="宋体" w:cs="宋体" w:eastAsia="宋体" w:hint="default"/>
          <w:spacing w:val="-30"/>
        </w:rPr>
        <w:t> </w:t>
      </w:r>
      <w:r>
        <w:rPr>
          <w:spacing w:val="-3"/>
        </w:rPr>
        <w:t>月，习近平总书记在全国网络安全和信息化</w:t>
      </w:r>
      <w:r>
        <w:rPr>
          <w:spacing w:val="-95"/>
        </w:rPr>
        <w:t> </w:t>
      </w:r>
      <w:r>
        <w:rPr>
          <w:spacing w:val="-95"/>
        </w:rPr>
      </w:r>
      <w:r>
        <w:rPr>
          <w:spacing w:val="-2"/>
        </w:rPr>
        <w:t>工作会议上再次强调：“没有网络安全就没有国家安全，就没有经济社会稳定运行，广大人民群</w:t>
      </w:r>
      <w:r>
        <w:rPr>
          <w:spacing w:val="-25"/>
        </w:rPr>
        <w:t> </w:t>
      </w:r>
      <w:r>
        <w:rPr>
          <w:spacing w:val="-25"/>
        </w:rPr>
      </w:r>
      <w:r>
        <w:rPr>
          <w:spacing w:val="-2"/>
        </w:rPr>
        <w:t>众利益也难以得到保障。要树立正确的网络安全观，加强信息基础设施网络安全防护，加强网络</w:t>
      </w:r>
      <w:r>
        <w:rPr>
          <w:spacing w:val="-26"/>
        </w:rPr>
        <w:t> </w:t>
      </w:r>
      <w:r>
        <w:rPr>
          <w:spacing w:val="-26"/>
        </w:rPr>
      </w:r>
      <w:r>
        <w:rPr>
          <w:spacing w:val="-2"/>
        </w:rPr>
        <w:t>安全信息统筹机制、手段、平台建设，加强网络安全事件应急指挥能力建设，积极发展网络安全</w:t>
      </w:r>
      <w:r>
        <w:rPr>
          <w:spacing w:val="-25"/>
        </w:rPr>
        <w:t> </w:t>
      </w:r>
      <w:r>
        <w:rPr>
          <w:spacing w:val="-25"/>
        </w:rPr>
      </w:r>
      <w:r>
        <w:rPr>
          <w:spacing w:val="-2"/>
        </w:rPr>
        <w:t>产业。”在国家、政府、社会及相关企业的共同努力下，我国网络安全产业支撑能力大幅提升，</w:t>
      </w:r>
      <w:r>
        <w:rPr>
          <w:spacing w:val="-25"/>
        </w:rPr>
        <w:t> </w:t>
      </w:r>
      <w:r>
        <w:rPr>
          <w:spacing w:val="-25"/>
        </w:rPr>
      </w:r>
      <w:r>
        <w:rPr>
          <w:spacing w:val="-2"/>
        </w:rPr>
        <w:t>网络安全基础保障工作显著加强，网络安全技术体系不断完善，网络安全生态已实现一定程度的</w:t>
      </w:r>
      <w:r>
        <w:rPr>
          <w:spacing w:val="-25"/>
        </w:rPr>
        <w:t> </w:t>
      </w:r>
      <w:r>
        <w:rPr>
          <w:spacing w:val="-25"/>
        </w:rPr>
      </w:r>
      <w:r>
        <w:rPr/>
        <w:t>改善。</w:t>
      </w:r>
    </w:p>
    <w:p>
      <w:pPr>
        <w:pStyle w:val="BodyText"/>
        <w:spacing w:line="357" w:lineRule="auto" w:before="30"/>
        <w:ind w:right="108" w:firstLine="419"/>
        <w:jc w:val="both"/>
      </w:pPr>
      <w:r>
        <w:rPr/>
        <w:t>根据</w:t>
      </w:r>
      <w:r>
        <w:rPr>
          <w:spacing w:val="-54"/>
        </w:rPr>
        <w:t> </w:t>
      </w:r>
      <w:r>
        <w:rPr>
          <w:rFonts w:ascii="宋体" w:hAnsi="宋体" w:cs="宋体" w:eastAsia="宋体" w:hint="default"/>
        </w:rPr>
        <w:t>CNNIC</w:t>
      </w:r>
      <w:r>
        <w:rPr>
          <w:rFonts w:ascii="宋体" w:hAnsi="宋体" w:cs="宋体" w:eastAsia="宋体" w:hint="default"/>
          <w:spacing w:val="-56"/>
        </w:rPr>
        <w:t> </w:t>
      </w:r>
      <w:r>
        <w:rPr/>
        <w:t>发布的《第</w:t>
      </w:r>
      <w:r>
        <w:rPr>
          <w:spacing w:val="-53"/>
        </w:rPr>
        <w:t> </w:t>
      </w:r>
      <w:r>
        <w:rPr>
          <w:rFonts w:ascii="宋体" w:hAnsi="宋体" w:cs="宋体" w:eastAsia="宋体" w:hint="default"/>
        </w:rPr>
        <w:t>43</w:t>
      </w:r>
      <w:r>
        <w:rPr>
          <w:rFonts w:ascii="宋体" w:hAnsi="宋体" w:cs="宋体" w:eastAsia="宋体" w:hint="default"/>
          <w:spacing w:val="-56"/>
        </w:rPr>
        <w:t> </w:t>
      </w:r>
      <w:r>
        <w:rPr/>
        <w:t>次中国互联网络发展状况统计报告》，</w:t>
      </w:r>
      <w:r>
        <w:rPr>
          <w:rFonts w:ascii="宋体" w:hAnsi="宋体" w:cs="宋体" w:eastAsia="宋体" w:hint="default"/>
        </w:rPr>
        <w:t>2018</w:t>
      </w:r>
      <w:r>
        <w:rPr>
          <w:rFonts w:ascii="宋体" w:hAnsi="宋体" w:cs="宋体" w:eastAsia="宋体" w:hint="default"/>
          <w:spacing w:val="-56"/>
        </w:rPr>
        <w:t> </w:t>
      </w:r>
      <w:r>
        <w:rPr/>
        <w:t>年我国网民在上网过</w:t>
      </w:r>
      <w:r>
        <w:rPr>
          <w:w w:val="100"/>
        </w:rPr>
        <w:t> </w:t>
      </w:r>
      <w:r>
        <w:rPr>
          <w:spacing w:val="-2"/>
        </w:rPr>
        <w:t>程中遇到安全问题的比例进一步下降，尤其是上网设备中病毒和木马的用户比例明显减少；</w:t>
      </w:r>
      <w:r>
        <w:rPr>
          <w:rFonts w:ascii="宋体" w:hAnsi="宋体" w:cs="宋体" w:eastAsia="宋体" w:hint="default"/>
          <w:spacing w:val="-2"/>
        </w:rPr>
        <w:t>2018</w:t>
      </w:r>
      <w:r>
        <w:rPr>
          <w:rFonts w:ascii="宋体" w:hAnsi="宋体" w:cs="宋体" w:eastAsia="宋体" w:hint="default"/>
          <w:spacing w:val="-21"/>
        </w:rPr>
        <w:t> </w:t>
      </w:r>
      <w:r>
        <w:rPr/>
        <w:t>年</w:t>
      </w:r>
      <w:r>
        <w:rPr>
          <w:spacing w:val="-45"/>
        </w:rPr>
        <w:t> </w:t>
      </w:r>
      <w:r>
        <w:rPr>
          <w:rFonts w:ascii="宋体" w:hAnsi="宋体" w:cs="宋体" w:eastAsia="宋体" w:hint="default"/>
        </w:rPr>
        <w:t>CNCERT</w:t>
      </w:r>
      <w:r>
        <w:rPr>
          <w:rFonts w:ascii="宋体" w:hAnsi="宋体" w:cs="宋体" w:eastAsia="宋体" w:hint="default"/>
          <w:spacing w:val="-48"/>
        </w:rPr>
        <w:t> </w:t>
      </w:r>
      <w:r>
        <w:rPr/>
        <w:t>共监测发现我国境内感染网络病毒终端数同比下降</w:t>
      </w:r>
      <w:r>
        <w:rPr>
          <w:spacing w:val="-44"/>
        </w:rPr>
        <w:t> </w:t>
      </w:r>
      <w:r>
        <w:rPr>
          <w:rFonts w:ascii="宋体" w:hAnsi="宋体" w:cs="宋体" w:eastAsia="宋体" w:hint="default"/>
          <w:spacing w:val="-4"/>
        </w:rPr>
        <w:t>70.6%</w:t>
      </w:r>
      <w:r>
        <w:rPr>
          <w:spacing w:val="-4"/>
        </w:rPr>
        <w:t>；境内被篡改网站数量同比下</w:t>
      </w:r>
      <w:r>
        <w:rPr>
          <w:spacing w:val="-103"/>
        </w:rPr>
        <w:t> </w:t>
      </w:r>
      <w:r>
        <w:rPr>
          <w:spacing w:val="-103"/>
        </w:rPr>
      </w:r>
      <w:r>
        <w:rPr/>
        <w:t>降</w:t>
      </w:r>
      <w:r>
        <w:rPr>
          <w:spacing w:val="-57"/>
        </w:rPr>
        <w:t> </w:t>
      </w:r>
      <w:r>
        <w:rPr>
          <w:rFonts w:ascii="宋体" w:hAnsi="宋体" w:cs="宋体" w:eastAsia="宋体" w:hint="default"/>
        </w:rPr>
        <w:t>61.3%</w:t>
      </w:r>
      <w:r>
        <w:rPr/>
        <w:t>；境内被植入后门网站数量同比下降</w:t>
      </w:r>
      <w:r>
        <w:rPr>
          <w:spacing w:val="-57"/>
        </w:rPr>
        <w:t> </w:t>
      </w:r>
      <w:r>
        <w:rPr>
          <w:rFonts w:ascii="宋体" w:hAnsi="宋体" w:cs="宋体" w:eastAsia="宋体" w:hint="default"/>
        </w:rPr>
        <w:t>27.6%</w:t>
      </w:r>
      <w:r>
        <w:rPr/>
        <w:t>；国家层面信息安全漏洞同比减少</w:t>
      </w:r>
      <w:r>
        <w:rPr>
          <w:spacing w:val="-57"/>
        </w:rPr>
        <w:t> </w:t>
      </w:r>
      <w:r>
        <w:rPr>
          <w:rFonts w:ascii="宋体" w:hAnsi="宋体" w:cs="宋体" w:eastAsia="宋体" w:hint="default"/>
        </w:rPr>
        <w:t>11%</w:t>
      </w:r>
      <w:r>
        <w:rPr/>
        <w:t>。</w:t>
      </w:r>
    </w:p>
    <w:p>
      <w:pPr>
        <w:pStyle w:val="BodyText"/>
        <w:spacing w:line="357" w:lineRule="auto" w:before="30"/>
        <w:ind w:right="117" w:firstLine="419"/>
        <w:jc w:val="both"/>
      </w:pPr>
      <w:r>
        <w:rPr>
          <w:spacing w:val="-2"/>
        </w:rPr>
        <w:t>然而，随着信息技术和应用的不断发展与更迭，越来越多种类的物理对象和虚拟对象实现互</w:t>
      </w:r>
      <w:r>
        <w:rPr>
          <w:w w:val="100"/>
        </w:rPr>
        <w:t> </w:t>
      </w:r>
      <w:r>
        <w:rPr>
          <w:spacing w:val="-2"/>
        </w:rPr>
        <w:t>联网接入，传统网络边界正在被打破，全球互联网安全局势愈加严峻和复杂，各类大规模网络威</w:t>
      </w:r>
      <w:r>
        <w:rPr>
          <w:spacing w:val="-25"/>
        </w:rPr>
        <w:t> </w:t>
      </w:r>
      <w:r>
        <w:rPr>
          <w:spacing w:val="-25"/>
        </w:rPr>
      </w:r>
      <w:r>
        <w:rPr>
          <w:spacing w:val="-2"/>
        </w:rPr>
        <w:t>胁、攻击甚至犯罪事件频发，并逐步呈现出工具专业化、目的商业化、行为组织化、手段多样化</w:t>
      </w:r>
      <w:r>
        <w:rPr>
          <w:spacing w:val="-25"/>
        </w:rPr>
        <w:t> </w:t>
      </w:r>
      <w:r>
        <w:rPr>
          <w:spacing w:val="-25"/>
        </w:rPr>
      </w:r>
      <w:r>
        <w:rPr/>
        <w:t>等特点，网络战无时不在、防不胜防。</w:t>
      </w:r>
      <w:r>
        <w:rPr>
          <w:rFonts w:ascii="宋体" w:hAnsi="宋体" w:cs="宋体" w:eastAsia="宋体" w:hint="default"/>
        </w:rPr>
        <w:t>CNCERT</w:t>
      </w:r>
      <w:r>
        <w:rPr>
          <w:rFonts w:ascii="宋体" w:hAnsi="宋体" w:cs="宋体" w:eastAsia="宋体" w:hint="default"/>
          <w:spacing w:val="-56"/>
        </w:rPr>
        <w:t> </w:t>
      </w:r>
      <w:r>
        <w:rPr/>
        <w:t>监测发现利用僵尸网络发起</w:t>
      </w:r>
      <w:r>
        <w:rPr>
          <w:spacing w:val="-56"/>
        </w:rPr>
        <w:t> </w:t>
      </w:r>
      <w:r>
        <w:rPr>
          <w:rFonts w:ascii="宋体" w:hAnsi="宋体" w:cs="宋体" w:eastAsia="宋体" w:hint="default"/>
        </w:rPr>
        <w:t>DDoS</w:t>
      </w:r>
      <w:r>
        <w:rPr>
          <w:rFonts w:ascii="宋体" w:hAnsi="宋体" w:cs="宋体" w:eastAsia="宋体" w:hint="default"/>
          <w:spacing w:val="-55"/>
        </w:rPr>
        <w:t> </w:t>
      </w:r>
      <w:r>
        <w:rPr/>
        <w:t>攻击的事件数量</w:t>
      </w:r>
      <w:r>
        <w:rPr>
          <w:w w:val="100"/>
        </w:rPr>
        <w:t> </w:t>
      </w:r>
      <w:r>
        <w:rPr/>
        <w:t>在年初即呈现上涨趋势，大量境内设备被境外远程控制端利用，向包括运营商</w:t>
      </w:r>
      <w:r>
        <w:rPr>
          <w:spacing w:val="-54"/>
        </w:rPr>
        <w:t> </w:t>
      </w:r>
      <w:r>
        <w:rPr>
          <w:rFonts w:ascii="宋体" w:hAnsi="宋体" w:cs="宋体" w:eastAsia="宋体" w:hint="default"/>
        </w:rPr>
        <w:t>IDC</w:t>
      </w:r>
      <w:r>
        <w:rPr/>
        <w:t>、金融、教育</w:t>
      </w:r>
      <w:r>
        <w:rPr>
          <w:w w:val="100"/>
        </w:rPr>
        <w:t> </w:t>
      </w:r>
      <w:r>
        <w:rPr/>
        <w:t>甚至国家机构在内的目标地址频繁发起攻击。</w:t>
      </w:r>
    </w:p>
    <w:p>
      <w:pPr>
        <w:pStyle w:val="BodyText"/>
        <w:spacing w:line="357" w:lineRule="auto" w:before="30"/>
        <w:ind w:right="117" w:firstLine="419"/>
        <w:jc w:val="both"/>
      </w:pPr>
      <w:r>
        <w:rPr>
          <w:spacing w:val="-2"/>
        </w:rPr>
        <w:t>随着网络安全风险从虚拟空间扩展到物理世界，互联网安全事件危害逐步升级，已从过去相</w:t>
      </w:r>
      <w:r>
        <w:rPr>
          <w:w w:val="100"/>
        </w:rPr>
        <w:t> </w:t>
      </w:r>
      <w:r>
        <w:rPr>
          <w:spacing w:val="-2"/>
        </w:rPr>
        <w:t>对孤立的数据泄露、病毒和木马等侵袭，转向对国家安全、国防安全、关键基础设施安全、社会</w:t>
      </w:r>
      <w:r>
        <w:rPr>
          <w:spacing w:val="-25"/>
        </w:rPr>
        <w:t> </w:t>
      </w:r>
      <w:r>
        <w:rPr>
          <w:spacing w:val="-25"/>
        </w:rPr>
      </w:r>
      <w:r>
        <w:rPr/>
        <w:t>安全乃至人身安全的恶意控制或攻击，我国已经正式进入“大安全”时代。</w:t>
      </w:r>
    </w:p>
    <w:p>
      <w:pPr>
        <w:pStyle w:val="BodyText"/>
        <w:spacing w:line="357" w:lineRule="auto" w:before="30"/>
        <w:ind w:right="110" w:firstLine="419"/>
        <w:jc w:val="both"/>
      </w:pPr>
      <w:r>
        <w:rPr>
          <w:spacing w:val="-2"/>
        </w:rPr>
        <w:t>在目前形势下，仅靠各自为战、边界拦截的传统安防思路，依赖原有的单一防御方式已不足</w:t>
      </w:r>
      <w:r>
        <w:rPr>
          <w:w w:val="100"/>
        </w:rPr>
        <w:t> </w:t>
      </w:r>
      <w:r>
        <w:rPr>
          <w:spacing w:val="-2"/>
        </w:rPr>
        <w:t>以应对大安全时代的新威胁和大挑战。网络安全行业未来将基于国家总体安全观的全局高度，打</w:t>
      </w:r>
      <w:r>
        <w:rPr>
          <w:spacing w:val="-26"/>
        </w:rPr>
        <w:t> </w:t>
      </w:r>
      <w:r>
        <w:rPr>
          <w:spacing w:val="-26"/>
        </w:rPr>
      </w:r>
      <w:r>
        <w:rPr>
          <w:spacing w:val="-2"/>
        </w:rPr>
        <w:t>破各自为战的传统网络安全模式，通过数据、算法算力和服务的开放与共享，建立智能、安全的</w:t>
      </w:r>
      <w:r>
        <w:rPr>
          <w:spacing w:val="-25"/>
        </w:rPr>
        <w:t> </w:t>
      </w:r>
      <w:r>
        <w:rPr>
          <w:spacing w:val="-25"/>
        </w:rPr>
      </w:r>
      <w:r>
        <w:rPr>
          <w:spacing w:val="-4"/>
        </w:rPr>
        <w:t>开放创新生态。三六零将利用自身</w:t>
      </w:r>
      <w:r>
        <w:rPr>
          <w:rFonts w:ascii="宋体" w:hAnsi="宋体" w:cs="宋体" w:eastAsia="宋体" w:hint="default"/>
          <w:spacing w:val="-4"/>
        </w:rPr>
        <w:t>+</w:t>
      </w:r>
      <w:r>
        <w:rPr>
          <w:spacing w:val="-4"/>
        </w:rPr>
        <w:t>生态的力量打造可以保障国家级网络安全的国之重器，通过互</w:t>
      </w:r>
    </w:p>
    <w:p>
      <w:pPr>
        <w:spacing w:after="0" w:line="357" w:lineRule="auto"/>
        <w:jc w:val="both"/>
        <w:sectPr>
          <w:headerReference w:type="default" r:id="rId25"/>
          <w:footerReference w:type="default" r:id="rId26"/>
          <w:pgSz w:w="11910" w:h="16840"/>
          <w:pgMar w:header="857" w:footer="1217" w:top="1320" w:bottom="1400" w:left="1660" w:right="1160"/>
          <w:pgNumType w:start="35"/>
        </w:sectPr>
      </w:pPr>
    </w:p>
    <w:p>
      <w:pPr>
        <w:spacing w:line="240" w:lineRule="auto" w:before="2"/>
        <w:rPr>
          <w:rFonts w:ascii="宋体" w:hAnsi="宋体" w:cs="宋体" w:eastAsia="宋体" w:hint="default"/>
          <w:sz w:val="9"/>
          <w:szCs w:val="9"/>
        </w:rPr>
      </w:pPr>
    </w:p>
    <w:p>
      <w:pPr>
        <w:pStyle w:val="BodyText"/>
        <w:spacing w:line="357" w:lineRule="auto" w:before="36"/>
        <w:ind w:right="217"/>
        <w:jc w:val="both"/>
      </w:pPr>
      <w:r>
        <w:rPr>
          <w:spacing w:val="-2"/>
        </w:rPr>
        <w:t>信、共治的机制服务用户、产业、城市乃至国家，为新时代国家安全承担新使命，共建网络空间</w:t>
      </w:r>
      <w:r>
        <w:rPr>
          <w:spacing w:val="-25"/>
        </w:rPr>
        <w:t> </w:t>
      </w:r>
      <w:r>
        <w:rPr>
          <w:spacing w:val="-25"/>
        </w:rPr>
      </w:r>
      <w:r>
        <w:rPr/>
        <w:t>安全命运共同体，构筑大安全时代的国家网络空间安全防线。</w:t>
      </w:r>
    </w:p>
    <w:p>
      <w:pPr>
        <w:spacing w:line="240" w:lineRule="auto" w:before="0"/>
        <w:rPr>
          <w:rFonts w:ascii="宋体" w:hAnsi="宋体" w:cs="宋体" w:eastAsia="宋体" w:hint="default"/>
          <w:sz w:val="20"/>
          <w:szCs w:val="20"/>
        </w:rPr>
      </w:pPr>
    </w:p>
    <w:p>
      <w:pPr>
        <w:pStyle w:val="Heading5"/>
        <w:spacing w:line="240" w:lineRule="auto" w:before="140"/>
        <w:ind w:left="138" w:right="0"/>
        <w:jc w:val="both"/>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8"/>
        </w:rPr>
        <w:t> </w:t>
      </w:r>
      <w:r>
        <w:rPr/>
        <w:t>公司发展战略</w:t>
      </w:r>
      <w:r>
        <w:rPr>
          <w:b w:val="0"/>
          <w:bCs w:val="0"/>
        </w:rPr>
      </w:r>
    </w:p>
    <w:p>
      <w:pPr>
        <w:pStyle w:val="BodyText"/>
        <w:tabs>
          <w:tab w:pos="980" w:val="left" w:leader="none"/>
        </w:tabs>
        <w:spacing w:line="272" w:lineRule="exact" w:before="84"/>
        <w:ind w:left="618" w:right="106" w:hanging="480"/>
        <w:jc w:val="left"/>
      </w:pPr>
      <w:r>
        <w:rPr>
          <w:spacing w:val="-1"/>
        </w:rPr>
        <w:t>√适用</w:t>
        <w:tab/>
      </w:r>
      <w:r>
        <w:rPr>
          <w:spacing w:val="-2"/>
        </w:rPr>
        <w:t>□不适用</w:t>
      </w:r>
      <w:r>
        <w:rPr>
          <w:spacing w:val="-99"/>
        </w:rPr>
        <w:t> </w:t>
      </w:r>
      <w:r>
        <w:rPr>
          <w:spacing w:val="-99"/>
        </w:rPr>
      </w:r>
      <w:r>
        <w:rPr/>
        <w:t>“大安全”时代，面临新威胁、大挑战，需要用新战略、新战术、新技术构建大安全生态、</w:t>
      </w:r>
    </w:p>
    <w:p>
      <w:pPr>
        <w:pStyle w:val="BodyText"/>
        <w:spacing w:line="355" w:lineRule="auto" w:before="110"/>
        <w:ind w:right="208"/>
        <w:jc w:val="both"/>
      </w:pPr>
      <w:r>
        <w:rPr>
          <w:spacing w:val="-4"/>
        </w:rPr>
        <w:t>开展大合作、打造大产业。三六零将结合现有优势，利用“</w:t>
      </w:r>
      <w:r>
        <w:rPr>
          <w:rFonts w:ascii="宋体" w:hAnsi="宋体" w:cs="宋体" w:eastAsia="宋体" w:hint="default"/>
          <w:spacing w:val="-4"/>
        </w:rPr>
        <w:t>IMABCDE</w:t>
      </w:r>
      <w:r>
        <w:rPr>
          <w:spacing w:val="-4"/>
        </w:rPr>
        <w:t>”等技术能力，打造包括“国</w:t>
      </w:r>
      <w:r>
        <w:rPr>
          <w:spacing w:val="-26"/>
        </w:rPr>
        <w:t> </w:t>
      </w:r>
      <w:r>
        <w:rPr>
          <w:spacing w:val="-26"/>
        </w:rPr>
      </w:r>
      <w:r>
        <w:rPr>
          <w:spacing w:val="-2"/>
        </w:rPr>
        <w:t>家级网络安全大脑”、“城市安全大脑”、“家庭安全大脑”及其在细分垂直领域的行业应用。</w:t>
      </w:r>
      <w:r>
        <w:rPr>
          <w:spacing w:val="-15"/>
        </w:rPr>
        <w:t> </w:t>
      </w:r>
      <w:r>
        <w:rPr>
          <w:spacing w:val="-15"/>
        </w:rPr>
      </w:r>
      <w:r>
        <w:rPr/>
        <w:t>公司也将积极顺应国家、行业和市场发展需求，全面深入地拓展政企市场。</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5"/>
        <w:spacing w:line="240" w:lineRule="auto"/>
        <w:ind w:left="560" w:right="0"/>
        <w:jc w:val="left"/>
        <w:rPr>
          <w:b w:val="0"/>
          <w:bCs w:val="0"/>
        </w:rPr>
      </w:pPr>
      <w:r>
        <w:rPr>
          <w:rFonts w:ascii="宋体" w:hAnsi="宋体" w:cs="宋体" w:eastAsia="宋体" w:hint="default"/>
        </w:rPr>
        <w:t>1</w:t>
      </w:r>
      <w:r>
        <w:rPr/>
        <w:t>、全力打造“</w:t>
      </w:r>
      <w:r>
        <w:rPr>
          <w:rFonts w:ascii="宋体" w:hAnsi="宋体" w:cs="宋体" w:eastAsia="宋体" w:hint="default"/>
        </w:rPr>
        <w:t>360</w:t>
      </w:r>
      <w:r>
        <w:rPr>
          <w:rFonts w:ascii="宋体" w:hAnsi="宋体" w:cs="宋体" w:eastAsia="宋体" w:hint="default"/>
          <w:spacing w:val="-53"/>
        </w:rPr>
        <w:t> </w:t>
      </w:r>
      <w:r>
        <w:rPr/>
        <w:t>安全大脑”</w:t>
      </w:r>
      <w:r>
        <w:rPr>
          <w:b w:val="0"/>
          <w:bCs w:val="0"/>
        </w:rPr>
      </w:r>
    </w:p>
    <w:p>
      <w:pPr>
        <w:spacing w:line="355" w:lineRule="auto" w:before="133"/>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）国家级网络安全大脑</w:t>
      </w:r>
      <w:r>
        <w:rPr>
          <w:rFonts w:ascii="宋体" w:hAnsi="宋体" w:cs="宋体" w:eastAsia="宋体" w:hint="default"/>
          <w:b/>
          <w:bCs/>
          <w:w w:val="100"/>
          <w:sz w:val="21"/>
          <w:szCs w:val="21"/>
        </w:rPr>
        <w:t> </w:t>
      </w:r>
      <w:r>
        <w:rPr>
          <w:rFonts w:ascii="宋体" w:hAnsi="宋体" w:cs="宋体" w:eastAsia="宋体" w:hint="default"/>
          <w:spacing w:val="-2"/>
          <w:sz w:val="21"/>
          <w:szCs w:val="21"/>
        </w:rPr>
        <w:t>随着物联网、信息化、智能化的发展，网络攻击的危害越来越大，已经从单纯的网络安全，</w:t>
      </w:r>
    </w:p>
    <w:p>
      <w:pPr>
        <w:pStyle w:val="BodyText"/>
        <w:spacing w:line="355" w:lineRule="auto" w:before="34"/>
        <w:ind w:right="208"/>
        <w:jc w:val="both"/>
      </w:pPr>
      <w:r>
        <w:rPr>
          <w:spacing w:val="-1"/>
        </w:rPr>
        <w:t>扩展到国家安全、国防安全、关键基础设施安全、社会安全、金融安全，乃至人身安全和财产安</w:t>
      </w:r>
      <w:r>
        <w:rPr>
          <w:spacing w:val="-55"/>
        </w:rPr>
        <w:t> </w:t>
      </w:r>
      <w:r>
        <w:rPr>
          <w:spacing w:val="-55"/>
        </w:rPr>
      </w:r>
      <w:r>
        <w:rPr/>
        <w:t>全。未来联网设备数以百亿计，每一个都可能成为攻击的切入点。</w:t>
      </w:r>
    </w:p>
    <w:p>
      <w:pPr>
        <w:pStyle w:val="BodyText"/>
        <w:spacing w:line="357" w:lineRule="auto" w:before="32"/>
        <w:ind w:right="208" w:firstLine="419"/>
        <w:jc w:val="both"/>
      </w:pPr>
      <w:r>
        <w:rPr>
          <w:spacing w:val="-2"/>
        </w:rPr>
        <w:t>面对这些威胁和挑战，当务之急是需要一套国家级的网络空间国土防御系统能够及时发现网</w:t>
      </w:r>
      <w:r>
        <w:rPr>
          <w:w w:val="100"/>
        </w:rPr>
        <w:t> </w:t>
      </w:r>
      <w:r>
        <w:rPr>
          <w:spacing w:val="-4"/>
        </w:rPr>
        <w:t>络攻击。公司将结合现有核心安全能力，利用“</w:t>
      </w:r>
      <w:r>
        <w:rPr>
          <w:rFonts w:ascii="宋体" w:hAnsi="宋体" w:cs="宋体" w:eastAsia="宋体" w:hint="default"/>
          <w:spacing w:val="-4"/>
        </w:rPr>
        <w:t>IMABCDE</w:t>
      </w:r>
      <w:r>
        <w:rPr>
          <w:spacing w:val="-4"/>
        </w:rPr>
        <w:t>”等技术，打造国家级网络安全大脑，实</w:t>
      </w:r>
      <w:r>
        <w:rPr>
          <w:spacing w:val="-21"/>
        </w:rPr>
        <w:t> </w:t>
      </w:r>
      <w:r>
        <w:rPr>
          <w:spacing w:val="-21"/>
        </w:rPr>
      </w:r>
      <w:r>
        <w:rPr>
          <w:spacing w:val="-2"/>
        </w:rPr>
        <w:t>现对国家级网络攻击的第一时间发现和及时处置，并通过构建国家级网络安全大脑的网络安全能</w:t>
      </w:r>
      <w:r>
        <w:rPr>
          <w:spacing w:val="-15"/>
        </w:rPr>
        <w:t> </w:t>
      </w:r>
      <w:r>
        <w:rPr>
          <w:spacing w:val="-15"/>
        </w:rPr>
      </w:r>
      <w:r>
        <w:rPr/>
        <w:t>力，能为城市、企业等细分应用场景提供网络安全支持。</w:t>
      </w:r>
    </w:p>
    <w:p>
      <w:pPr>
        <w:pStyle w:val="BodyText"/>
        <w:spacing w:line="355" w:lineRule="auto" w:before="30"/>
        <w:ind w:left="558" w:right="0" w:firstLine="2"/>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）城市安全大脑</w:t>
      </w:r>
      <w:r>
        <w:rPr>
          <w:rFonts w:ascii="宋体" w:hAnsi="宋体" w:cs="宋体" w:eastAsia="宋体" w:hint="default"/>
          <w:b/>
          <w:bCs/>
          <w:w w:val="100"/>
        </w:rPr>
        <w:t> </w:t>
      </w:r>
      <w:r>
        <w:rPr>
          <w:spacing w:val="-2"/>
        </w:rPr>
        <w:t>随着万物互联时代的到来，智慧城市的建设将迈上一个新的台阶，而城市安全问题是最重要</w:t>
      </w:r>
    </w:p>
    <w:p>
      <w:pPr>
        <w:pStyle w:val="BodyText"/>
        <w:spacing w:line="357" w:lineRule="auto" w:before="32"/>
        <w:ind w:left="0" w:right="208"/>
        <w:jc w:val="right"/>
      </w:pPr>
      <w:r>
        <w:rPr>
          <w:spacing w:val="-1"/>
        </w:rPr>
        <w:t>的基础。一方面，更多设备的联网接入、更多数据的对外开放以及更多应用的出现，使得网络安</w:t>
      </w:r>
      <w:r>
        <w:rPr>
          <w:spacing w:val="-70"/>
        </w:rPr>
        <w:t> </w:t>
      </w:r>
      <w:r>
        <w:rPr>
          <w:spacing w:val="-70"/>
        </w:rPr>
      </w:r>
      <w:r>
        <w:rPr>
          <w:spacing w:val="-1"/>
        </w:rPr>
        <w:t>全防护变得日益重要。另外一方面，城市的社区治理、安全生产、安全出行以及公共治安等物理</w:t>
      </w:r>
      <w:r>
        <w:rPr>
          <w:spacing w:val="-70"/>
        </w:rPr>
        <w:t> </w:t>
      </w:r>
      <w:r>
        <w:rPr>
          <w:spacing w:val="-70"/>
        </w:rPr>
      </w:r>
      <w:r>
        <w:rPr>
          <w:spacing w:val="-1"/>
        </w:rPr>
        <w:t>安全问题的解决还有很大的提升空间。目前，很多城市存在安全数据获取手段不丰富、分析手段</w:t>
      </w:r>
      <w:r>
        <w:rPr>
          <w:spacing w:val="-70"/>
        </w:rPr>
        <w:t> </w:t>
      </w:r>
      <w:r>
        <w:rPr>
          <w:spacing w:val="-70"/>
        </w:rPr>
      </w:r>
      <w:r>
        <w:rPr>
          <w:spacing w:val="-1"/>
        </w:rPr>
        <w:t>不足、数据回传不及时、跨部门跨区数据不连通、人工无法应对海量数据等问题。要实时掌握城</w:t>
      </w:r>
      <w:r>
        <w:rPr>
          <w:spacing w:val="-70"/>
        </w:rPr>
        <w:t> </w:t>
      </w:r>
      <w:r>
        <w:rPr>
          <w:spacing w:val="-70"/>
        </w:rPr>
      </w:r>
      <w:r>
        <w:rPr>
          <w:spacing w:val="-1"/>
        </w:rPr>
        <w:t>市的实时运行状态，及时发现潜在的安全威胁，快速进行应急响应，势必需要进一步丰富城市场</w:t>
      </w:r>
      <w:r>
        <w:rPr>
          <w:spacing w:val="-70"/>
        </w:rPr>
        <w:t> </w:t>
      </w:r>
      <w:r>
        <w:rPr>
          <w:spacing w:val="-70"/>
        </w:rPr>
      </w:r>
      <w:r>
        <w:rPr>
          <w:spacing w:val="-2"/>
        </w:rPr>
        <w:t>景数据来源、加强数据的处理，势必需要物联网、大数据、人工智能以及云计算等技术的支撑。</w:t>
      </w:r>
      <w:r>
        <w:rPr>
          <w:spacing w:val="-52"/>
        </w:rPr>
        <w:t> </w:t>
      </w:r>
      <w:r>
        <w:rPr>
          <w:spacing w:val="-52"/>
        </w:rPr>
      </w:r>
      <w:r>
        <w:rPr>
          <w:spacing w:val="-2"/>
        </w:rPr>
        <w:t>公司将通过打造“城市安全大脑”，用解决网络安全问题的类似思路、方法和技术解决城市</w:t>
      </w:r>
      <w:r>
        <w:rPr>
          <w:w w:val="100"/>
        </w:rPr>
        <w:t> </w:t>
      </w:r>
      <w:r>
        <w:rPr>
          <w:spacing w:val="-1"/>
        </w:rPr>
        <w:t>物理空间安全目前所面临的数据单一、信息滞后、流转不畅、数据处理不及时等问题。三六零将</w:t>
      </w:r>
      <w:r>
        <w:rPr>
          <w:spacing w:val="-70"/>
        </w:rPr>
        <w:t> </w:t>
      </w:r>
      <w:r>
        <w:rPr>
          <w:spacing w:val="-70"/>
        </w:rPr>
      </w:r>
      <w:r>
        <w:rPr>
          <w:spacing w:val="-1"/>
        </w:rPr>
        <w:t>不局限于自建、合作等方式，将“城市安全大脑”广泛连接城市中的传感设备，一方面加强联网</w:t>
      </w:r>
      <w:r>
        <w:rPr>
          <w:spacing w:val="-70"/>
        </w:rPr>
        <w:t> </w:t>
      </w:r>
      <w:r>
        <w:rPr>
          <w:spacing w:val="-70"/>
        </w:rPr>
      </w:r>
      <w:r>
        <w:rPr>
          <w:spacing w:val="-1"/>
        </w:rPr>
        <w:t>设备本身的网络安全防护，另一方面积极发挥自身的大数据、人工智能和云等技术优势，通过重</w:t>
      </w:r>
      <w:r>
        <w:rPr>
          <w:spacing w:val="-70"/>
        </w:rPr>
        <w:t> </w:t>
      </w:r>
      <w:r>
        <w:rPr>
          <w:spacing w:val="-70"/>
        </w:rPr>
      </w:r>
      <w:r>
        <w:rPr>
          <w:spacing w:val="-1"/>
        </w:rPr>
        <w:t>点聚焦端、边、管和云结合的城市安全大数据的分析和运营，尤其是安全智能场景的落地，实现</w:t>
      </w:r>
    </w:p>
    <w:p>
      <w:pPr>
        <w:pStyle w:val="BodyText"/>
        <w:spacing w:line="240" w:lineRule="auto" w:before="32"/>
        <w:ind w:right="0"/>
        <w:jc w:val="both"/>
      </w:pPr>
      <w:r>
        <w:rPr/>
        <w:t>多边共赢。</w:t>
      </w:r>
    </w:p>
    <w:p>
      <w:pPr>
        <w:spacing w:after="0" w:line="240" w:lineRule="auto"/>
        <w:jc w:val="both"/>
        <w:sectPr>
          <w:pgSz w:w="11910" w:h="16840"/>
          <w:pgMar w:header="857" w:footer="1217" w:top="1320" w:bottom="1400" w:left="1660" w:right="1060"/>
        </w:sectPr>
      </w:pPr>
    </w:p>
    <w:p>
      <w:pPr>
        <w:spacing w:line="240" w:lineRule="auto" w:before="2"/>
        <w:rPr>
          <w:rFonts w:ascii="宋体" w:hAnsi="宋体" w:cs="宋体" w:eastAsia="宋体" w:hint="default"/>
          <w:sz w:val="9"/>
          <w:szCs w:val="9"/>
        </w:rPr>
      </w:pPr>
    </w:p>
    <w:p>
      <w:pPr>
        <w:pStyle w:val="BodyText"/>
        <w:spacing w:line="357" w:lineRule="auto" w:before="36"/>
        <w:ind w:left="558" w:right="0" w:firstLine="2"/>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）家庭安全大脑</w:t>
      </w:r>
      <w:r>
        <w:rPr>
          <w:rFonts w:ascii="宋体" w:hAnsi="宋体" w:cs="宋体" w:eastAsia="宋体" w:hint="default"/>
          <w:b/>
          <w:bCs/>
          <w:w w:val="100"/>
        </w:rPr>
        <w:t> </w:t>
      </w:r>
      <w:r>
        <w:rPr>
          <w:spacing w:val="-7"/>
        </w:rPr>
        <w:t>随着家庭中智能设备种类越来越多，随之而来的各种问题也日益凸显，例如智能设备不够“智</w:t>
      </w:r>
    </w:p>
    <w:p>
      <w:pPr>
        <w:pStyle w:val="BodyText"/>
        <w:spacing w:line="355" w:lineRule="auto" w:before="30"/>
        <w:ind w:right="108"/>
        <w:jc w:val="both"/>
      </w:pPr>
      <w:r>
        <w:rPr>
          <w:spacing w:val="-1"/>
        </w:rPr>
        <w:t>能”、视频数据需要上传云端才能完成计算等，这不但可能导致用户隐私数据泄露，更有可能遭</w:t>
      </w:r>
      <w:r>
        <w:rPr>
          <w:spacing w:val="-55"/>
        </w:rPr>
        <w:t> </w:t>
      </w:r>
      <w:r>
        <w:rPr>
          <w:spacing w:val="-55"/>
        </w:rPr>
      </w:r>
      <w:r>
        <w:rPr/>
        <w:t>受网络攻击造成用户巨大损失。</w:t>
      </w:r>
    </w:p>
    <w:p>
      <w:pPr>
        <w:pStyle w:val="BodyText"/>
        <w:spacing w:line="357" w:lineRule="auto" w:before="32"/>
        <w:ind w:right="107" w:firstLine="419"/>
        <w:jc w:val="both"/>
      </w:pPr>
      <w:r>
        <w:rPr>
          <w:rFonts w:ascii="宋体" w:hAnsi="宋体" w:cs="宋体" w:eastAsia="宋体" w:hint="default"/>
        </w:rPr>
        <w:t>360</w:t>
      </w:r>
      <w:r>
        <w:rPr>
          <w:rFonts w:ascii="宋体" w:hAnsi="宋体" w:cs="宋体" w:eastAsia="宋体" w:hint="default"/>
          <w:spacing w:val="2"/>
        </w:rPr>
        <w:t> </w:t>
      </w:r>
      <w:r>
        <w:rPr>
          <w:spacing w:val="-3"/>
        </w:rPr>
        <w:t>家庭安全大脑集家庭智能设备的数据存储、计算中心于一体，利用“IMABCDE”技术连接</w:t>
      </w:r>
      <w:r>
        <w:rPr>
          <w:w w:val="100"/>
        </w:rPr>
        <w:t> </w:t>
      </w:r>
      <w:r>
        <w:rPr>
          <w:spacing w:val="-3"/>
        </w:rPr>
        <w:t>家庭防火墙、智能摄像机、可视门铃、</w:t>
      </w:r>
      <w:r>
        <w:rPr>
          <w:rFonts w:ascii="宋体" w:hAnsi="宋体" w:cs="宋体" w:eastAsia="宋体" w:hint="default"/>
          <w:spacing w:val="-3"/>
        </w:rPr>
        <w:t>AI </w:t>
      </w:r>
      <w:r>
        <w:rPr>
          <w:spacing w:val="-3"/>
        </w:rPr>
        <w:t>音箱、扫地机器人、儿童手表等硬件产品，并将数据进</w:t>
      </w:r>
      <w:r>
        <w:rPr>
          <w:spacing w:val="-74"/>
        </w:rPr>
        <w:t> </w:t>
      </w:r>
      <w:r>
        <w:rPr>
          <w:spacing w:val="-74"/>
        </w:rPr>
      </w:r>
      <w:r>
        <w:rPr>
          <w:spacing w:val="-1"/>
        </w:rPr>
        <w:t>行本地加密存储，无需上传云端，大大提高数据隐私性。通过强大的本地计算处理能力，家庭安</w:t>
      </w:r>
      <w:r>
        <w:rPr>
          <w:spacing w:val="-55"/>
        </w:rPr>
        <w:t> </w:t>
      </w:r>
      <w:r>
        <w:rPr>
          <w:spacing w:val="-55"/>
        </w:rPr>
      </w:r>
      <w:r>
        <w:rPr/>
        <w:t>全大脑让用户能够快速准确获取家中实时情况，各种设备变得更加智能、安全、易用。</w:t>
      </w:r>
    </w:p>
    <w:p>
      <w:pPr>
        <w:pStyle w:val="BodyText"/>
        <w:spacing w:line="357" w:lineRule="auto" w:before="31"/>
        <w:ind w:right="108" w:firstLine="419"/>
        <w:jc w:val="both"/>
      </w:pPr>
      <w:r>
        <w:rPr/>
        <w:t>作为</w:t>
      </w:r>
      <w:r>
        <w:rPr>
          <w:spacing w:val="-34"/>
        </w:rPr>
        <w:t> </w:t>
      </w:r>
      <w:r>
        <w:rPr>
          <w:rFonts w:ascii="宋体" w:hAnsi="宋体" w:cs="宋体" w:eastAsia="宋体" w:hint="default"/>
        </w:rPr>
        <w:t>IoT</w:t>
      </w:r>
      <w:r>
        <w:rPr>
          <w:rFonts w:ascii="宋体" w:hAnsi="宋体" w:cs="宋体" w:eastAsia="宋体" w:hint="default"/>
          <w:spacing w:val="-34"/>
        </w:rPr>
        <w:t> </w:t>
      </w:r>
      <w:r>
        <w:rPr/>
        <w:t>在家庭场景中的重要守护者，</w:t>
      </w:r>
      <w:r>
        <w:rPr>
          <w:rFonts w:ascii="宋体" w:hAnsi="宋体" w:cs="宋体" w:eastAsia="宋体" w:hint="default"/>
        </w:rPr>
        <w:t>360</w:t>
      </w:r>
      <w:r>
        <w:rPr>
          <w:rFonts w:ascii="宋体" w:hAnsi="宋体" w:cs="宋体" w:eastAsia="宋体" w:hint="default"/>
          <w:spacing w:val="-34"/>
        </w:rPr>
        <w:t> </w:t>
      </w:r>
      <w:r>
        <w:rPr/>
        <w:t>家庭安全大脑致力于用科技的力量，解决“中坚</w:t>
      </w:r>
      <w:r>
        <w:rPr>
          <w:spacing w:val="-3"/>
          <w:w w:val="100"/>
        </w:rPr>
        <w:t> </w:t>
      </w:r>
      <w:r>
        <w:rPr>
          <w:spacing w:val="-1"/>
        </w:rPr>
        <w:t>力量”人群的焦虑问题，为用户提供智能安心的生活解决方案，让家庭成员更具有安全感，为用</w:t>
      </w:r>
      <w:r>
        <w:rPr>
          <w:spacing w:val="-56"/>
        </w:rPr>
        <w:t> </w:t>
      </w:r>
      <w:r>
        <w:rPr>
          <w:spacing w:val="-56"/>
        </w:rPr>
      </w:r>
      <w:r>
        <w:rPr/>
        <w:t>户带来安全、安心和安康的智能生活体验。</w:t>
      </w:r>
    </w:p>
    <w:p>
      <w:pPr>
        <w:spacing w:line="240" w:lineRule="auto" w:before="0"/>
        <w:rPr>
          <w:rFonts w:ascii="宋体" w:hAnsi="宋体" w:cs="宋体" w:eastAsia="宋体" w:hint="default"/>
          <w:sz w:val="20"/>
          <w:szCs w:val="20"/>
        </w:rPr>
      </w:pPr>
    </w:p>
    <w:p>
      <w:pPr>
        <w:spacing w:line="355" w:lineRule="auto" w:before="176"/>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、全面拓展政企安全市场</w:t>
      </w:r>
      <w:r>
        <w:rPr>
          <w:rFonts w:ascii="宋体" w:hAnsi="宋体" w:cs="宋体" w:eastAsia="宋体" w:hint="default"/>
          <w:b/>
          <w:bCs/>
          <w:w w:val="100"/>
          <w:sz w:val="21"/>
          <w:szCs w:val="21"/>
        </w:rPr>
        <w:t> </w:t>
      </w:r>
      <w:r>
        <w:rPr>
          <w:rFonts w:ascii="宋体" w:hAnsi="宋体" w:cs="宋体" w:eastAsia="宋体" w:hint="default"/>
          <w:spacing w:val="-2"/>
          <w:sz w:val="21"/>
          <w:szCs w:val="21"/>
        </w:rPr>
        <w:t>经过数年的发展，网络安全威胁已经不仅针对于对个人电脑或个人手机，政府、企业对网络</w:t>
      </w:r>
    </w:p>
    <w:p>
      <w:pPr>
        <w:pStyle w:val="BodyText"/>
        <w:spacing w:line="357" w:lineRule="auto" w:before="32"/>
        <w:ind w:left="558" w:right="0" w:hanging="420"/>
        <w:jc w:val="left"/>
      </w:pPr>
      <w:r>
        <w:rPr/>
        <w:t>安全防范愈加重视，纷纷加大安全建设投入。</w:t>
      </w:r>
      <w:r>
        <w:rPr>
          <w:w w:val="100"/>
        </w:rPr>
        <w:t> </w:t>
      </w:r>
      <w:r>
        <w:rPr>
          <w:spacing w:val="-2"/>
        </w:rPr>
        <w:t>作为全球领先的互联网安全公司，面对政企市场新增的需求，三六零无法仅仅满足于保护个</w:t>
      </w:r>
    </w:p>
    <w:p>
      <w:pPr>
        <w:pStyle w:val="BodyText"/>
        <w:spacing w:line="355" w:lineRule="auto" w:before="30"/>
        <w:ind w:right="108"/>
        <w:jc w:val="both"/>
      </w:pPr>
      <w:r>
        <w:rPr>
          <w:spacing w:val="-1"/>
        </w:rPr>
        <w:t>人用户的安全。公司将积极扩展安全业务范围，在保护个人用户安全的基础上，进一步深化布局</w:t>
      </w:r>
      <w:r>
        <w:rPr>
          <w:spacing w:val="-55"/>
        </w:rPr>
        <w:t> </w:t>
      </w:r>
      <w:r>
        <w:rPr>
          <w:spacing w:val="-55"/>
        </w:rPr>
      </w:r>
      <w:r>
        <w:rPr>
          <w:spacing w:val="-1"/>
        </w:rPr>
        <w:t>政府及企业安全业务，在现有网络空间安全业务的基础上进一步拓展城市安全、社区安全等物理</w:t>
      </w:r>
      <w:r>
        <w:rPr>
          <w:spacing w:val="-55"/>
        </w:rPr>
        <w:t> </w:t>
      </w:r>
      <w:r>
        <w:rPr>
          <w:spacing w:val="-55"/>
        </w:rPr>
      </w:r>
      <w:r>
        <w:rPr/>
        <w:t>空间安全应用场景，逐步加强对于物联网、产业互联网、关键基础设施等的防护工作。</w:t>
      </w:r>
    </w:p>
    <w:p>
      <w:pPr>
        <w:pStyle w:val="BodyText"/>
        <w:spacing w:line="357" w:lineRule="auto" w:before="32"/>
        <w:ind w:right="110" w:firstLine="419"/>
        <w:jc w:val="both"/>
      </w:pPr>
      <w:r>
        <w:rPr>
          <w:spacing w:val="-2"/>
        </w:rPr>
        <w:t>未来，政企安全领域将成为三六零的重要战略方向和新业务增长点，公司将全面拓展政企安</w:t>
      </w:r>
      <w:r>
        <w:rPr>
          <w:w w:val="100"/>
        </w:rPr>
        <w:t> </w:t>
      </w:r>
      <w:r>
        <w:rPr/>
        <w:t>全市场。</w:t>
      </w:r>
    </w:p>
    <w:p>
      <w:pPr>
        <w:spacing w:line="240" w:lineRule="auto" w:before="0"/>
        <w:rPr>
          <w:rFonts w:ascii="宋体" w:hAnsi="宋体" w:cs="宋体" w:eastAsia="宋体" w:hint="default"/>
          <w:sz w:val="20"/>
          <w:szCs w:val="20"/>
        </w:rPr>
      </w:pPr>
    </w:p>
    <w:p>
      <w:pPr>
        <w:pStyle w:val="Heading5"/>
        <w:spacing w:line="240" w:lineRule="auto" w:before="140"/>
        <w:ind w:left="138" w:right="0"/>
        <w:jc w:val="both"/>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49"/>
        </w:rPr>
        <w:t> </w:t>
      </w:r>
      <w:r>
        <w:rPr/>
        <w:t>经营计划</w:t>
      </w:r>
      <w:r>
        <w:rPr>
          <w:b w:val="0"/>
          <w:bCs w:val="0"/>
        </w:rPr>
      </w:r>
    </w:p>
    <w:p>
      <w:pPr>
        <w:pStyle w:val="BodyText"/>
        <w:spacing w:line="274" w:lineRule="exact" w:before="56"/>
        <w:ind w:right="0"/>
        <w:jc w:val="both"/>
      </w:pPr>
      <w:r>
        <w:rPr/>
        <w:t>√适用</w:t>
      </w:r>
      <w:r>
        <w:rPr>
          <w:spacing w:val="104"/>
        </w:rPr>
        <w:t> </w:t>
      </w:r>
      <w:r>
        <w:rPr/>
        <w:t>□不适用</w:t>
      </w:r>
    </w:p>
    <w:p>
      <w:pPr>
        <w:spacing w:line="357" w:lineRule="auto" w:before="0"/>
        <w:ind w:left="558" w:right="102" w:firstLine="6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、进一步加强“360</w:t>
      </w:r>
      <w:r>
        <w:rPr>
          <w:rFonts w:ascii="宋体" w:hAnsi="宋体" w:cs="宋体" w:eastAsia="宋体" w:hint="default"/>
          <w:b/>
          <w:bCs/>
          <w:spacing w:val="-54"/>
          <w:sz w:val="21"/>
          <w:szCs w:val="21"/>
        </w:rPr>
        <w:t> </w:t>
      </w:r>
      <w:r>
        <w:rPr>
          <w:rFonts w:ascii="宋体" w:hAnsi="宋体" w:cs="宋体" w:eastAsia="宋体" w:hint="default"/>
          <w:b/>
          <w:bCs/>
          <w:sz w:val="21"/>
          <w:szCs w:val="21"/>
        </w:rPr>
        <w:t>安全大脑”行业应用，通过安全赋能构建大安全生态</w:t>
      </w:r>
      <w:r>
        <w:rPr>
          <w:rFonts w:ascii="宋体" w:hAnsi="宋体" w:cs="宋体" w:eastAsia="宋体" w:hint="default"/>
          <w:b/>
          <w:bCs/>
          <w:w w:val="100"/>
          <w:sz w:val="21"/>
          <w:szCs w:val="21"/>
        </w:rPr>
        <w:t> </w:t>
      </w:r>
      <w:r>
        <w:rPr>
          <w:rFonts w:ascii="宋体" w:hAnsi="宋体" w:cs="宋体" w:eastAsia="宋体" w:hint="default"/>
          <w:sz w:val="21"/>
          <w:szCs w:val="21"/>
        </w:rPr>
        <w:t>三六零将重点加强“</w:t>
      </w:r>
      <w:r>
        <w:rPr>
          <w:rFonts w:ascii="宋体" w:hAnsi="宋体" w:cs="宋体" w:eastAsia="宋体" w:hint="default"/>
          <w:sz w:val="21"/>
          <w:szCs w:val="21"/>
        </w:rPr>
        <w:t>360</w:t>
      </w:r>
      <w:r>
        <w:rPr>
          <w:rFonts w:ascii="宋体" w:hAnsi="宋体" w:cs="宋体" w:eastAsia="宋体" w:hint="default"/>
          <w:spacing w:val="6"/>
          <w:sz w:val="21"/>
          <w:szCs w:val="21"/>
        </w:rPr>
        <w:t> </w:t>
      </w:r>
      <w:r>
        <w:rPr>
          <w:rFonts w:ascii="宋体" w:hAnsi="宋体" w:cs="宋体" w:eastAsia="宋体" w:hint="default"/>
          <w:sz w:val="21"/>
          <w:szCs w:val="21"/>
        </w:rPr>
        <w:t>安全大脑”的行业应用场景落实。公司拟通过联合上下游、产业链</w:t>
      </w:r>
    </w:p>
    <w:p>
      <w:pPr>
        <w:pStyle w:val="BodyText"/>
        <w:spacing w:line="355" w:lineRule="auto" w:before="30"/>
        <w:ind w:right="108"/>
        <w:jc w:val="both"/>
      </w:pPr>
      <w:r>
        <w:rPr>
          <w:spacing w:val="-1"/>
        </w:rPr>
        <w:t>上的安全相关企业，协助有关部门共同构建“国家级网络安全大脑”，打造国之重器，捍卫网络</w:t>
      </w:r>
      <w:r>
        <w:rPr>
          <w:spacing w:val="-55"/>
        </w:rPr>
        <w:t> </w:t>
      </w:r>
      <w:r>
        <w:rPr>
          <w:spacing w:val="-55"/>
        </w:rPr>
      </w:r>
      <w:r>
        <w:rPr>
          <w:spacing w:val="-1"/>
        </w:rPr>
        <w:t>空间国土安全；通过加强自身与网络安全、城市安全相关产业链企业开展战略合作，通过安全赋</w:t>
      </w:r>
      <w:r>
        <w:rPr>
          <w:spacing w:val="-55"/>
        </w:rPr>
        <w:t> </w:t>
      </w:r>
      <w:r>
        <w:rPr>
          <w:spacing w:val="-55"/>
        </w:rPr>
      </w:r>
      <w:r>
        <w:rPr/>
        <w:t>能的形式，共同构建大安全生态。</w:t>
      </w:r>
    </w:p>
    <w:p>
      <w:pPr>
        <w:spacing w:line="355" w:lineRule="auto" w:before="34"/>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、通过业务加资本方式，大力进军政企安全市场</w:t>
      </w:r>
      <w:r>
        <w:rPr>
          <w:rFonts w:ascii="宋体" w:hAnsi="宋体" w:cs="宋体" w:eastAsia="宋体" w:hint="default"/>
          <w:b/>
          <w:bCs/>
          <w:w w:val="100"/>
          <w:sz w:val="21"/>
          <w:szCs w:val="21"/>
        </w:rPr>
        <w:t> </w:t>
      </w:r>
      <w:r>
        <w:rPr>
          <w:rFonts w:ascii="宋体" w:hAnsi="宋体" w:cs="宋体" w:eastAsia="宋体" w:hint="default"/>
          <w:spacing w:val="-2"/>
          <w:sz w:val="21"/>
          <w:szCs w:val="21"/>
        </w:rPr>
        <w:t>三六零将根据政企安全战略，结合自身的品牌、技术和大数据优势，积极寻求在政企安全市</w:t>
      </w:r>
    </w:p>
    <w:p>
      <w:pPr>
        <w:pStyle w:val="BodyText"/>
        <w:spacing w:line="355" w:lineRule="auto" w:before="32"/>
        <w:ind w:right="108"/>
        <w:jc w:val="both"/>
      </w:pPr>
      <w:r>
        <w:rPr>
          <w:spacing w:val="-1"/>
        </w:rPr>
        <w:t>场的快速扩张。公司将针对政企安全市场，组建专业团队和集团组织架构，并不排除通过合作开</w:t>
      </w:r>
      <w:r>
        <w:rPr>
          <w:spacing w:val="-55"/>
        </w:rPr>
        <w:t> </w:t>
      </w:r>
      <w:r>
        <w:rPr>
          <w:spacing w:val="-55"/>
        </w:rPr>
      </w:r>
      <w:r>
        <w:rPr/>
        <w:t>发、战略合作、投资、并购等方式迅速加强公司在政企安全市场的行业地位。</w:t>
      </w:r>
    </w:p>
    <w:p>
      <w:pPr>
        <w:pStyle w:val="Heading5"/>
        <w:spacing w:line="240" w:lineRule="auto" w:before="35"/>
        <w:ind w:left="560" w:right="0"/>
        <w:jc w:val="left"/>
        <w:rPr>
          <w:b w:val="0"/>
          <w:bCs w:val="0"/>
        </w:rPr>
      </w:pPr>
      <w:r>
        <w:rPr>
          <w:rFonts w:ascii="宋体" w:hAnsi="宋体" w:cs="宋体" w:eastAsia="宋体" w:hint="default"/>
        </w:rPr>
        <w:t>3</w:t>
      </w:r>
      <w:r>
        <w:rPr/>
        <w:t>、进一步提升研发能力，保持技术的创新和领先</w:t>
      </w:r>
      <w:r>
        <w:rPr>
          <w:b w:val="0"/>
          <w:bCs w:val="0"/>
        </w:rPr>
      </w:r>
    </w:p>
    <w:p>
      <w:pPr>
        <w:spacing w:after="0" w:line="240" w:lineRule="auto"/>
        <w:jc w:val="left"/>
        <w:sectPr>
          <w:pgSz w:w="11910" w:h="16840"/>
          <w:pgMar w:header="857" w:footer="1217" w:top="1320" w:bottom="1400" w:left="1660" w:right="1160"/>
        </w:sectPr>
      </w:pPr>
    </w:p>
    <w:p>
      <w:pPr>
        <w:spacing w:line="240" w:lineRule="auto" w:before="2"/>
        <w:rPr>
          <w:rFonts w:ascii="宋体" w:hAnsi="宋体" w:cs="宋体" w:eastAsia="宋体" w:hint="default"/>
          <w:b/>
          <w:bCs/>
          <w:sz w:val="9"/>
          <w:szCs w:val="9"/>
        </w:rPr>
      </w:pPr>
    </w:p>
    <w:p>
      <w:pPr>
        <w:pStyle w:val="BodyText"/>
        <w:spacing w:line="357" w:lineRule="auto" w:before="36"/>
        <w:ind w:right="107" w:firstLine="419"/>
        <w:jc w:val="both"/>
      </w:pPr>
      <w:r>
        <w:rPr>
          <w:spacing w:val="-7"/>
          <w:w w:val="100"/>
        </w:rPr>
        <w:t>结合自身在安全领域的优势，在现有安全研发的基础上，针对当前市场需求和技术发展趋势，</w:t>
      </w:r>
      <w:r>
        <w:rPr>
          <w:w w:val="100"/>
        </w:rPr>
        <w:t> </w:t>
      </w:r>
      <w:r>
        <w:rPr>
          <w:spacing w:val="-3"/>
        </w:rPr>
        <w:t>加强“</w:t>
      </w:r>
      <w:r>
        <w:rPr>
          <w:rFonts w:ascii="宋体" w:hAnsi="宋体" w:cs="宋体" w:eastAsia="宋体" w:hint="default"/>
          <w:spacing w:val="-3"/>
        </w:rPr>
        <w:t>IMABCDE</w:t>
      </w:r>
      <w:r>
        <w:rPr>
          <w:spacing w:val="-3"/>
        </w:rPr>
        <w:t>”等技术的研发和积累，升级及拓展系统安全、网络安全、</w:t>
      </w:r>
      <w:r>
        <w:rPr>
          <w:rFonts w:ascii="宋体" w:hAnsi="宋体" w:cs="宋体" w:eastAsia="宋体" w:hint="default"/>
          <w:spacing w:val="-3"/>
        </w:rPr>
        <w:t>IoT </w:t>
      </w:r>
      <w:r>
        <w:rPr/>
        <w:t>安全的技术应用实</w:t>
      </w:r>
      <w:r>
        <w:rPr>
          <w:spacing w:val="-86"/>
        </w:rPr>
        <w:t> </w:t>
      </w:r>
      <w:r>
        <w:rPr>
          <w:spacing w:val="-86"/>
        </w:rPr>
      </w:r>
      <w:r>
        <w:rPr>
          <w:spacing w:val="-1"/>
        </w:rPr>
        <w:t>践，进一步提升三六零在安全方面的自主创新能力和研发实力，继续保持在安全领域的行业地位</w:t>
      </w:r>
      <w:r>
        <w:rPr>
          <w:spacing w:val="-56"/>
        </w:rPr>
        <w:t> </w:t>
      </w:r>
      <w:r>
        <w:rPr>
          <w:spacing w:val="-56"/>
        </w:rPr>
      </w:r>
      <w:r>
        <w:rPr/>
        <w:t>和技术领先。</w:t>
      </w:r>
    </w:p>
    <w:p>
      <w:pPr>
        <w:spacing w:line="355" w:lineRule="auto" w:before="3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、保持和发展现有主营业务，为公司业务拓展提供有力支撑</w:t>
      </w:r>
      <w:r>
        <w:rPr>
          <w:rFonts w:ascii="宋体" w:hAnsi="宋体" w:cs="宋体" w:eastAsia="宋体" w:hint="default"/>
          <w:b/>
          <w:bCs/>
          <w:w w:val="100"/>
          <w:sz w:val="21"/>
          <w:szCs w:val="21"/>
        </w:rPr>
        <w:t> </w:t>
      </w:r>
      <w:r>
        <w:rPr>
          <w:rFonts w:ascii="宋体" w:hAnsi="宋体" w:cs="宋体" w:eastAsia="宋体" w:hint="default"/>
          <w:spacing w:val="-7"/>
          <w:sz w:val="21"/>
          <w:szCs w:val="21"/>
        </w:rPr>
        <w:t>通过充分利用人工智能、大数据和云技术，加强智能搜索、信息流及商业化、游戏服务平台，</w:t>
      </w:r>
    </w:p>
    <w:p>
      <w:pPr>
        <w:pStyle w:val="BodyText"/>
        <w:spacing w:line="357" w:lineRule="auto" w:before="34"/>
        <w:ind w:right="107"/>
        <w:jc w:val="both"/>
      </w:pPr>
      <w:r>
        <w:rPr>
          <w:spacing w:val="-1"/>
        </w:rPr>
        <w:t>进一步优化三六零的智能商业化生态体系。通过升级现有技术、内容、产品与渠道，一方面提升</w:t>
      </w:r>
      <w:r>
        <w:rPr>
          <w:spacing w:val="-55"/>
        </w:rPr>
        <w:t> </w:t>
      </w:r>
      <w:r>
        <w:rPr>
          <w:spacing w:val="-55"/>
        </w:rPr>
      </w:r>
      <w:r>
        <w:rPr>
          <w:spacing w:val="-1"/>
        </w:rPr>
        <w:t>“智能广告平台”效率，让更多商业客户通过先进的网络营销手段，将优质的产品和服务精准而</w:t>
      </w:r>
      <w:r>
        <w:rPr>
          <w:spacing w:val="-55"/>
        </w:rPr>
        <w:t> </w:t>
      </w:r>
      <w:r>
        <w:rPr>
          <w:spacing w:val="-55"/>
        </w:rPr>
      </w:r>
      <w:r>
        <w:rPr>
          <w:spacing w:val="-1"/>
        </w:rPr>
        <w:t>个性化地展示给终端用户；另一方面则完善“用户产品体系”，优化搜索和信息流产品，加强内</w:t>
      </w:r>
      <w:r>
        <w:rPr>
          <w:spacing w:val="-55"/>
        </w:rPr>
        <w:t> </w:t>
      </w:r>
      <w:r>
        <w:rPr>
          <w:spacing w:val="-55"/>
        </w:rPr>
      </w:r>
      <w:r>
        <w:rPr>
          <w:spacing w:val="-1"/>
        </w:rPr>
        <w:t>容和版权资源建设，拓展信息分发渠道，提升用户产品的市场覆盖度和竞争力。通过加强头部、</w:t>
      </w:r>
      <w:r>
        <w:rPr>
          <w:spacing w:val="-55"/>
        </w:rPr>
        <w:t> </w:t>
      </w:r>
      <w:r>
        <w:rPr>
          <w:spacing w:val="-55"/>
        </w:rPr>
      </w:r>
      <w:r>
        <w:rPr/>
        <w:t>优质游戏内容合作，提升游戏业务竞争力。加大</w:t>
      </w:r>
      <w:r>
        <w:rPr>
          <w:spacing w:val="-51"/>
        </w:rPr>
        <w:t> </w:t>
      </w:r>
      <w:r>
        <w:rPr>
          <w:rFonts w:ascii="宋体" w:hAnsi="宋体" w:cs="宋体" w:eastAsia="宋体" w:hint="default"/>
        </w:rPr>
        <w:t>IoT</w:t>
      </w:r>
      <w:r>
        <w:rPr>
          <w:rFonts w:ascii="宋体" w:hAnsi="宋体" w:cs="宋体" w:eastAsia="宋体" w:hint="default"/>
          <w:spacing w:val="-49"/>
        </w:rPr>
        <w:t> </w:t>
      </w:r>
      <w:r>
        <w:rPr/>
        <w:t>新品研发力度，尝试创新的销售模式，提升</w:t>
      </w:r>
      <w:r>
        <w:rPr>
          <w:w w:val="100"/>
        </w:rPr>
        <w:t> </w:t>
      </w:r>
      <w:r>
        <w:rPr/>
        <w:t>智能硬件产品的市场占有率。</w:t>
      </w:r>
    </w:p>
    <w:p>
      <w:pPr>
        <w:spacing w:line="355" w:lineRule="auto" w:before="30"/>
        <w:ind w:left="562" w:right="0" w:hanging="3"/>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、做好融资工作，为战略实施奠定基础</w:t>
      </w:r>
      <w:r>
        <w:rPr>
          <w:rFonts w:ascii="宋体" w:hAnsi="宋体" w:cs="宋体" w:eastAsia="宋体" w:hint="default"/>
          <w:b/>
          <w:bCs/>
          <w:w w:val="100"/>
          <w:sz w:val="21"/>
          <w:szCs w:val="21"/>
        </w:rPr>
        <w:t> </w:t>
      </w:r>
      <w:r>
        <w:rPr>
          <w:rFonts w:ascii="宋体" w:hAnsi="宋体" w:cs="宋体" w:eastAsia="宋体" w:hint="default"/>
          <w:spacing w:val="-2"/>
          <w:sz w:val="21"/>
          <w:szCs w:val="21"/>
        </w:rPr>
        <w:t>随着三六零业务规模的不断扩大以及未来战略的逐步实施，三六零预计未来仍将需要采取多</w:t>
      </w:r>
    </w:p>
    <w:p>
      <w:pPr>
        <w:pStyle w:val="BodyText"/>
        <w:spacing w:line="357" w:lineRule="auto" w:before="32"/>
        <w:ind w:right="108"/>
        <w:jc w:val="both"/>
      </w:pPr>
      <w:r>
        <w:rPr>
          <w:spacing w:val="-1"/>
        </w:rPr>
        <w:t>种方式进行融资。三六零将结合业务发展需要和中长期发展战略规划，凭借良好的资信，通过银</w:t>
      </w:r>
      <w:r>
        <w:rPr>
          <w:spacing w:val="-55"/>
        </w:rPr>
        <w:t> </w:t>
      </w:r>
      <w:r>
        <w:rPr>
          <w:spacing w:val="-55"/>
        </w:rPr>
      </w:r>
      <w:r>
        <w:rPr>
          <w:spacing w:val="-1"/>
        </w:rPr>
        <w:t>行贷款等措施筹集现有业务快速发展急需的流动资金，在确保目前非公开发行股票工作正常推进</w:t>
      </w:r>
      <w:r>
        <w:rPr>
          <w:spacing w:val="-55"/>
        </w:rPr>
        <w:t> </w:t>
      </w:r>
      <w:r>
        <w:rPr>
          <w:spacing w:val="-55"/>
        </w:rPr>
      </w:r>
      <w:r>
        <w:rPr/>
        <w:t>的同时，不排除今后仍将通过发行新股、债券等方式来筹措资金，以满足三六零发展的需要。</w:t>
      </w:r>
    </w:p>
    <w:p>
      <w:pPr>
        <w:spacing w:line="240" w:lineRule="auto" w:before="0"/>
        <w:rPr>
          <w:rFonts w:ascii="宋体" w:hAnsi="宋体" w:cs="宋体" w:eastAsia="宋体" w:hint="default"/>
          <w:sz w:val="20"/>
          <w:szCs w:val="20"/>
        </w:rPr>
      </w:pPr>
    </w:p>
    <w:p>
      <w:pPr>
        <w:pStyle w:val="Heading5"/>
        <w:spacing w:line="240" w:lineRule="auto" w:before="140"/>
        <w:ind w:left="138" w:right="0"/>
        <w:jc w:val="both"/>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48"/>
        </w:rPr>
        <w:t> </w:t>
      </w:r>
      <w:r>
        <w:rPr/>
        <w:t>可能面对的风险</w:t>
      </w:r>
      <w:r>
        <w:rPr>
          <w:b w:val="0"/>
          <w:bCs w:val="0"/>
        </w:rPr>
      </w:r>
    </w:p>
    <w:p>
      <w:pPr>
        <w:tabs>
          <w:tab w:pos="557" w:val="left" w:leader="none"/>
          <w:tab w:pos="980" w:val="left" w:leader="none"/>
        </w:tabs>
        <w:spacing w:line="290" w:lineRule="auto" w:before="56"/>
        <w:ind w:left="138" w:right="7259"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w w:val="95"/>
          <w:sz w:val="21"/>
          <w:szCs w:val="21"/>
        </w:rPr>
        <w:t>1.</w:t>
        <w:tab/>
      </w:r>
      <w:r>
        <w:rPr>
          <w:rFonts w:ascii="宋体" w:hAnsi="宋体" w:cs="宋体" w:eastAsia="宋体" w:hint="default"/>
          <w:b/>
          <w:bCs/>
          <w:sz w:val="21"/>
          <w:szCs w:val="21"/>
        </w:rPr>
        <w:t>技术进步风险</w:t>
      </w:r>
      <w:r>
        <w:rPr>
          <w:rFonts w:ascii="宋体" w:hAnsi="宋体" w:cs="宋体" w:eastAsia="宋体" w:hint="default"/>
          <w:sz w:val="21"/>
          <w:szCs w:val="21"/>
        </w:rPr>
      </w:r>
    </w:p>
    <w:p>
      <w:pPr>
        <w:pStyle w:val="BodyText"/>
        <w:spacing w:line="357" w:lineRule="auto" w:before="12"/>
        <w:ind w:right="108" w:firstLine="419"/>
        <w:jc w:val="both"/>
      </w:pPr>
      <w:r>
        <w:rPr>
          <w:spacing w:val="-7"/>
        </w:rPr>
        <w:t>公司所在的互联网行业属于技术密集型行业，随着互联网技术的高速发展，云计算、大数据、</w:t>
      </w:r>
      <w:r>
        <w:rPr>
          <w:w w:val="100"/>
        </w:rPr>
        <w:t> </w:t>
      </w:r>
      <w:r>
        <w:rPr>
          <w:spacing w:val="-2"/>
        </w:rPr>
        <w:t>人工智能等领域的技术革新不断出现，导致互联网产品形态、商业模式快速推陈出新。公司业务</w:t>
      </w:r>
      <w:r>
        <w:rPr>
          <w:spacing w:val="-25"/>
        </w:rPr>
        <w:t> </w:t>
      </w:r>
      <w:r>
        <w:rPr>
          <w:spacing w:val="-25"/>
        </w:rPr>
      </w:r>
      <w:r>
        <w:rPr/>
        <w:t>涉及网络安全、互联网广告及服务、互联网增值服务、</w:t>
      </w:r>
      <w:r>
        <w:rPr>
          <w:rFonts w:ascii="宋体" w:hAnsi="宋体" w:cs="宋体" w:eastAsia="宋体" w:hint="default"/>
        </w:rPr>
        <w:t>IoT</w:t>
      </w:r>
      <w:r>
        <w:rPr>
          <w:rFonts w:ascii="宋体" w:hAnsi="宋体" w:cs="宋体" w:eastAsia="宋体" w:hint="default"/>
          <w:spacing w:val="-56"/>
        </w:rPr>
        <w:t> </w:t>
      </w:r>
      <w:r>
        <w:rPr/>
        <w:t>物联网等多个互联网领域，若公司不</w:t>
      </w:r>
      <w:r>
        <w:rPr>
          <w:w w:val="100"/>
        </w:rPr>
        <w:t> </w:t>
      </w:r>
      <w:r>
        <w:rPr>
          <w:spacing w:val="-2"/>
        </w:rPr>
        <w:t>能紧跟互联网技术发展进程、无法顺应互联网行业发展趋势，将可能对上述业务发展带来不利影</w:t>
      </w:r>
      <w:r>
        <w:rPr>
          <w:spacing w:val="-25"/>
        </w:rPr>
        <w:t> </w:t>
      </w:r>
      <w:r>
        <w:rPr>
          <w:spacing w:val="-25"/>
        </w:rPr>
      </w:r>
      <w:r>
        <w:rPr/>
        <w:t>响。</w:t>
      </w:r>
    </w:p>
    <w:p>
      <w:pPr>
        <w:pStyle w:val="BodyText"/>
        <w:spacing w:line="357" w:lineRule="auto" w:before="30"/>
        <w:ind w:right="117" w:firstLine="419"/>
        <w:jc w:val="both"/>
      </w:pPr>
      <w:r>
        <w:rPr>
          <w:spacing w:val="-2"/>
        </w:rPr>
        <w:t>尤其是近年来全球互联网安全局势日益严峻，各类网络威胁、攻击甚至犯罪事件频发，并逐</w:t>
      </w:r>
      <w:r>
        <w:rPr>
          <w:w w:val="100"/>
        </w:rPr>
        <w:t> </w:t>
      </w:r>
      <w:r>
        <w:rPr>
          <w:spacing w:val="-2"/>
        </w:rPr>
        <w:t>步呈现出工具专业化、目的商业化、行为组织化、手段多样化等特点。因此，公司需不断创新和</w:t>
      </w:r>
      <w:r>
        <w:rPr>
          <w:spacing w:val="-25"/>
        </w:rPr>
        <w:t> </w:t>
      </w:r>
      <w:r>
        <w:rPr>
          <w:spacing w:val="-25"/>
        </w:rPr>
      </w:r>
      <w:r>
        <w:rPr>
          <w:spacing w:val="-2"/>
        </w:rPr>
        <w:t>运用最新的互联网安全技术以应对行业的发展趋势和自身业务发展的需求，若公司无法及时跟进</w:t>
      </w:r>
      <w:r>
        <w:rPr>
          <w:spacing w:val="-25"/>
        </w:rPr>
        <w:t> </w:t>
      </w:r>
      <w:r>
        <w:rPr>
          <w:spacing w:val="-25"/>
        </w:rPr>
      </w:r>
      <w:r>
        <w:rPr>
          <w:spacing w:val="-2"/>
        </w:rPr>
        <w:t>相关技术革新，将可能面临产品及服务不能满足用户需求等风险，在一定程度上影响公司的行业</w:t>
      </w:r>
      <w:r>
        <w:rPr>
          <w:spacing w:val="-25"/>
        </w:rPr>
        <w:t> </w:t>
      </w:r>
      <w:r>
        <w:rPr>
          <w:spacing w:val="-25"/>
        </w:rPr>
      </w:r>
      <w:r>
        <w:rPr/>
        <w:t>龙头地位。</w:t>
      </w:r>
    </w:p>
    <w:p>
      <w:pPr>
        <w:tabs>
          <w:tab w:pos="557" w:val="left" w:leader="none"/>
        </w:tabs>
        <w:spacing w:line="290" w:lineRule="auto" w:before="90"/>
        <w:ind w:left="558" w:right="118" w:hanging="42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经营及资质风险</w:t>
      </w:r>
      <w:r>
        <w:rPr>
          <w:rFonts w:ascii="宋体" w:hAnsi="宋体" w:cs="宋体" w:eastAsia="宋体" w:hint="default"/>
          <w:b/>
          <w:bCs/>
          <w:spacing w:val="-104"/>
          <w:sz w:val="21"/>
          <w:szCs w:val="21"/>
        </w:rPr>
        <w:t> </w:t>
      </w:r>
      <w:r>
        <w:rPr>
          <w:rFonts w:ascii="宋体" w:hAnsi="宋体" w:cs="宋体" w:eastAsia="宋体" w:hint="default"/>
          <w:spacing w:val="-2"/>
          <w:sz w:val="21"/>
          <w:szCs w:val="21"/>
        </w:rPr>
        <w:t>公司作为综合性互联网企业，所需资质涉及业务包括互联网安全、互联网广告及服务、互联</w:t>
      </w:r>
    </w:p>
    <w:p>
      <w:pPr>
        <w:pStyle w:val="BodyText"/>
        <w:spacing w:line="240" w:lineRule="auto" w:before="89"/>
        <w:ind w:right="0"/>
        <w:jc w:val="both"/>
      </w:pPr>
      <w:r>
        <w:rPr/>
        <w:t>网增值服务等多个领域。公司已取得多项与生产经营所必需的批准、许可及完成相关备案登记手</w:t>
      </w:r>
    </w:p>
    <w:p>
      <w:pPr>
        <w:spacing w:after="0" w:line="240" w:lineRule="auto"/>
        <w:jc w:val="both"/>
        <w:sectPr>
          <w:pgSz w:w="11910" w:h="16840"/>
          <w:pgMar w:header="857" w:footer="1217" w:top="1320" w:bottom="1400" w:left="1660" w:right="1160"/>
        </w:sectPr>
      </w:pPr>
    </w:p>
    <w:p>
      <w:pPr>
        <w:spacing w:line="240" w:lineRule="auto" w:before="2"/>
        <w:rPr>
          <w:rFonts w:ascii="宋体" w:hAnsi="宋体" w:cs="宋体" w:eastAsia="宋体" w:hint="default"/>
          <w:sz w:val="9"/>
          <w:szCs w:val="9"/>
        </w:rPr>
      </w:pPr>
    </w:p>
    <w:p>
      <w:pPr>
        <w:pStyle w:val="BodyText"/>
        <w:spacing w:line="357" w:lineRule="auto" w:before="36"/>
        <w:ind w:right="117"/>
        <w:jc w:val="both"/>
      </w:pPr>
      <w:r>
        <w:rPr>
          <w:spacing w:val="-2"/>
        </w:rPr>
        <w:t>续。若未来因相关政策法规变化或公司自身原因等导致无法取得主管部门要求的最新经营资质，</w:t>
      </w:r>
      <w:r>
        <w:rPr>
          <w:spacing w:val="-25"/>
        </w:rPr>
        <w:t> </w:t>
      </w:r>
      <w:r>
        <w:rPr>
          <w:spacing w:val="-25"/>
        </w:rPr>
      </w:r>
      <w:r>
        <w:rPr/>
        <w:t>则可能面临限制甚至终止相应业务运营的风险，从而对公司业务产生不利影响。</w:t>
      </w:r>
    </w:p>
    <w:p>
      <w:pPr>
        <w:pStyle w:val="BodyText"/>
        <w:spacing w:line="355" w:lineRule="auto" w:before="30"/>
        <w:ind w:right="117" w:firstLine="419"/>
        <w:jc w:val="both"/>
      </w:pPr>
      <w:r>
        <w:rPr>
          <w:spacing w:val="-2"/>
        </w:rPr>
        <w:t>公司拥有严格的广告审查制度，积极响应国家广告监管精神和措施，对投放广告的广告主资</w:t>
      </w:r>
      <w:r>
        <w:rPr>
          <w:w w:val="100"/>
        </w:rPr>
        <w:t> </w:t>
      </w:r>
      <w:r>
        <w:rPr>
          <w:spacing w:val="-2"/>
        </w:rPr>
        <w:t>质、广告内容严格把关，确保其满足相关法律法规的要求。但是随着我国互联网广告监管的进一</w:t>
      </w:r>
      <w:r>
        <w:rPr>
          <w:spacing w:val="-25"/>
        </w:rPr>
        <w:t> </w:t>
      </w:r>
      <w:r>
        <w:rPr>
          <w:spacing w:val="-25"/>
        </w:rPr>
      </w:r>
      <w:r>
        <w:rPr>
          <w:spacing w:val="-2"/>
        </w:rPr>
        <w:t>步加强，如未来出现广告信息难以验证或存在歧义误导用户的情形，且公司未能及时查验并终止</w:t>
      </w:r>
      <w:r>
        <w:rPr>
          <w:spacing w:val="-25"/>
        </w:rPr>
        <w:t> </w:t>
      </w:r>
      <w:r>
        <w:rPr>
          <w:spacing w:val="-25"/>
        </w:rPr>
      </w:r>
      <w:r>
        <w:rPr/>
        <w:t>投放，可能会导致公司面临用户投诉、赔偿或监管处罚的风险，甚至影响相关业务发展。</w:t>
      </w:r>
    </w:p>
    <w:p>
      <w:pPr>
        <w:pStyle w:val="BodyText"/>
        <w:spacing w:line="357" w:lineRule="auto" w:before="34"/>
        <w:ind w:right="117" w:firstLine="419"/>
        <w:jc w:val="both"/>
      </w:pPr>
      <w:r>
        <w:rPr>
          <w:spacing w:val="-2"/>
        </w:rPr>
        <w:t>以游戏业务为主的互联网增值业务是公司的主营业务之一，游戏具有生命周期短、产品迭代</w:t>
      </w:r>
      <w:r>
        <w:rPr>
          <w:w w:val="100"/>
        </w:rPr>
        <w:t> </w:t>
      </w:r>
      <w:r>
        <w:rPr>
          <w:spacing w:val="-2"/>
        </w:rPr>
        <w:t>快、用户偏好转换快等特点，该行业的商业模式和应用技术也在持续的变化和升级换代。此外，</w:t>
      </w:r>
      <w:r>
        <w:rPr>
          <w:spacing w:val="-25"/>
        </w:rPr>
        <w:t> </w:t>
      </w:r>
      <w:r>
        <w:rPr>
          <w:spacing w:val="-25"/>
        </w:rPr>
      </w:r>
      <w:r>
        <w:rPr>
          <w:spacing w:val="-2"/>
        </w:rPr>
        <w:t>近年来针对网络游戏行业的监管和立法不断加强，对游戏企业运营资质、开发内容等要求日趋严</w:t>
      </w:r>
      <w:r>
        <w:rPr>
          <w:spacing w:val="-25"/>
        </w:rPr>
        <w:t> </w:t>
      </w:r>
      <w:r>
        <w:rPr>
          <w:spacing w:val="-25"/>
        </w:rPr>
      </w:r>
      <w:r>
        <w:rPr>
          <w:spacing w:val="-2"/>
        </w:rPr>
        <w:t>格。因此，行业政策、上线及运营效果以及与游戏研发商合作的广泛性、稳定性均有可能对公司</w:t>
      </w:r>
      <w:r>
        <w:rPr>
          <w:spacing w:val="-25"/>
        </w:rPr>
        <w:t> </w:t>
      </w:r>
      <w:r>
        <w:rPr>
          <w:spacing w:val="-25"/>
        </w:rPr>
      </w:r>
      <w:r>
        <w:rPr/>
        <w:t>游戏业务的稳定及持续增长产生影响，进而导致相关业务收入出现一定波动。</w:t>
      </w:r>
    </w:p>
    <w:p>
      <w:pPr>
        <w:pStyle w:val="BodyText"/>
        <w:spacing w:line="355" w:lineRule="auto" w:before="30"/>
        <w:ind w:right="117" w:firstLine="419"/>
        <w:jc w:val="both"/>
      </w:pPr>
      <w:r>
        <w:rPr>
          <w:spacing w:val="-2"/>
        </w:rPr>
        <w:t>未来公司将进军政企安全领域，相对于公司目前针对个人用户的互联网主营业务，政企安全</w:t>
      </w:r>
      <w:r>
        <w:rPr>
          <w:w w:val="100"/>
        </w:rPr>
        <w:t> </w:t>
      </w:r>
      <w:r>
        <w:rPr>
          <w:spacing w:val="-2"/>
        </w:rPr>
        <w:t>领域的商业模式、行业规则、团队要求、经营理念都与公司过往所从事的业务有着巨大差异。公</w:t>
      </w:r>
      <w:r>
        <w:rPr>
          <w:spacing w:val="-25"/>
        </w:rPr>
        <w:t> </w:t>
      </w:r>
      <w:r>
        <w:rPr>
          <w:spacing w:val="-25"/>
        </w:rPr>
      </w:r>
      <w:r>
        <w:rPr>
          <w:spacing w:val="-2"/>
        </w:rPr>
        <w:t>司在进入政企安全领域的同时，可能面临新业务发展不如预期、业务拓展缓慢、经营理念及商业</w:t>
      </w:r>
      <w:r>
        <w:rPr>
          <w:spacing w:val="-25"/>
        </w:rPr>
        <w:t> </w:t>
      </w:r>
      <w:r>
        <w:rPr>
          <w:spacing w:val="-25"/>
        </w:rPr>
      </w:r>
      <w:r>
        <w:rPr/>
        <w:t>模式短时间内不适应的风险。</w:t>
      </w:r>
    </w:p>
    <w:p>
      <w:pPr>
        <w:tabs>
          <w:tab w:pos="557" w:val="left" w:leader="none"/>
        </w:tabs>
        <w:spacing w:line="290" w:lineRule="auto" w:before="94"/>
        <w:ind w:left="558" w:right="118" w:hanging="42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行业竞争加剧风险</w:t>
      </w:r>
      <w:r>
        <w:rPr>
          <w:rFonts w:ascii="宋体" w:hAnsi="宋体" w:cs="宋体" w:eastAsia="宋体" w:hint="default"/>
          <w:b/>
          <w:bCs/>
          <w:spacing w:val="-103"/>
          <w:sz w:val="21"/>
          <w:szCs w:val="21"/>
        </w:rPr>
        <w:t> </w:t>
      </w:r>
      <w:r>
        <w:rPr>
          <w:rFonts w:ascii="宋体" w:hAnsi="宋体" w:cs="宋体" w:eastAsia="宋体" w:hint="default"/>
          <w:spacing w:val="-2"/>
          <w:sz w:val="21"/>
          <w:szCs w:val="21"/>
        </w:rPr>
        <w:t>互联网行业作为新经济的代表行业，用户需求变化快，商业模式创新频繁，行业内竞争持续</w:t>
      </w:r>
    </w:p>
    <w:p>
      <w:pPr>
        <w:pStyle w:val="BodyText"/>
        <w:spacing w:line="357" w:lineRule="auto" w:before="89"/>
        <w:ind w:right="117"/>
        <w:jc w:val="both"/>
      </w:pPr>
      <w:r>
        <w:rPr>
          <w:spacing w:val="-2"/>
        </w:rPr>
        <w:t>加剧，激烈的行业竞争会对公司业务未来收入产生负面影响，加重企业拓展业务的成本。若公司</w:t>
      </w:r>
      <w:r>
        <w:rPr>
          <w:spacing w:val="-25"/>
        </w:rPr>
        <w:t> </w:t>
      </w:r>
      <w:r>
        <w:rPr>
          <w:spacing w:val="-25"/>
        </w:rPr>
      </w:r>
      <w:r>
        <w:rPr>
          <w:spacing w:val="-2"/>
        </w:rPr>
        <w:t>在未来经营过程中，无法顺应行业发展趋势及时采取适当的应对措施，将可能导致公司业务的商</w:t>
      </w:r>
      <w:r>
        <w:rPr>
          <w:spacing w:val="-25"/>
        </w:rPr>
        <w:t> </w:t>
      </w:r>
      <w:r>
        <w:rPr>
          <w:spacing w:val="-25"/>
        </w:rPr>
      </w:r>
      <w:r>
        <w:rPr/>
        <w:t>业化效率降低，失去现有市场竞争优势，进而影响经营业绩。</w:t>
      </w:r>
    </w:p>
    <w:p>
      <w:pPr>
        <w:pStyle w:val="BodyText"/>
        <w:spacing w:line="355" w:lineRule="auto" w:before="30"/>
        <w:ind w:right="108" w:firstLine="419"/>
        <w:jc w:val="both"/>
      </w:pPr>
      <w:r>
        <w:rPr>
          <w:spacing w:val="-7"/>
          <w:w w:val="100"/>
        </w:rPr>
        <w:t>此外，在互联网行业竞争持续加剧的情况下，公司也可能面临核心技术遭竞争对手恶意偷窃、</w:t>
      </w:r>
      <w:r>
        <w:rPr>
          <w:w w:val="100"/>
        </w:rPr>
        <w:t> </w:t>
      </w:r>
      <w:r>
        <w:rPr>
          <w:spacing w:val="-2"/>
        </w:rPr>
        <w:t>内部员工泄密等技术失密风险以及重要知识产权受到第三方侵权使用或被模仿等被侵害的情形，</w:t>
      </w:r>
      <w:r>
        <w:rPr>
          <w:spacing w:val="-25"/>
        </w:rPr>
        <w:t> </w:t>
      </w:r>
      <w:r>
        <w:rPr>
          <w:spacing w:val="-25"/>
        </w:rPr>
      </w:r>
      <w:r>
        <w:rPr/>
        <w:t>从而影响公司技术和品牌的核心竞争优势，并对公司经营带来不良影响。</w:t>
      </w:r>
    </w:p>
    <w:p>
      <w:pPr>
        <w:pStyle w:val="BodyText"/>
        <w:tabs>
          <w:tab w:pos="557" w:val="left" w:leader="none"/>
        </w:tabs>
        <w:spacing w:line="290" w:lineRule="auto" w:before="94"/>
        <w:ind w:left="558" w:right="118" w:hanging="420"/>
        <w:jc w:val="left"/>
      </w:pPr>
      <w:r>
        <w:rPr>
          <w:rFonts w:ascii="宋体" w:hAnsi="宋体" w:cs="宋体" w:eastAsia="宋体" w:hint="default"/>
          <w:b/>
          <w:bCs/>
          <w:w w:val="95"/>
        </w:rPr>
        <w:t>4.</w:t>
        <w:tab/>
      </w:r>
      <w:r>
        <w:rPr>
          <w:rFonts w:ascii="宋体" w:hAnsi="宋体" w:cs="宋体" w:eastAsia="宋体" w:hint="default"/>
          <w:b/>
          <w:bCs/>
        </w:rPr>
        <w:t>运营管理风险</w:t>
      </w:r>
      <w:r>
        <w:rPr>
          <w:rFonts w:ascii="宋体" w:hAnsi="宋体" w:cs="宋体" w:eastAsia="宋体" w:hint="default"/>
          <w:b/>
          <w:bCs/>
          <w:spacing w:val="-104"/>
        </w:rPr>
        <w:t> </w:t>
      </w:r>
      <w:r>
        <w:rPr>
          <w:spacing w:val="-4"/>
        </w:rPr>
        <w:t>公司拥有的“</w:t>
      </w:r>
      <w:r>
        <w:rPr>
          <w:rFonts w:ascii="宋体" w:hAnsi="宋体" w:cs="宋体" w:eastAsia="宋体" w:hint="default"/>
          <w:spacing w:val="-4"/>
        </w:rPr>
        <w:t>360</w:t>
      </w:r>
      <w:r>
        <w:rPr>
          <w:spacing w:val="-4"/>
        </w:rPr>
        <w:t>”品牌形象具有较高的知名度，在巩固公司市场地位，开拓新业务和商业模</w:t>
      </w:r>
    </w:p>
    <w:p>
      <w:pPr>
        <w:pStyle w:val="BodyText"/>
        <w:spacing w:line="357" w:lineRule="auto" w:before="89"/>
        <w:ind w:right="108"/>
        <w:jc w:val="both"/>
      </w:pPr>
      <w:r>
        <w:rPr>
          <w:spacing w:val="-2"/>
        </w:rPr>
        <w:t>式等方面起着至关重要的作用。然而，若公司对产品品牌维护不力，导致用户对公司产品的信任</w:t>
      </w:r>
      <w:r>
        <w:rPr>
          <w:spacing w:val="-25"/>
        </w:rPr>
        <w:t> </w:t>
      </w:r>
      <w:r>
        <w:rPr>
          <w:spacing w:val="-25"/>
        </w:rPr>
      </w:r>
      <w:r>
        <w:rPr>
          <w:spacing w:val="-4"/>
        </w:rPr>
        <w:t>度和忠诚度下降，或由于“</w:t>
      </w:r>
      <w:r>
        <w:rPr>
          <w:rFonts w:ascii="宋体" w:hAnsi="宋体" w:cs="宋体" w:eastAsia="宋体" w:hint="default"/>
          <w:spacing w:val="-4"/>
        </w:rPr>
        <w:t>360</w:t>
      </w:r>
      <w:r>
        <w:rPr>
          <w:spacing w:val="-4"/>
        </w:rPr>
        <w:t>”品牌被侵权使用并出现严重损害公司品牌的情形，则将会引发公</w:t>
      </w:r>
      <w:r>
        <w:rPr>
          <w:spacing w:val="-30"/>
        </w:rPr>
        <w:t> </w:t>
      </w:r>
      <w:r>
        <w:rPr>
          <w:spacing w:val="-30"/>
        </w:rPr>
      </w:r>
      <w:r>
        <w:rPr/>
        <w:t>司品牌风险，并将直接或间接的对公司经营造成不利影响。</w:t>
      </w:r>
    </w:p>
    <w:p>
      <w:pPr>
        <w:pStyle w:val="BodyText"/>
        <w:spacing w:line="357" w:lineRule="auto" w:before="30"/>
        <w:ind w:right="117" w:firstLine="419"/>
        <w:jc w:val="both"/>
      </w:pPr>
      <w:r>
        <w:rPr>
          <w:spacing w:val="-2"/>
        </w:rPr>
        <w:t>公司所处的互联网行业为人才密集型行业，技术研发、商业化运营及公司管理等方面的核心</w:t>
      </w:r>
      <w:r>
        <w:rPr>
          <w:w w:val="100"/>
        </w:rPr>
        <w:t> </w:t>
      </w:r>
      <w:r>
        <w:rPr>
          <w:spacing w:val="-2"/>
        </w:rPr>
        <w:t>人才对公司业务的发展起到至关重要的作用，公司拥有较为完善的人才培养体系，通过内部培养</w:t>
      </w:r>
      <w:r>
        <w:rPr>
          <w:spacing w:val="-25"/>
        </w:rPr>
        <w:t> </w:t>
      </w:r>
      <w:r>
        <w:rPr>
          <w:spacing w:val="-25"/>
        </w:rPr>
      </w:r>
      <w:r>
        <w:rPr>
          <w:spacing w:val="-2"/>
        </w:rPr>
        <w:t>及外部引进逐步形成了较为稳定的核心人才团队。但由于行业整体的高端技术人才相对稀缺，公</w:t>
      </w:r>
      <w:r>
        <w:rPr>
          <w:spacing w:val="-26"/>
        </w:rPr>
        <w:t> </w:t>
      </w:r>
      <w:r>
        <w:rPr>
          <w:spacing w:val="-26"/>
        </w:rPr>
      </w:r>
      <w:r>
        <w:rPr>
          <w:spacing w:val="-2"/>
        </w:rPr>
        <w:t>司核心人才也存在流失的可能。若出现核心人才大规模流失的情形，将对公司业务持续稳定健康</w:t>
      </w:r>
      <w:r>
        <w:rPr>
          <w:spacing w:val="-25"/>
        </w:rPr>
        <w:t> </w:t>
      </w:r>
      <w:r>
        <w:rPr>
          <w:spacing w:val="-25"/>
        </w:rPr>
      </w:r>
      <w:r>
        <w:rPr>
          <w:spacing w:val="-2"/>
        </w:rPr>
        <w:t>的发展带来不利影响。若公司在法律法规许可的范围内采取增加员工薪酬、实施股权激励、员工</w:t>
      </w:r>
      <w:r>
        <w:rPr>
          <w:spacing w:val="-25"/>
        </w:rPr>
        <w:t> </w:t>
      </w:r>
      <w:r>
        <w:rPr>
          <w:spacing w:val="-25"/>
        </w:rPr>
      </w:r>
      <w:r>
        <w:rPr/>
        <w:t>持股计划等措施，可能导致人力相关成本费用大幅增加，存在经营业绩下降的风险。</w:t>
      </w:r>
    </w:p>
    <w:p>
      <w:pPr>
        <w:spacing w:after="0" w:line="357" w:lineRule="auto"/>
        <w:jc w:val="both"/>
        <w:sectPr>
          <w:pgSz w:w="11910" w:h="16840"/>
          <w:pgMar w:header="857" w:footer="1217" w:top="1320" w:bottom="1400" w:left="1660" w:right="1160"/>
        </w:sectPr>
      </w:pPr>
    </w:p>
    <w:p>
      <w:pPr>
        <w:spacing w:line="240" w:lineRule="auto" w:before="2"/>
        <w:rPr>
          <w:rFonts w:ascii="宋体" w:hAnsi="宋体" w:cs="宋体" w:eastAsia="宋体" w:hint="default"/>
          <w:sz w:val="9"/>
          <w:szCs w:val="9"/>
        </w:rPr>
      </w:pPr>
    </w:p>
    <w:p>
      <w:pPr>
        <w:pStyle w:val="BodyText"/>
        <w:spacing w:line="357" w:lineRule="auto" w:before="36"/>
        <w:ind w:right="217" w:firstLine="419"/>
        <w:jc w:val="both"/>
      </w:pPr>
      <w:r>
        <w:rPr>
          <w:spacing w:val="-2"/>
        </w:rPr>
        <w:t>此外，公司规模的快速扩张对公司管理层的管理与协调能力，以及公司在资源整合、市场开</w:t>
      </w:r>
      <w:r>
        <w:rPr>
          <w:w w:val="100"/>
        </w:rPr>
        <w:t> </w:t>
      </w:r>
      <w:r>
        <w:rPr>
          <w:spacing w:val="-2"/>
        </w:rPr>
        <w:t>拓、质量管理、内部控制等方面的能力提出更高要求。如果公司管理层素质及水平不能适应公司</w:t>
      </w:r>
      <w:r>
        <w:rPr>
          <w:spacing w:val="-25"/>
        </w:rPr>
        <w:t> </w:t>
      </w:r>
      <w:r>
        <w:rPr>
          <w:spacing w:val="-25"/>
        </w:rPr>
      </w:r>
      <w:r>
        <w:rPr>
          <w:spacing w:val="-2"/>
        </w:rPr>
        <w:t>规模扩大的需要，管理制度、组织模式不能随着业务规模的扩大而进行调整和完善，将影响公司</w:t>
      </w:r>
      <w:r>
        <w:rPr>
          <w:spacing w:val="-25"/>
        </w:rPr>
        <w:t> </w:t>
      </w:r>
      <w:r>
        <w:rPr>
          <w:spacing w:val="-25"/>
        </w:rPr>
      </w:r>
      <w:r>
        <w:rPr/>
        <w:t>的应变能力和发展活力，进而削弱公司的市场竞争力。</w:t>
      </w:r>
    </w:p>
    <w:p>
      <w:pPr>
        <w:pStyle w:val="Heading5"/>
        <w:spacing w:line="240" w:lineRule="auto" w:before="90"/>
        <w:ind w:left="138" w:right="0"/>
        <w:jc w:val="both"/>
        <w:rPr>
          <w:b w:val="0"/>
          <w:bCs w:val="0"/>
        </w:rPr>
      </w:pPr>
      <w:r>
        <w:rPr>
          <w:rFonts w:ascii="宋体" w:hAnsi="宋体" w:cs="宋体" w:eastAsia="宋体" w:hint="default"/>
        </w:rPr>
        <w:t>5.</w:t>
      </w:r>
      <w:r>
        <w:rPr>
          <w:rFonts w:ascii="宋体" w:hAnsi="宋体" w:cs="宋体" w:eastAsia="宋体" w:hint="default"/>
          <w:spacing w:val="103"/>
        </w:rPr>
        <w:t> </w:t>
      </w:r>
      <w:r>
        <w:rPr/>
        <w:t>未实现业绩承诺的风险</w:t>
      </w:r>
      <w:r>
        <w:rPr>
          <w:b w:val="0"/>
          <w:bCs w:val="0"/>
        </w:rPr>
      </w:r>
    </w:p>
    <w:p>
      <w:pPr>
        <w:pStyle w:val="BodyText"/>
        <w:spacing w:line="240" w:lineRule="auto" w:before="58"/>
        <w:ind w:left="558" w:right="0"/>
        <w:jc w:val="left"/>
        <w:rPr>
          <w:rFonts w:ascii="宋体" w:hAnsi="宋体" w:cs="宋体" w:eastAsia="宋体" w:hint="default"/>
        </w:rPr>
      </w:pPr>
      <w:r>
        <w:rPr>
          <w:w w:val="100"/>
        </w:rPr>
        <w:t>公司</w:t>
      </w:r>
      <w:r>
        <w:rPr>
          <w:spacing w:val="-3"/>
          <w:w w:val="100"/>
        </w:rPr>
        <w:t>重</w:t>
      </w:r>
      <w:r>
        <w:rPr>
          <w:w w:val="100"/>
        </w:rPr>
        <w:t>组</w:t>
      </w:r>
      <w:r>
        <w:rPr>
          <w:spacing w:val="-3"/>
          <w:w w:val="100"/>
        </w:rPr>
        <w:t>上</w:t>
      </w:r>
      <w:r>
        <w:rPr>
          <w:w w:val="100"/>
        </w:rPr>
        <w:t>市</w:t>
      </w:r>
      <w:r>
        <w:rPr>
          <w:spacing w:val="-3"/>
          <w:w w:val="100"/>
        </w:rPr>
        <w:t>的</w:t>
      </w:r>
      <w:r>
        <w:rPr>
          <w:w w:val="100"/>
        </w:rPr>
        <w:t>业</w:t>
      </w:r>
      <w:r>
        <w:rPr>
          <w:spacing w:val="-3"/>
          <w:w w:val="100"/>
        </w:rPr>
        <w:t>绩</w:t>
      </w:r>
      <w:r>
        <w:rPr>
          <w:w w:val="100"/>
        </w:rPr>
        <w:t>补</w:t>
      </w:r>
      <w:r>
        <w:rPr>
          <w:spacing w:val="-3"/>
          <w:w w:val="100"/>
        </w:rPr>
        <w:t>偿</w:t>
      </w:r>
      <w:r>
        <w:rPr>
          <w:w w:val="100"/>
        </w:rPr>
        <w:t>期自</w:t>
      </w:r>
      <w:r>
        <w:rPr>
          <w:spacing w:val="-6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60"/>
        </w:rPr>
        <w:t> </w:t>
      </w:r>
      <w:r>
        <w:rPr>
          <w:spacing w:val="-3"/>
          <w:w w:val="100"/>
        </w:rPr>
        <w:t>年度</w:t>
      </w:r>
      <w:r>
        <w:rPr>
          <w:w w:val="100"/>
        </w:rPr>
        <w:t>至</w:t>
      </w:r>
      <w:r>
        <w:rPr>
          <w:spacing w:val="-60"/>
        </w:rPr>
        <w:t> </w:t>
      </w:r>
      <w:r>
        <w:rPr>
          <w:rFonts w:ascii="宋体" w:hAnsi="宋体" w:cs="宋体" w:eastAsia="宋体" w:hint="default"/>
          <w:w w:val="100"/>
        </w:rPr>
        <w:t>20</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62"/>
        </w:rPr>
        <w:t> </w:t>
      </w:r>
      <w:r>
        <w:rPr>
          <w:spacing w:val="-3"/>
          <w:w w:val="100"/>
        </w:rPr>
        <w:t>年</w:t>
      </w:r>
      <w:r>
        <w:rPr>
          <w:w w:val="100"/>
        </w:rPr>
        <w:t>度</w:t>
      </w:r>
      <w:r>
        <w:rPr>
          <w:spacing w:val="-106"/>
          <w:w w:val="100"/>
        </w:rPr>
        <w:t>。</w:t>
      </w:r>
      <w:r>
        <w:rPr>
          <w:spacing w:val="-3"/>
          <w:w w:val="100"/>
        </w:rPr>
        <w:t>按</w:t>
      </w:r>
      <w:r>
        <w:rPr>
          <w:w w:val="100"/>
        </w:rPr>
        <w:t>照</w:t>
      </w:r>
      <w:r>
        <w:rPr>
          <w:spacing w:val="-3"/>
          <w:w w:val="100"/>
        </w:rPr>
        <w:t>相</w:t>
      </w:r>
      <w:r>
        <w:rPr>
          <w:w w:val="100"/>
        </w:rPr>
        <w:t>关</w:t>
      </w:r>
      <w:r>
        <w:rPr>
          <w:spacing w:val="-3"/>
          <w:w w:val="100"/>
        </w:rPr>
        <w:t>协</w:t>
      </w:r>
      <w:r>
        <w:rPr>
          <w:w w:val="100"/>
        </w:rPr>
        <w:t>议</w:t>
      </w:r>
      <w:r>
        <w:rPr>
          <w:spacing w:val="-3"/>
          <w:w w:val="100"/>
        </w:rPr>
        <w:t>要</w:t>
      </w:r>
      <w:r>
        <w:rPr>
          <w:w w:val="100"/>
        </w:rPr>
        <w:t>求</w:t>
      </w:r>
      <w:r>
        <w:rPr>
          <w:spacing w:val="-106"/>
          <w:w w:val="100"/>
        </w:rPr>
        <w:t>，</w:t>
      </w:r>
      <w:r>
        <w:rPr>
          <w:spacing w:val="-3"/>
          <w:w w:val="100"/>
        </w:rPr>
        <w:t>三</w:t>
      </w:r>
      <w:r>
        <w:rPr>
          <w:w w:val="100"/>
        </w:rPr>
        <w:t>六零</w:t>
      </w:r>
      <w:r>
        <w:rPr>
          <w:spacing w:val="-3"/>
          <w:w w:val="100"/>
        </w:rPr>
        <w:t>科技</w:t>
      </w:r>
      <w:r>
        <w:rPr>
          <w:w w:val="100"/>
        </w:rPr>
        <w:t>在</w:t>
      </w:r>
      <w:r>
        <w:rPr>
          <w:spacing w:val="-60"/>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19</w:t>
      </w:r>
    </w:p>
    <w:p>
      <w:pPr>
        <w:pStyle w:val="BodyText"/>
        <w:spacing w:line="240" w:lineRule="auto" w:before="133"/>
        <w:ind w:right="0"/>
        <w:jc w:val="both"/>
      </w:pPr>
      <w:r>
        <w:rPr/>
        <w:t>年度和</w:t>
      </w:r>
      <w:r>
        <w:rPr>
          <w:spacing w:val="-57"/>
        </w:rPr>
        <w:t> </w:t>
      </w:r>
      <w:r>
        <w:rPr>
          <w:rFonts w:ascii="宋体" w:hAnsi="宋体" w:cs="宋体" w:eastAsia="宋体" w:hint="default"/>
        </w:rPr>
        <w:t>2020</w:t>
      </w:r>
      <w:r>
        <w:rPr>
          <w:rFonts w:ascii="宋体" w:hAnsi="宋体" w:cs="宋体" w:eastAsia="宋体" w:hint="default"/>
          <w:spacing w:val="-57"/>
        </w:rPr>
        <w:t> </w:t>
      </w:r>
      <w:r>
        <w:rPr/>
        <w:t>年度预测实现的合并报表范围扣除非经常性损益后归属于母公司所有者的净利润应</w:t>
      </w:r>
    </w:p>
    <w:p>
      <w:pPr>
        <w:pStyle w:val="BodyText"/>
        <w:spacing w:line="357" w:lineRule="auto" w:before="133"/>
        <w:ind w:right="217"/>
        <w:jc w:val="both"/>
      </w:pPr>
      <w:r>
        <w:rPr/>
        <w:t>分别不低于人民币</w:t>
      </w:r>
      <w:r>
        <w:rPr>
          <w:spacing w:val="-54"/>
        </w:rPr>
        <w:t> </w:t>
      </w:r>
      <w:r>
        <w:rPr>
          <w:rFonts w:ascii="宋体" w:hAnsi="宋体" w:cs="宋体" w:eastAsia="宋体" w:hint="default"/>
        </w:rPr>
        <w:t>38</w:t>
      </w:r>
      <w:r>
        <w:rPr>
          <w:rFonts w:ascii="宋体" w:hAnsi="宋体" w:cs="宋体" w:eastAsia="宋体" w:hint="default"/>
          <w:spacing w:val="-54"/>
        </w:rPr>
        <w:t> </w:t>
      </w:r>
      <w:r>
        <w:rPr/>
        <w:t>亿元和</w:t>
      </w:r>
      <w:r>
        <w:rPr>
          <w:spacing w:val="-53"/>
        </w:rPr>
        <w:t> </w:t>
      </w:r>
      <w:r>
        <w:rPr>
          <w:rFonts w:ascii="宋体" w:hAnsi="宋体" w:cs="宋体" w:eastAsia="宋体" w:hint="default"/>
        </w:rPr>
        <w:t>41.5</w:t>
      </w:r>
      <w:r>
        <w:rPr>
          <w:rFonts w:ascii="宋体" w:hAnsi="宋体" w:cs="宋体" w:eastAsia="宋体" w:hint="default"/>
          <w:spacing w:val="-54"/>
        </w:rPr>
        <w:t> </w:t>
      </w:r>
      <w:r>
        <w:rPr/>
        <w:t>亿元（</w:t>
      </w:r>
      <w:r>
        <w:rPr>
          <w:rFonts w:ascii="宋体" w:hAnsi="宋体" w:cs="宋体" w:eastAsia="宋体" w:hint="default"/>
        </w:rPr>
        <w:t>2017</w:t>
      </w:r>
      <w:r>
        <w:rPr>
          <w:rFonts w:ascii="宋体" w:hAnsi="宋体" w:cs="宋体" w:eastAsia="宋体" w:hint="default"/>
          <w:spacing w:val="-56"/>
        </w:rPr>
        <w:t> </w:t>
      </w:r>
      <w:r>
        <w:rPr/>
        <w:t>年至</w:t>
      </w:r>
      <w:r>
        <w:rPr>
          <w:spacing w:val="-56"/>
        </w:rPr>
        <w:t> </w:t>
      </w:r>
      <w:r>
        <w:rPr>
          <w:rFonts w:ascii="宋体" w:hAnsi="宋体" w:cs="宋体" w:eastAsia="宋体" w:hint="default"/>
        </w:rPr>
        <w:t>2018</w:t>
      </w:r>
      <w:r>
        <w:rPr>
          <w:rFonts w:ascii="宋体" w:hAnsi="宋体" w:cs="宋体" w:eastAsia="宋体" w:hint="default"/>
          <w:spacing w:val="-54"/>
        </w:rPr>
        <w:t> </w:t>
      </w:r>
      <w:r>
        <w:rPr/>
        <w:t>年业绩承诺均已超额完成）。如果宏观</w:t>
      </w:r>
      <w:r>
        <w:rPr>
          <w:w w:val="100"/>
        </w:rPr>
        <w:t> </w:t>
      </w:r>
      <w:r>
        <w:rPr>
          <w:spacing w:val="-2"/>
        </w:rPr>
        <w:t>经济、市场环境、行业趋势、技术革新等方面出现重大不利变化，将可能导致三六零科技经营情</w:t>
      </w:r>
      <w:r>
        <w:rPr>
          <w:spacing w:val="-25"/>
        </w:rPr>
        <w:t> </w:t>
      </w:r>
      <w:r>
        <w:rPr>
          <w:spacing w:val="-25"/>
        </w:rPr>
      </w:r>
      <w:r>
        <w:rPr/>
        <w:t>况未达预期，从而导致业绩承诺无法实现，进而影响上市公司的整体经营业绩和盈利水平。</w:t>
      </w:r>
    </w:p>
    <w:p>
      <w:pPr>
        <w:pStyle w:val="BodyText"/>
        <w:spacing w:line="355" w:lineRule="auto" w:before="30"/>
        <w:ind w:right="0" w:firstLine="199"/>
        <w:jc w:val="left"/>
      </w:pPr>
      <w:r>
        <w:rPr>
          <w:spacing w:val="-4"/>
        </w:rPr>
        <w:t>此外，三六零科技重组上市前全体股东以其尚未转让的股份或自有资金不足以履行相关补偿时，</w:t>
      </w:r>
      <w:r>
        <w:rPr>
          <w:w w:val="100"/>
        </w:rPr>
        <w:t> </w:t>
      </w:r>
      <w:r>
        <w:rPr/>
        <w:t>则存在业绩补偿承诺可能无法执行和实施的风险，提请广大投资者关注。</w:t>
      </w:r>
    </w:p>
    <w:p>
      <w:pPr>
        <w:spacing w:line="240" w:lineRule="auto" w:before="0"/>
        <w:rPr>
          <w:rFonts w:ascii="宋体" w:hAnsi="宋体" w:cs="宋体" w:eastAsia="宋体" w:hint="default"/>
          <w:sz w:val="20"/>
          <w:szCs w:val="20"/>
        </w:rPr>
      </w:pPr>
    </w:p>
    <w:p>
      <w:pPr>
        <w:pStyle w:val="Heading5"/>
        <w:spacing w:line="240" w:lineRule="auto" w:before="142"/>
        <w:ind w:left="138" w:right="0"/>
        <w:jc w:val="both"/>
        <w:rPr>
          <w:b w:val="0"/>
          <w:bCs w:val="0"/>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50"/>
        </w:rPr>
        <w:t> </w:t>
      </w:r>
      <w:r>
        <w:rPr/>
        <w:t>其他</w:t>
      </w:r>
      <w:r>
        <w:rPr>
          <w:b w:val="0"/>
          <w:bCs w:val="0"/>
        </w:rPr>
      </w:r>
    </w:p>
    <w:p>
      <w:pPr>
        <w:pStyle w:val="BodyText"/>
        <w:spacing w:line="240" w:lineRule="auto" w:before="56"/>
        <w:ind w:right="0"/>
        <w:jc w:val="both"/>
      </w:pPr>
      <w:r>
        <w:rPr/>
        <w:t>□适用</w:t>
      </w:r>
      <w:r>
        <w:rPr>
          <w:spacing w:val="104"/>
        </w:rPr>
        <w:t> </w:t>
      </w:r>
      <w:r>
        <w:rPr/>
        <w:t>√不适用</w:t>
      </w:r>
    </w:p>
    <w:p>
      <w:pPr>
        <w:spacing w:line="240" w:lineRule="auto" w:before="4"/>
        <w:rPr>
          <w:rFonts w:ascii="宋体" w:hAnsi="宋体" w:cs="宋体" w:eastAsia="宋体" w:hint="default"/>
          <w:sz w:val="28"/>
          <w:szCs w:val="28"/>
        </w:rPr>
      </w:pPr>
    </w:p>
    <w:p>
      <w:pPr>
        <w:pStyle w:val="Heading5"/>
        <w:spacing w:line="240" w:lineRule="auto"/>
        <w:ind w:left="138" w:right="0"/>
        <w:jc w:val="both"/>
        <w:rPr>
          <w:b w:val="0"/>
          <w:bCs w:val="0"/>
        </w:rPr>
      </w:pPr>
      <w:r>
        <w:rPr/>
        <w:t>四、公司因不适用准则规定或国家秘密、商业秘密等特殊原因，未按准则披露的情况和原因说明</w:t>
      </w:r>
      <w:r>
        <w:rPr>
          <w:b w:val="0"/>
          <w:bCs w:val="0"/>
        </w:rPr>
      </w:r>
    </w:p>
    <w:p>
      <w:pPr>
        <w:pStyle w:val="BodyText"/>
        <w:spacing w:line="240" w:lineRule="auto" w:before="56"/>
        <w:ind w:right="0"/>
        <w:jc w:val="both"/>
      </w:pPr>
      <w:r>
        <w:rPr/>
        <w:t>□适用</w:t>
      </w:r>
      <w:r>
        <w:rPr>
          <w:spacing w:val="104"/>
        </w:rPr>
        <w:t> </w:t>
      </w:r>
      <w:r>
        <w:rPr/>
        <w:t>√不适用</w:t>
      </w:r>
    </w:p>
    <w:p>
      <w:pPr>
        <w:spacing w:after="0" w:line="240" w:lineRule="auto"/>
        <w:jc w:val="both"/>
        <w:sectPr>
          <w:pgSz w:w="11910" w:h="16840"/>
          <w:pgMar w:header="857" w:footer="1217" w:top="1320" w:bottom="140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1"/>
        <w:tabs>
          <w:tab w:pos="4701" w:val="left" w:leader="none"/>
        </w:tabs>
        <w:spacing w:line="240" w:lineRule="auto"/>
        <w:ind w:left="3441" w:right="234"/>
        <w:jc w:val="left"/>
        <w:rPr>
          <w:b w:val="0"/>
          <w:bCs w:val="0"/>
        </w:rPr>
      </w:pPr>
      <w:bookmarkStart w:name="_TOC_250007" w:id="5"/>
      <w:r>
        <w:rPr>
          <w:w w:val="95"/>
        </w:rPr>
        <w:t>第五节</w:t>
        <w:tab/>
      </w:r>
      <w:r>
        <w:rPr/>
        <w:t>重要事项</w:t>
      </w:r>
      <w:bookmarkEnd w:id="5"/>
      <w:r>
        <w:rPr>
          <w:b w:val="0"/>
          <w:bCs w:val="0"/>
        </w:rPr>
      </w:r>
    </w:p>
    <w:p>
      <w:pPr>
        <w:pStyle w:val="Heading2"/>
        <w:spacing w:line="240" w:lineRule="auto" w:before="246"/>
        <w:ind w:right="234"/>
        <w:jc w:val="left"/>
        <w:rPr>
          <w:b w:val="0"/>
          <w:bCs w:val="0"/>
        </w:rPr>
      </w:pPr>
      <w:r>
        <w:rPr/>
        <w:t>一、普通股利润分配或资本公积金转增预案</w:t>
      </w:r>
      <w:r>
        <w:rPr>
          <w:b w:val="0"/>
          <w:bCs w:val="0"/>
        </w:rPr>
      </w:r>
    </w:p>
    <w:p>
      <w:pPr>
        <w:pStyle w:val="Heading2"/>
        <w:spacing w:line="240" w:lineRule="auto" w:before="58"/>
        <w:ind w:right="23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现金分红政策的制定、执行或调整情况</w:t>
      </w:r>
      <w:r>
        <w:rPr>
          <w:b w:val="0"/>
          <w:bCs w:val="0"/>
        </w:rPr>
      </w:r>
    </w:p>
    <w:p>
      <w:pPr>
        <w:pStyle w:val="BodyText"/>
        <w:tabs>
          <w:tab w:pos="1060" w:val="left" w:leader="none"/>
        </w:tabs>
        <w:spacing w:line="274" w:lineRule="exact" w:before="31"/>
        <w:ind w:left="218" w:right="234"/>
        <w:jc w:val="left"/>
      </w:pPr>
      <w:r>
        <w:rPr>
          <w:spacing w:val="-1"/>
        </w:rPr>
        <w:t>√适用</w:t>
        <w:tab/>
      </w:r>
      <w:r>
        <w:rPr>
          <w:spacing w:val="-2"/>
        </w:rPr>
        <w:t>□不适用</w:t>
      </w:r>
    </w:p>
    <w:p>
      <w:pPr>
        <w:pStyle w:val="BodyText"/>
        <w:spacing w:line="274" w:lineRule="exact"/>
        <w:ind w:left="638" w:right="124"/>
        <w:jc w:val="left"/>
      </w:pPr>
      <w:r>
        <w:rPr>
          <w:spacing w:val="-4"/>
        </w:rPr>
        <w:t>经公司第五届董事会第十次会议审议，公司 </w:t>
      </w:r>
      <w:r>
        <w:rPr>
          <w:rFonts w:ascii="宋体" w:hAnsi="宋体" w:cs="宋体" w:eastAsia="宋体" w:hint="default"/>
        </w:rPr>
        <w:t>2018</w:t>
      </w:r>
      <w:r>
        <w:rPr>
          <w:rFonts w:ascii="宋体" w:hAnsi="宋体" w:cs="宋体" w:eastAsia="宋体" w:hint="default"/>
          <w:spacing w:val="-49"/>
        </w:rPr>
        <w:t> </w:t>
      </w:r>
      <w:r>
        <w:rPr>
          <w:spacing w:val="-4"/>
        </w:rPr>
        <w:t>年度利润分配方案拟定如下：以本次权益分</w:t>
      </w:r>
    </w:p>
    <w:p>
      <w:pPr>
        <w:pStyle w:val="BodyText"/>
        <w:spacing w:line="240" w:lineRule="auto" w:before="133"/>
        <w:ind w:left="218" w:right="124"/>
        <w:jc w:val="left"/>
      </w:pPr>
      <w:r>
        <w:rPr/>
        <w:t>派股权登记日总股本</w:t>
      </w:r>
      <w:r>
        <w:rPr>
          <w:spacing w:val="-54"/>
        </w:rPr>
        <w:t> </w:t>
      </w:r>
      <w:r>
        <w:rPr>
          <w:rFonts w:ascii="宋体" w:hAnsi="宋体" w:cs="宋体" w:eastAsia="宋体" w:hint="default"/>
        </w:rPr>
        <w:t>6,764,055,167</w:t>
      </w:r>
      <w:r>
        <w:rPr>
          <w:rFonts w:ascii="宋体" w:hAnsi="宋体" w:cs="宋体" w:eastAsia="宋体" w:hint="default"/>
          <w:spacing w:val="-56"/>
        </w:rPr>
        <w:t> </w:t>
      </w:r>
      <w:r>
        <w:rPr/>
        <w:t>股为基数，向全体股东每</w:t>
      </w:r>
      <w:r>
        <w:rPr>
          <w:spacing w:val="-54"/>
        </w:rPr>
        <w:t> </w:t>
      </w:r>
      <w:r>
        <w:rPr>
          <w:rFonts w:ascii="宋体" w:hAnsi="宋体" w:cs="宋体" w:eastAsia="宋体" w:hint="default"/>
        </w:rPr>
        <w:t>10</w:t>
      </w:r>
      <w:r>
        <w:rPr>
          <w:rFonts w:ascii="宋体" w:hAnsi="宋体" w:cs="宋体" w:eastAsia="宋体" w:hint="default"/>
          <w:spacing w:val="-56"/>
        </w:rPr>
        <w:t> </w:t>
      </w:r>
      <w:r>
        <w:rPr/>
        <w:t>股派发现金股利人民币</w:t>
      </w:r>
      <w:r>
        <w:rPr>
          <w:spacing w:val="-54"/>
        </w:rPr>
        <w:t> </w:t>
      </w:r>
      <w:r>
        <w:rPr>
          <w:rFonts w:ascii="宋体" w:hAnsi="宋体" w:cs="宋体" w:eastAsia="宋体" w:hint="default"/>
        </w:rPr>
        <w:t>0.53</w:t>
      </w:r>
      <w:r>
        <w:rPr>
          <w:rFonts w:ascii="宋体" w:hAnsi="宋体" w:cs="宋体" w:eastAsia="宋体" w:hint="default"/>
          <w:spacing w:val="-54"/>
        </w:rPr>
        <w:t> </w:t>
      </w:r>
      <w:r>
        <w:rPr/>
        <w:t>元</w:t>
      </w:r>
    </w:p>
    <w:p>
      <w:pPr>
        <w:pStyle w:val="BodyText"/>
        <w:spacing w:line="360" w:lineRule="auto" w:before="133"/>
        <w:ind w:left="218" w:right="124"/>
        <w:jc w:val="left"/>
      </w:pPr>
      <w:r>
        <w:rPr>
          <w:spacing w:val="-5"/>
        </w:rPr>
        <w:t>（含税），共计分配现金股利人民币</w:t>
      </w:r>
      <w:r>
        <w:rPr>
          <w:spacing w:val="-33"/>
        </w:rPr>
        <w:t> </w:t>
      </w:r>
      <w:r>
        <w:rPr>
          <w:rFonts w:ascii="宋体" w:hAnsi="宋体" w:cs="宋体" w:eastAsia="宋体" w:hint="default"/>
        </w:rPr>
        <w:t>358,494,923.85</w:t>
      </w:r>
      <w:r>
        <w:rPr>
          <w:rFonts w:ascii="宋体" w:hAnsi="宋体" w:cs="宋体" w:eastAsia="宋体" w:hint="default"/>
          <w:spacing w:val="-31"/>
        </w:rPr>
        <w:t> </w:t>
      </w:r>
      <w:r>
        <w:rPr>
          <w:spacing w:val="-4"/>
        </w:rPr>
        <w:t>元，剩余未分配利润结转下一年度。上述利</w:t>
      </w:r>
      <w:r>
        <w:rPr>
          <w:spacing w:val="-97"/>
        </w:rPr>
        <w:t> </w:t>
      </w:r>
      <w:r>
        <w:rPr>
          <w:spacing w:val="-97"/>
        </w:rPr>
      </w:r>
      <w:r>
        <w:rPr/>
        <w:t>润分配方案已由独立董事发表独立意见，尚需提交股东大会审议通过。</w:t>
      </w:r>
    </w:p>
    <w:p>
      <w:pPr>
        <w:spacing w:line="240" w:lineRule="auto" w:before="4"/>
        <w:rPr>
          <w:rFonts w:ascii="宋体" w:hAnsi="宋体" w:cs="宋体" w:eastAsia="宋体" w:hint="default"/>
          <w:sz w:val="29"/>
          <w:szCs w:val="29"/>
        </w:rPr>
      </w:pPr>
    </w:p>
    <w:p>
      <w:pPr>
        <w:pStyle w:val="Heading2"/>
        <w:spacing w:line="312" w:lineRule="exact"/>
        <w:ind w:left="638" w:right="234" w:hanging="420"/>
        <w:jc w:val="left"/>
        <w:rPr>
          <w:b w:val="0"/>
          <w:bCs w:val="0"/>
        </w:rPr>
      </w:pPr>
      <w:r>
        <w:rPr>
          <w:rFonts w:ascii="Calibri" w:hAnsi="Calibri" w:cs="Calibri" w:eastAsia="Calibri" w:hint="default"/>
          <w:w w:val="95"/>
        </w:rPr>
        <w:t>(</w:t>
      </w:r>
      <w:r>
        <w:rPr>
          <w:w w:val="95"/>
        </w:rPr>
        <w:t>二</w:t>
      </w:r>
      <w:r>
        <w:rPr>
          <w:rFonts w:ascii="Calibri" w:hAnsi="Calibri" w:cs="Calibri" w:eastAsia="Calibri" w:hint="default"/>
          <w:w w:val="95"/>
        </w:rPr>
        <w:t>) </w:t>
      </w:r>
      <w:r>
        <w:rPr>
          <w:w w:val="95"/>
        </w:rPr>
        <w:t>公司近三年（含报告期）的普通股股利分配方案或预案、资本公积金转增股本方</w:t>
      </w:r>
      <w:r>
        <w:rPr>
          <w:spacing w:val="-33"/>
          <w:w w:val="95"/>
        </w:rPr>
        <w:t> </w:t>
      </w:r>
      <w:r>
        <w:rPr>
          <w:spacing w:val="-33"/>
          <w:w w:val="95"/>
        </w:rPr>
      </w:r>
      <w:r>
        <w:rPr/>
        <w:t>案或预案</w:t>
      </w:r>
      <w:r>
        <w:rPr>
          <w:b w:val="0"/>
          <w:bCs w:val="0"/>
        </w:rPr>
      </w:r>
    </w:p>
    <w:p>
      <w:pPr>
        <w:pStyle w:val="BodyText"/>
        <w:tabs>
          <w:tab w:pos="1051" w:val="left" w:leader="none"/>
        </w:tabs>
        <w:spacing w:line="240" w:lineRule="auto" w:before="35"/>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00"/>
        <w:gridCol w:w="910"/>
        <w:gridCol w:w="994"/>
        <w:gridCol w:w="991"/>
        <w:gridCol w:w="1702"/>
        <w:gridCol w:w="1983"/>
        <w:gridCol w:w="1570"/>
      </w:tblGrid>
      <w:tr>
        <w:trPr>
          <w:trHeight w:val="137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5" w:right="230"/>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4"/>
                <w:sz w:val="21"/>
                <w:szCs w:val="21"/>
              </w:rPr>
              <w:t> </w:t>
            </w:r>
            <w:r>
              <w:rPr>
                <w:rFonts w:ascii="宋体" w:hAnsi="宋体" w:cs="宋体" w:eastAsia="宋体" w:hint="default"/>
                <w:sz w:val="21"/>
                <w:szCs w:val="21"/>
              </w:rPr>
              <w:t>10</w:t>
            </w:r>
            <w:r>
              <w:rPr>
                <w:rFonts w:ascii="宋体" w:hAnsi="宋体" w:cs="宋体" w:eastAsia="宋体" w:hint="default"/>
                <w:spacing w:val="-74"/>
                <w:sz w:val="21"/>
                <w:szCs w:val="21"/>
              </w:rPr>
              <w:t> </w:t>
            </w:r>
            <w:r>
              <w:rPr>
                <w:rFonts w:ascii="宋体" w:hAnsi="宋体" w:cs="宋体" w:eastAsia="宋体" w:hint="default"/>
                <w:sz w:val="21"/>
                <w:szCs w:val="21"/>
              </w:rPr>
              <w:t>股</w:t>
            </w:r>
            <w:r>
              <w:rPr>
                <w:rFonts w:ascii="宋体" w:hAnsi="宋体" w:cs="宋体" w:eastAsia="宋体" w:hint="default"/>
                <w:spacing w:val="-103"/>
                <w:sz w:val="21"/>
                <w:szCs w:val="21"/>
              </w:rPr>
              <w:t> </w:t>
            </w:r>
            <w:r>
              <w:rPr>
                <w:rFonts w:ascii="宋体" w:hAnsi="宋体" w:cs="宋体" w:eastAsia="宋体" w:hint="default"/>
                <w:sz w:val="21"/>
                <w:szCs w:val="21"/>
              </w:rPr>
              <w:t>送红股</w:t>
            </w:r>
            <w:r>
              <w:rPr>
                <w:rFonts w:ascii="宋体" w:hAnsi="宋体" w:cs="宋体" w:eastAsia="宋体" w:hint="default"/>
                <w:spacing w:val="-102"/>
                <w:sz w:val="21"/>
                <w:szCs w:val="21"/>
              </w:rPr>
              <w:t> </w:t>
            </w:r>
            <w:r>
              <w:rPr>
                <w:rFonts w:ascii="宋体" w:hAnsi="宋体" w:cs="宋体" w:eastAsia="宋体" w:hint="default"/>
                <w:spacing w:val="-11"/>
                <w:sz w:val="21"/>
                <w:szCs w:val="21"/>
              </w:rPr>
              <w:t>数（股）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宋体" w:hAnsi="宋体" w:cs="宋体" w:eastAsia="宋体" w:hint="default"/>
                <w:spacing w:val="-13"/>
                <w:sz w:val="21"/>
                <w:szCs w:val="21"/>
              </w:rPr>
              <w:t>(</w:t>
            </w:r>
            <w:r>
              <w:rPr>
                <w:rFonts w:ascii="宋体" w:hAnsi="宋体" w:cs="宋体" w:eastAsia="宋体" w:hint="default"/>
                <w:spacing w:val="-13"/>
                <w:sz w:val="21"/>
                <w:szCs w:val="21"/>
              </w:rPr>
              <w:t>元</w:t>
            </w:r>
            <w:r>
              <w:rPr>
                <w:rFonts w:ascii="宋体" w:hAnsi="宋体" w:cs="宋体" w:eastAsia="宋体" w:hint="default"/>
                <w:spacing w:val="-13"/>
                <w:sz w:val="21"/>
                <w:szCs w:val="21"/>
              </w:rPr>
              <w:t>)</w:t>
            </w:r>
            <w:r>
              <w:rPr>
                <w:rFonts w:ascii="宋体" w:hAnsi="宋体" w:cs="宋体" w:eastAsia="宋体" w:hint="default"/>
                <w:spacing w:val="-13"/>
                <w:sz w:val="21"/>
                <w:szCs w:val="21"/>
              </w:rPr>
              <w:t>（含</w:t>
            </w:r>
            <w:r>
              <w:rPr>
                <w:rFonts w:ascii="宋体" w:hAnsi="宋体" w:cs="宋体" w:eastAsia="宋体" w:hint="default"/>
                <w:w w:val="100"/>
                <w:sz w:val="21"/>
                <w:szCs w:val="21"/>
              </w:rPr>
              <w:t> </w:t>
            </w:r>
            <w:r>
              <w:rPr>
                <w:rFonts w:ascii="宋体" w:hAnsi="宋体" w:cs="宋体" w:eastAsia="宋体" w:hint="default"/>
                <w:sz w:val="21"/>
                <w:szCs w:val="21"/>
              </w:rPr>
              <w:t>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72" w:right="122"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转增数</w:t>
            </w:r>
          </w:p>
          <w:p>
            <w:pPr>
              <w:pStyle w:val="TableParagraph"/>
              <w:spacing w:line="249" w:lineRule="exact"/>
              <w:ind w:left="172"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3" w:right="144"/>
              <w:jc w:val="center"/>
              <w:rPr>
                <w:rFonts w:ascii="宋体" w:hAnsi="宋体" w:cs="宋体" w:eastAsia="宋体" w:hint="default"/>
                <w:sz w:val="21"/>
                <w:szCs w:val="21"/>
              </w:rPr>
            </w:pPr>
            <w:r>
              <w:rPr>
                <w:rFonts w:ascii="宋体" w:hAnsi="宋体" w:cs="宋体" w:eastAsia="宋体" w:hint="default"/>
                <w:spacing w:val="-2"/>
                <w:sz w:val="21"/>
                <w:szCs w:val="21"/>
              </w:rPr>
              <w:t>分红年度合并报表</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中归属于上市公司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普通股股东的净利</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润</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占合并报表中</w:t>
            </w:r>
          </w:p>
          <w:p>
            <w:pPr>
              <w:pStyle w:val="TableParagraph"/>
              <w:spacing w:line="237" w:lineRule="auto" w:before="2"/>
              <w:ind w:left="148" w:right="146"/>
              <w:jc w:val="center"/>
              <w:rPr>
                <w:rFonts w:ascii="宋体" w:hAnsi="宋体" w:cs="宋体" w:eastAsia="宋体" w:hint="default"/>
                <w:sz w:val="21"/>
                <w:szCs w:val="21"/>
              </w:rPr>
            </w:pPr>
            <w:r>
              <w:rPr>
                <w:rFonts w:ascii="宋体" w:hAnsi="宋体" w:cs="宋体" w:eastAsia="宋体" w:hint="default"/>
                <w:spacing w:val="-1"/>
                <w:sz w:val="21"/>
                <w:szCs w:val="21"/>
              </w:rPr>
              <w:t>归属于上市公</w:t>
            </w:r>
            <w:r>
              <w:rPr>
                <w:rFonts w:ascii="宋体" w:hAnsi="宋体" w:cs="宋体" w:eastAsia="宋体" w:hint="default"/>
                <w:w w:val="100"/>
                <w:sz w:val="21"/>
                <w:szCs w:val="21"/>
              </w:rPr>
              <w:t> </w:t>
            </w:r>
            <w:r>
              <w:rPr>
                <w:rFonts w:ascii="宋体" w:hAnsi="宋体" w:cs="宋体" w:eastAsia="宋体" w:hint="default"/>
                <w:spacing w:val="-2"/>
                <w:sz w:val="21"/>
                <w:szCs w:val="21"/>
              </w:rPr>
              <w:t>司普通股股东</w:t>
            </w:r>
            <w:r>
              <w:rPr>
                <w:rFonts w:ascii="宋体" w:hAnsi="宋体" w:cs="宋体" w:eastAsia="宋体" w:hint="default"/>
                <w:spacing w:val="-3"/>
                <w:w w:val="100"/>
                <w:sz w:val="21"/>
                <w:szCs w:val="21"/>
              </w:rPr>
              <w:t> </w:t>
            </w:r>
            <w:r>
              <w:rPr>
                <w:rFonts w:ascii="宋体" w:hAnsi="宋体" w:cs="宋体" w:eastAsia="宋体" w:hint="default"/>
                <w:spacing w:val="-1"/>
                <w:sz w:val="21"/>
                <w:szCs w:val="21"/>
              </w:rPr>
              <w:t>的净利润的比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sz w:val="21"/>
                <w:szCs w:val="21"/>
              </w:rPr>
              <w:t>(%)</w:t>
            </w:r>
          </w:p>
        </w:tc>
      </w:tr>
      <w:tr>
        <w:trPr>
          <w:trHeight w:val="28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358,494,923.85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3,534,834,366.33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10.14</w:t>
            </w:r>
          </w:p>
        </w:tc>
      </w:tr>
      <w:tr>
        <w:trPr>
          <w:trHeight w:val="284"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sz w:val="21"/>
              </w:rPr>
              <w:t>18,262,948.95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68,117,379.64</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26.81</w:t>
            </w:r>
          </w:p>
        </w:tc>
      </w:tr>
      <w:tr>
        <w:trPr>
          <w:trHeight w:val="28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sz w:val="21"/>
              </w:rPr>
              <w:t>51,633,717.59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159,447,357.72</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32.38</w:t>
            </w:r>
          </w:p>
        </w:tc>
      </w:tr>
    </w:tbl>
    <w:p>
      <w:pPr>
        <w:spacing w:line="240" w:lineRule="auto" w:before="3"/>
        <w:rPr>
          <w:rFonts w:ascii="宋体" w:hAnsi="宋体" w:cs="宋体" w:eastAsia="宋体" w:hint="default"/>
          <w:sz w:val="20"/>
          <w:szCs w:val="20"/>
        </w:rPr>
      </w:pPr>
    </w:p>
    <w:p>
      <w:pPr>
        <w:pStyle w:val="Heading2"/>
        <w:spacing w:line="240" w:lineRule="auto" w:before="26"/>
        <w:ind w:right="234"/>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以现金方式要约回购股份计入现金分红的情况</w:t>
      </w:r>
      <w:r>
        <w:rPr>
          <w:b w:val="0"/>
          <w:bCs w:val="0"/>
        </w:rPr>
      </w:r>
    </w:p>
    <w:p>
      <w:pPr>
        <w:pStyle w:val="BodyText"/>
        <w:spacing w:line="240" w:lineRule="auto" w:before="33"/>
        <w:ind w:left="218" w:right="234"/>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2"/>
        <w:spacing w:line="312" w:lineRule="exact"/>
        <w:ind w:left="638" w:right="214"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44"/>
        </w:rPr>
        <w:t> </w:t>
      </w:r>
      <w:r>
        <w:rPr/>
        <w:t>报告期内盈利且母公司可供普通股股东分配利润为正，但未提出普通股现金利润</w:t>
      </w:r>
      <w:r>
        <w:rPr>
          <w:w w:val="99"/>
        </w:rPr>
        <w:t> </w:t>
      </w:r>
      <w:r>
        <w:rPr/>
        <w:t>分配方案预案的，公司应当详细披露原因以及未分配利润的用途和使用计划</w:t>
      </w:r>
      <w:r>
        <w:rPr>
          <w:b w:val="0"/>
          <w:bCs w:val="0"/>
        </w:rPr>
      </w:r>
    </w:p>
    <w:p>
      <w:pPr>
        <w:pStyle w:val="BodyText"/>
        <w:spacing w:line="240" w:lineRule="auto" w:before="35"/>
        <w:ind w:left="218" w:right="234"/>
        <w:jc w:val="left"/>
      </w:pPr>
      <w:r>
        <w:rPr/>
        <w:t>□适用</w:t>
      </w:r>
      <w:r>
        <w:rPr>
          <w:spacing w:val="-1"/>
        </w:rPr>
        <w:t> </w:t>
      </w:r>
      <w:r>
        <w:rPr/>
        <w:t>√不适用</w:t>
      </w:r>
    </w:p>
    <w:p>
      <w:pPr>
        <w:spacing w:line="240" w:lineRule="auto" w:before="7"/>
        <w:rPr>
          <w:rFonts w:ascii="宋体" w:hAnsi="宋体" w:cs="宋体" w:eastAsia="宋体" w:hint="default"/>
          <w:sz w:val="29"/>
          <w:szCs w:val="29"/>
        </w:rPr>
      </w:pPr>
    </w:p>
    <w:p>
      <w:pPr>
        <w:pStyle w:val="Heading2"/>
        <w:spacing w:line="240" w:lineRule="auto"/>
        <w:ind w:right="234"/>
        <w:jc w:val="left"/>
        <w:rPr>
          <w:b w:val="0"/>
          <w:bCs w:val="0"/>
        </w:rPr>
      </w:pPr>
      <w:r>
        <w:rPr/>
        <w:t>二、承诺事项履行情况</w:t>
      </w:r>
      <w:r>
        <w:rPr>
          <w:b w:val="0"/>
          <w:bCs w:val="0"/>
        </w:rPr>
      </w:r>
    </w:p>
    <w:p>
      <w:pPr>
        <w:pStyle w:val="Heading2"/>
        <w:spacing w:line="312" w:lineRule="exact" w:before="88"/>
        <w:ind w:left="784" w:right="234" w:hanging="56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53"/>
        </w:rPr>
        <w:t> </w:t>
      </w:r>
      <w:r>
        <w:rPr>
          <w:spacing w:val="2"/>
        </w:rPr>
        <w:t>公司实际控制人、股东、关联方、收购人以及公司等承诺相关方在报告期内或</w:t>
      </w:r>
      <w:r>
        <w:rPr>
          <w:w w:val="99"/>
        </w:rPr>
        <w:t> </w:t>
      </w:r>
      <w:r>
        <w:rPr/>
        <w:t>持续到报告期内的承诺事项</w:t>
      </w:r>
      <w:r>
        <w:rPr>
          <w:b w:val="0"/>
          <w:bCs w:val="0"/>
        </w:rPr>
      </w:r>
    </w:p>
    <w:p>
      <w:pPr>
        <w:pStyle w:val="BodyText"/>
        <w:spacing w:line="240" w:lineRule="auto" w:before="33"/>
        <w:ind w:left="218" w:right="234"/>
        <w:jc w:val="left"/>
      </w:pPr>
      <w:r>
        <w:rPr/>
        <w:t>√适用</w:t>
      </w:r>
      <w:r>
        <w:rPr>
          <w:spacing w:val="-1"/>
        </w:rPr>
        <w:t> </w:t>
      </w:r>
      <w:r>
        <w:rPr/>
        <w:t>□不适用</w:t>
      </w:r>
    </w:p>
    <w:p>
      <w:pPr>
        <w:spacing w:after="0" w:line="240" w:lineRule="auto"/>
        <w:jc w:val="left"/>
        <w:sectPr>
          <w:pgSz w:w="11910" w:h="16840"/>
          <w:pgMar w:header="857" w:footer="1217" w:top="1320" w:bottom="140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1164"/>
        <w:gridCol w:w="706"/>
        <w:gridCol w:w="1150"/>
        <w:gridCol w:w="6344"/>
        <w:gridCol w:w="1169"/>
        <w:gridCol w:w="720"/>
        <w:gridCol w:w="720"/>
        <w:gridCol w:w="1008"/>
        <w:gridCol w:w="1124"/>
      </w:tblGrid>
      <w:tr>
        <w:trPr>
          <w:trHeight w:val="1178"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15" w:right="0"/>
              <w:jc w:val="left"/>
              <w:rPr>
                <w:rFonts w:ascii="宋体" w:hAnsi="宋体" w:cs="宋体" w:eastAsia="宋体" w:hint="default"/>
                <w:sz w:val="18"/>
                <w:szCs w:val="18"/>
              </w:rPr>
            </w:pPr>
            <w:r>
              <w:rPr>
                <w:rFonts w:ascii="宋体" w:hAnsi="宋体" w:cs="宋体" w:eastAsia="宋体" w:hint="default"/>
                <w:sz w:val="18"/>
                <w:szCs w:val="18"/>
              </w:rPr>
              <w:t>承诺背景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0"/>
              <w:ind w:left="167" w:right="167"/>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0"/>
              <w:ind w:left="2986" w:right="2986"/>
              <w:jc w:val="center"/>
              <w:rPr>
                <w:rFonts w:ascii="宋体" w:hAnsi="宋体" w:cs="宋体" w:eastAsia="宋体" w:hint="default"/>
                <w:sz w:val="18"/>
                <w:szCs w:val="18"/>
              </w:rPr>
            </w:pPr>
            <w:r>
              <w:rPr>
                <w:rFonts w:ascii="宋体" w:hAnsi="宋体" w:cs="宋体" w:eastAsia="宋体" w:hint="default"/>
                <w:sz w:val="18"/>
                <w:szCs w:val="18"/>
              </w:rPr>
              <w:t>承诺 内容</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0"/>
              <w:ind w:left="398" w:right="130" w:hanging="272"/>
              <w:jc w:val="left"/>
              <w:rPr>
                <w:rFonts w:ascii="宋体" w:hAnsi="宋体" w:cs="宋体" w:eastAsia="宋体" w:hint="default"/>
                <w:sz w:val="18"/>
                <w:szCs w:val="18"/>
              </w:rPr>
            </w:pPr>
            <w:r>
              <w:rPr>
                <w:rFonts w:ascii="宋体" w:hAnsi="宋体" w:cs="宋体" w:eastAsia="宋体" w:hint="default"/>
                <w:sz w:val="18"/>
                <w:szCs w:val="18"/>
              </w:rPr>
              <w:t>承诺时间及 期限</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75" w:right="173"/>
              <w:jc w:val="both"/>
              <w:rPr>
                <w:rFonts w:ascii="宋体" w:hAnsi="宋体" w:cs="宋体" w:eastAsia="宋体" w:hint="default"/>
                <w:sz w:val="18"/>
                <w:szCs w:val="18"/>
              </w:rPr>
            </w:pPr>
            <w:r>
              <w:rPr>
                <w:rFonts w:ascii="宋体" w:hAnsi="宋体" w:cs="宋体" w:eastAsia="宋体" w:hint="default"/>
                <w:sz w:val="18"/>
                <w:szCs w:val="18"/>
              </w:rPr>
              <w:t>是否 有履 行期 限</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75" w:right="173"/>
              <w:jc w:val="both"/>
              <w:rPr>
                <w:rFonts w:ascii="宋体" w:hAnsi="宋体" w:cs="宋体" w:eastAsia="宋体" w:hint="default"/>
                <w:sz w:val="18"/>
                <w:szCs w:val="18"/>
              </w:rPr>
            </w:pPr>
            <w:r>
              <w:rPr>
                <w:rFonts w:ascii="宋体" w:hAnsi="宋体" w:cs="宋体" w:eastAsia="宋体" w:hint="default"/>
                <w:sz w:val="18"/>
                <w:szCs w:val="18"/>
              </w:rPr>
              <w:t>是否 及时 严格 履行</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9" w:right="0"/>
              <w:jc w:val="both"/>
              <w:rPr>
                <w:rFonts w:ascii="宋体" w:hAnsi="宋体" w:cs="宋体" w:eastAsia="宋体" w:hint="default"/>
                <w:sz w:val="18"/>
                <w:szCs w:val="18"/>
              </w:rPr>
            </w:pPr>
            <w:r>
              <w:rPr>
                <w:rFonts w:ascii="宋体" w:hAnsi="宋体" w:cs="宋体" w:eastAsia="宋体" w:hint="default"/>
                <w:sz w:val="18"/>
                <w:szCs w:val="18"/>
              </w:rPr>
              <w:t>如未能及</w:t>
            </w:r>
          </w:p>
          <w:p>
            <w:pPr>
              <w:pStyle w:val="TableParagraph"/>
              <w:spacing w:line="237" w:lineRule="auto"/>
              <w:ind w:left="139" w:right="137"/>
              <w:jc w:val="both"/>
              <w:rPr>
                <w:rFonts w:ascii="宋体" w:hAnsi="宋体" w:cs="宋体" w:eastAsia="宋体" w:hint="default"/>
                <w:sz w:val="18"/>
                <w:szCs w:val="18"/>
              </w:rPr>
            </w:pPr>
            <w:r>
              <w:rPr>
                <w:rFonts w:ascii="宋体" w:hAnsi="宋体" w:cs="宋体" w:eastAsia="宋体" w:hint="default"/>
                <w:sz w:val="18"/>
                <w:szCs w:val="18"/>
              </w:rPr>
              <w:t>时履行应 说明未完 成履行的 具体原因</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105" w:right="106"/>
              <w:jc w:val="both"/>
              <w:rPr>
                <w:rFonts w:ascii="宋体" w:hAnsi="宋体" w:cs="宋体" w:eastAsia="宋体" w:hint="default"/>
                <w:sz w:val="18"/>
                <w:szCs w:val="18"/>
              </w:rPr>
            </w:pPr>
            <w:r>
              <w:rPr>
                <w:rFonts w:ascii="宋体" w:hAnsi="宋体" w:cs="宋体" w:eastAsia="宋体" w:hint="default"/>
                <w:sz w:val="18"/>
                <w:szCs w:val="18"/>
              </w:rPr>
              <w:t>如未能及时 履行应说明 下一步计划</w:t>
            </w:r>
          </w:p>
        </w:tc>
      </w:tr>
      <w:tr>
        <w:trPr>
          <w:trHeight w:val="701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37" w:lineRule="auto"/>
              <w:ind w:left="127" w:right="125"/>
              <w:jc w:val="center"/>
              <w:rPr>
                <w:rFonts w:ascii="宋体" w:hAnsi="宋体" w:cs="宋体" w:eastAsia="宋体" w:hint="default"/>
                <w:sz w:val="18"/>
                <w:szCs w:val="18"/>
              </w:rPr>
            </w:pPr>
            <w:r>
              <w:rPr>
                <w:rFonts w:ascii="宋体" w:hAnsi="宋体" w:cs="宋体" w:eastAsia="宋体" w:hint="default"/>
                <w:sz w:val="18"/>
                <w:szCs w:val="18"/>
              </w:rPr>
              <w:t>与重大资产 重组相关的 承诺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3"/>
              <w:ind w:left="119" w:right="119"/>
              <w:jc w:val="center"/>
              <w:rPr>
                <w:rFonts w:ascii="宋体" w:hAnsi="宋体" w:cs="宋体" w:eastAsia="宋体" w:hint="default"/>
                <w:sz w:val="18"/>
                <w:szCs w:val="18"/>
              </w:rPr>
            </w:pPr>
            <w:r>
              <w:rPr>
                <w:rFonts w:ascii="宋体" w:hAnsi="宋体" w:cs="宋体" w:eastAsia="宋体" w:hint="default"/>
                <w:sz w:val="18"/>
                <w:szCs w:val="18"/>
              </w:rPr>
              <w:t>周鸿祎、天 津奇信志成 科技有限公 司</w:t>
            </w:r>
          </w:p>
        </w:tc>
        <w:tc>
          <w:tcPr>
            <w:tcW w:w="63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一、人员独立</w:t>
            </w:r>
          </w:p>
          <w:p>
            <w:pPr>
              <w:pStyle w:val="TableParagraph"/>
              <w:spacing w:line="237" w:lineRule="auto"/>
              <w:ind w:left="103" w:right="12"/>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、保证上市公司的人员独立性，其人事关系、劳动关系 </w:t>
            </w:r>
            <w:r>
              <w:rPr>
                <w:rFonts w:ascii="宋体" w:hAnsi="宋体" w:cs="宋体" w:eastAsia="宋体" w:hint="default"/>
                <w:sz w:val="18"/>
                <w:szCs w:val="18"/>
              </w:rPr>
              <w:t>独立于本人</w:t>
            </w:r>
            <w:r>
              <w:rPr>
                <w:rFonts w:ascii="宋体" w:hAnsi="宋体" w:cs="宋体" w:eastAsia="宋体" w:hint="default"/>
                <w:sz w:val="18"/>
                <w:szCs w:val="18"/>
              </w:rPr>
              <w:t>/</w:t>
            </w:r>
            <w:r>
              <w:rPr>
                <w:rFonts w:ascii="宋体" w:hAnsi="宋体" w:cs="宋体" w:eastAsia="宋体" w:hint="default"/>
                <w:sz w:val="18"/>
                <w:szCs w:val="18"/>
              </w:rPr>
              <w:t>本公司及</w:t>
            </w:r>
            <w:r>
              <w:rPr>
                <w:rFonts w:ascii="宋体" w:hAnsi="宋体" w:cs="宋体" w:eastAsia="宋体" w:hint="default"/>
                <w:spacing w:val="-69"/>
                <w:sz w:val="18"/>
                <w:szCs w:val="18"/>
              </w:rPr>
              <w:t> </w:t>
            </w:r>
            <w:r>
              <w:rPr>
                <w:rFonts w:ascii="宋体" w:hAnsi="宋体" w:cs="宋体" w:eastAsia="宋体" w:hint="default"/>
                <w:sz w:val="18"/>
                <w:szCs w:val="18"/>
              </w:rPr>
              <w:t>本人</w:t>
            </w:r>
            <w:r>
              <w:rPr>
                <w:rFonts w:ascii="宋体" w:hAnsi="宋体" w:cs="宋体" w:eastAsia="宋体" w:hint="default"/>
                <w:sz w:val="18"/>
                <w:szCs w:val="18"/>
              </w:rPr>
              <w:t>/</w:t>
            </w:r>
            <w:r>
              <w:rPr>
                <w:rFonts w:ascii="宋体" w:hAnsi="宋体" w:cs="宋体" w:eastAsia="宋体" w:hint="default"/>
                <w:sz w:val="18"/>
                <w:szCs w:val="18"/>
              </w:rPr>
              <w:t>本公司控制的除上市公司及其控制的公司和企业（以下简称“附属企 业”）以外的其他公司、企业或其他经济组织（以下简称“关联企业”）。 </w:t>
            </w:r>
            <w:r>
              <w:rPr>
                <w:rFonts w:ascii="宋体" w:hAnsi="宋体" w:cs="宋体" w:eastAsia="宋体" w:hint="default"/>
                <w:sz w:val="18"/>
                <w:szCs w:val="18"/>
              </w:rPr>
              <w:t>2</w:t>
            </w:r>
            <w:r>
              <w:rPr>
                <w:rFonts w:ascii="宋体" w:hAnsi="宋体" w:cs="宋体" w:eastAsia="宋体" w:hint="default"/>
                <w:sz w:val="18"/>
                <w:szCs w:val="18"/>
              </w:rPr>
              <w:t>、保证上市公司及三六零科技的高级管理人员不在本人</w:t>
            </w:r>
            <w:r>
              <w:rPr>
                <w:rFonts w:ascii="宋体" w:hAnsi="宋体" w:cs="宋体" w:eastAsia="宋体" w:hint="default"/>
                <w:sz w:val="18"/>
                <w:szCs w:val="18"/>
              </w:rPr>
              <w:t>/</w:t>
            </w:r>
            <w:r>
              <w:rPr>
                <w:rFonts w:ascii="宋体" w:hAnsi="宋体" w:cs="宋体" w:eastAsia="宋体" w:hint="default"/>
                <w:sz w:val="18"/>
                <w:szCs w:val="18"/>
              </w:rPr>
              <w:t>本公司及关联企业中</w:t>
            </w:r>
            <w:r>
              <w:rPr>
                <w:rFonts w:ascii="宋体" w:hAnsi="宋体" w:cs="宋体" w:eastAsia="宋体" w:hint="default"/>
                <w:spacing w:val="-87"/>
                <w:sz w:val="18"/>
                <w:szCs w:val="18"/>
              </w:rPr>
              <w:t> </w:t>
            </w:r>
            <w:r>
              <w:rPr>
                <w:rFonts w:ascii="宋体" w:hAnsi="宋体" w:cs="宋体" w:eastAsia="宋体" w:hint="default"/>
                <w:sz w:val="18"/>
                <w:szCs w:val="18"/>
              </w:rPr>
              <w:t>担任除董事、监事以外的其他职务，不在本人</w:t>
            </w:r>
            <w:r>
              <w:rPr>
                <w:rFonts w:ascii="宋体" w:hAnsi="宋体" w:cs="宋体" w:eastAsia="宋体" w:hint="default"/>
                <w:sz w:val="18"/>
                <w:szCs w:val="18"/>
              </w:rPr>
              <w:t>/</w:t>
            </w:r>
            <w:r>
              <w:rPr>
                <w:rFonts w:ascii="宋体" w:hAnsi="宋体" w:cs="宋体" w:eastAsia="宋体" w:hint="default"/>
                <w:sz w:val="18"/>
                <w:szCs w:val="18"/>
              </w:rPr>
              <w:t>本公司及关联企业领薪。 </w:t>
            </w:r>
            <w:r>
              <w:rPr>
                <w:rFonts w:ascii="宋体" w:hAnsi="宋体" w:cs="宋体" w:eastAsia="宋体" w:hint="default"/>
                <w:spacing w:val="-3"/>
                <w:sz w:val="18"/>
                <w:szCs w:val="18"/>
              </w:rPr>
              <w:t>3</w:t>
            </w:r>
            <w:r>
              <w:rPr>
                <w:rFonts w:ascii="宋体" w:hAnsi="宋体" w:cs="宋体" w:eastAsia="宋体" w:hint="default"/>
                <w:spacing w:val="-3"/>
                <w:sz w:val="18"/>
                <w:szCs w:val="18"/>
              </w:rPr>
              <w:t>、保证上市公司及三六零科技的财务人员不在本人</w:t>
            </w:r>
            <w:r>
              <w:rPr>
                <w:rFonts w:ascii="宋体" w:hAnsi="宋体" w:cs="宋体" w:eastAsia="宋体" w:hint="default"/>
                <w:spacing w:val="-3"/>
                <w:sz w:val="18"/>
                <w:szCs w:val="18"/>
              </w:rPr>
              <w:t>/</w:t>
            </w:r>
            <w:r>
              <w:rPr>
                <w:rFonts w:ascii="宋体" w:hAnsi="宋体" w:cs="宋体" w:eastAsia="宋体" w:hint="default"/>
                <w:spacing w:val="-3"/>
                <w:sz w:val="18"/>
                <w:szCs w:val="18"/>
              </w:rPr>
              <w:t>本公司及关联企业中兼职。</w:t>
            </w:r>
          </w:p>
          <w:p>
            <w:pPr>
              <w:pStyle w:val="TableParagraph"/>
              <w:spacing w:line="232" w:lineRule="exact" w:before="22"/>
              <w:ind w:left="103" w:right="103"/>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、保证按照法律法规或者上市公司章程及其他规章制度</w:t>
            </w:r>
            <w:r>
              <w:rPr>
                <w:rFonts w:ascii="宋体" w:hAnsi="宋体" w:cs="宋体" w:eastAsia="宋体" w:hint="default"/>
                <w:spacing w:val="2"/>
                <w:sz w:val="18"/>
                <w:szCs w:val="18"/>
              </w:rPr>
              <w:t> </w:t>
            </w:r>
            <w:r>
              <w:rPr>
                <w:rFonts w:ascii="宋体" w:hAnsi="宋体" w:cs="宋体" w:eastAsia="宋体" w:hint="default"/>
                <w:sz w:val="18"/>
                <w:szCs w:val="18"/>
              </w:rPr>
              <w:t>的规定推荐出任上市</w:t>
            </w:r>
            <w:r>
              <w:rPr>
                <w:rFonts w:ascii="宋体" w:hAnsi="宋体" w:cs="宋体" w:eastAsia="宋体" w:hint="default"/>
                <w:sz w:val="18"/>
                <w:szCs w:val="18"/>
              </w:rPr>
              <w:t> </w:t>
            </w:r>
            <w:r>
              <w:rPr>
                <w:rFonts w:ascii="宋体" w:hAnsi="宋体" w:cs="宋体" w:eastAsia="宋体" w:hint="default"/>
                <w:spacing w:val="-3"/>
                <w:sz w:val="18"/>
                <w:szCs w:val="18"/>
              </w:rPr>
              <w:t>公司董事、监事和高级管理人员的人选，不会超越股东大会及</w:t>
            </w:r>
            <w:r>
              <w:rPr>
                <w:rFonts w:ascii="宋体" w:hAnsi="宋体" w:cs="宋体" w:eastAsia="宋体" w:hint="default"/>
                <w:spacing w:val="-3"/>
                <w:sz w:val="18"/>
                <w:szCs w:val="18"/>
              </w:rPr>
              <w:t>/</w:t>
            </w:r>
            <w:r>
              <w:rPr>
                <w:rFonts w:ascii="宋体" w:hAnsi="宋体" w:cs="宋体" w:eastAsia="宋体" w:hint="default"/>
                <w:spacing w:val="-3"/>
                <w:sz w:val="18"/>
                <w:szCs w:val="18"/>
              </w:rPr>
              <w:t>或董事会干预上</w:t>
            </w:r>
            <w:r>
              <w:rPr>
                <w:rFonts w:ascii="宋体" w:hAnsi="宋体" w:cs="宋体" w:eastAsia="宋体" w:hint="default"/>
                <w:spacing w:val="-71"/>
                <w:sz w:val="18"/>
                <w:szCs w:val="18"/>
              </w:rPr>
              <w:t> </w:t>
            </w:r>
            <w:r>
              <w:rPr>
                <w:rFonts w:ascii="宋体" w:hAnsi="宋体" w:cs="宋体" w:eastAsia="宋体" w:hint="default"/>
                <w:sz w:val="18"/>
                <w:szCs w:val="18"/>
              </w:rPr>
              <w:t>市公司的人事任免。</w:t>
            </w:r>
          </w:p>
          <w:p>
            <w:pPr>
              <w:pStyle w:val="TableParagraph"/>
              <w:spacing w:line="232" w:lineRule="exact" w:before="3"/>
              <w:ind w:left="103" w:right="104"/>
              <w:jc w:val="left"/>
              <w:rPr>
                <w:rFonts w:ascii="宋体" w:hAnsi="宋体" w:cs="宋体" w:eastAsia="宋体" w:hint="default"/>
                <w:sz w:val="18"/>
                <w:szCs w:val="18"/>
              </w:rPr>
            </w:pPr>
            <w:r>
              <w:rPr>
                <w:rFonts w:ascii="宋体" w:hAnsi="宋体" w:cs="宋体" w:eastAsia="宋体" w:hint="default"/>
                <w:sz w:val="18"/>
                <w:szCs w:val="18"/>
              </w:rPr>
              <w:t>二、资产完整 </w:t>
            </w:r>
            <w:r>
              <w:rPr>
                <w:rFonts w:ascii="宋体" w:hAnsi="宋体" w:cs="宋体" w:eastAsia="宋体" w:hint="default"/>
                <w:spacing w:val="-3"/>
                <w:sz w:val="18"/>
                <w:szCs w:val="18"/>
              </w:rPr>
              <w:t>1</w:t>
            </w:r>
            <w:r>
              <w:rPr>
                <w:rFonts w:ascii="宋体" w:hAnsi="宋体" w:cs="宋体" w:eastAsia="宋体" w:hint="default"/>
                <w:spacing w:val="-3"/>
                <w:sz w:val="18"/>
                <w:szCs w:val="18"/>
              </w:rPr>
              <w:t>、保证上市公司及三六零科技拥有的与经营有关的业务体系和相关资产独立完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整。</w:t>
            </w:r>
          </w:p>
          <w:p>
            <w:pPr>
              <w:pStyle w:val="TableParagraph"/>
              <w:spacing w:line="232" w:lineRule="exact" w:before="3"/>
              <w:ind w:left="103" w:right="10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、保证本人</w:t>
            </w:r>
            <w:r>
              <w:rPr>
                <w:rFonts w:ascii="宋体" w:hAnsi="宋体" w:cs="宋体" w:eastAsia="宋体" w:hint="default"/>
                <w:sz w:val="18"/>
                <w:szCs w:val="18"/>
              </w:rPr>
              <w:t>/</w:t>
            </w:r>
            <w:r>
              <w:rPr>
                <w:rFonts w:ascii="宋体" w:hAnsi="宋体" w:cs="宋体" w:eastAsia="宋体" w:hint="default"/>
                <w:sz w:val="18"/>
                <w:szCs w:val="18"/>
              </w:rPr>
              <w:t>本公司及关联企业不占用上市公司及三六零科技的资金、资产及 其他资源，并且不要求上市公司及附属企业提供任何形式的担保。 </w:t>
            </w:r>
            <w:r>
              <w:rPr>
                <w:rFonts w:ascii="宋体" w:hAnsi="宋体" w:cs="宋体" w:eastAsia="宋体" w:hint="default"/>
                <w:spacing w:val="-3"/>
                <w:sz w:val="18"/>
                <w:szCs w:val="18"/>
              </w:rPr>
              <w:t>3</w:t>
            </w:r>
            <w:r>
              <w:rPr>
                <w:rFonts w:ascii="宋体" w:hAnsi="宋体" w:cs="宋体" w:eastAsia="宋体" w:hint="default"/>
                <w:spacing w:val="-3"/>
                <w:sz w:val="18"/>
                <w:szCs w:val="18"/>
              </w:rPr>
              <w:t>、除通过依法行使股东权利之外，本人</w:t>
            </w:r>
            <w:r>
              <w:rPr>
                <w:rFonts w:ascii="宋体" w:hAnsi="宋体" w:cs="宋体" w:eastAsia="宋体" w:hint="default"/>
                <w:spacing w:val="-3"/>
                <w:sz w:val="18"/>
                <w:szCs w:val="18"/>
              </w:rPr>
              <w:t>/</w:t>
            </w:r>
            <w:r>
              <w:rPr>
                <w:rFonts w:ascii="宋体" w:hAnsi="宋体" w:cs="宋体" w:eastAsia="宋体" w:hint="default"/>
                <w:spacing w:val="-3"/>
                <w:sz w:val="18"/>
                <w:szCs w:val="18"/>
              </w:rPr>
              <w:t>本公司保证不超越股东大会及</w:t>
            </w:r>
            <w:r>
              <w:rPr>
                <w:rFonts w:ascii="宋体" w:hAnsi="宋体" w:cs="宋体" w:eastAsia="宋体" w:hint="default"/>
                <w:spacing w:val="-3"/>
                <w:sz w:val="18"/>
                <w:szCs w:val="18"/>
              </w:rPr>
              <w:t>/</w:t>
            </w:r>
            <w:r>
              <w:rPr>
                <w:rFonts w:ascii="宋体" w:hAnsi="宋体" w:cs="宋体" w:eastAsia="宋体" w:hint="default"/>
                <w:spacing w:val="-3"/>
                <w:sz w:val="18"/>
                <w:szCs w:val="18"/>
              </w:rPr>
              <w:t>或董事</w:t>
            </w:r>
            <w:r>
              <w:rPr>
                <w:rFonts w:ascii="宋体" w:hAnsi="宋体" w:cs="宋体" w:eastAsia="宋体" w:hint="default"/>
                <w:spacing w:val="-67"/>
                <w:sz w:val="18"/>
                <w:szCs w:val="18"/>
              </w:rPr>
              <w:t> </w:t>
            </w:r>
            <w:r>
              <w:rPr>
                <w:rFonts w:ascii="宋体" w:hAnsi="宋体" w:cs="宋体" w:eastAsia="宋体" w:hint="default"/>
                <w:sz w:val="18"/>
                <w:szCs w:val="18"/>
              </w:rPr>
              <w:t>会对上市公司关于资产完整的重大决策进行干预。</w:t>
            </w:r>
          </w:p>
          <w:p>
            <w:pPr>
              <w:pStyle w:val="TableParagraph"/>
              <w:spacing w:line="232" w:lineRule="exact" w:before="3"/>
              <w:ind w:left="103" w:right="104"/>
              <w:jc w:val="left"/>
              <w:rPr>
                <w:rFonts w:ascii="宋体" w:hAnsi="宋体" w:cs="宋体" w:eastAsia="宋体" w:hint="default"/>
                <w:sz w:val="18"/>
                <w:szCs w:val="18"/>
              </w:rPr>
            </w:pPr>
            <w:r>
              <w:rPr>
                <w:rFonts w:ascii="宋体" w:hAnsi="宋体" w:cs="宋体" w:eastAsia="宋体" w:hint="default"/>
                <w:sz w:val="18"/>
                <w:szCs w:val="18"/>
              </w:rPr>
              <w:t>三、财务独立 </w:t>
            </w:r>
            <w:r>
              <w:rPr>
                <w:rFonts w:ascii="宋体" w:hAnsi="宋体" w:cs="宋体" w:eastAsia="宋体" w:hint="default"/>
                <w:spacing w:val="-3"/>
                <w:sz w:val="18"/>
                <w:szCs w:val="18"/>
              </w:rPr>
              <w:t>1</w:t>
            </w:r>
            <w:r>
              <w:rPr>
                <w:rFonts w:ascii="宋体" w:hAnsi="宋体" w:cs="宋体" w:eastAsia="宋体" w:hint="default"/>
                <w:spacing w:val="-3"/>
                <w:sz w:val="18"/>
                <w:szCs w:val="18"/>
              </w:rPr>
              <w:t>、保证上市公司能继续保持其独立的财务会计部门、财务核算体系和财务管理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制度。 </w:t>
            </w:r>
            <w:r>
              <w:rPr>
                <w:rFonts w:ascii="宋体" w:hAnsi="宋体" w:cs="宋体" w:eastAsia="宋体" w:hint="default"/>
                <w:sz w:val="18"/>
                <w:szCs w:val="18"/>
              </w:rPr>
              <w:t>2</w:t>
            </w:r>
            <w:r>
              <w:rPr>
                <w:rFonts w:ascii="宋体" w:hAnsi="宋体" w:cs="宋体" w:eastAsia="宋体" w:hint="default"/>
                <w:sz w:val="18"/>
                <w:szCs w:val="18"/>
              </w:rPr>
              <w:t>、保证上市公司能继续保持其独立的银行账户，本人</w:t>
            </w:r>
            <w:r>
              <w:rPr>
                <w:rFonts w:ascii="宋体" w:hAnsi="宋体" w:cs="宋体" w:eastAsia="宋体" w:hint="default"/>
                <w:sz w:val="18"/>
                <w:szCs w:val="18"/>
              </w:rPr>
              <w:t>/</w:t>
            </w:r>
            <w:r>
              <w:rPr>
                <w:rFonts w:ascii="宋体" w:hAnsi="宋体" w:cs="宋体" w:eastAsia="宋体" w:hint="default"/>
                <w:sz w:val="18"/>
                <w:szCs w:val="18"/>
              </w:rPr>
              <w:t>本公司及关联企业不与</w:t>
            </w:r>
          </w:p>
          <w:p>
            <w:pPr>
              <w:pStyle w:val="TableParagraph"/>
              <w:spacing w:line="232" w:lineRule="exact" w:before="3"/>
              <w:ind w:left="103" w:right="3438"/>
              <w:jc w:val="left"/>
              <w:rPr>
                <w:rFonts w:ascii="宋体" w:hAnsi="宋体" w:cs="宋体" w:eastAsia="宋体" w:hint="default"/>
                <w:sz w:val="18"/>
                <w:szCs w:val="18"/>
              </w:rPr>
            </w:pPr>
            <w:r>
              <w:rPr>
                <w:rFonts w:ascii="宋体" w:hAnsi="宋体" w:cs="宋体" w:eastAsia="宋体" w:hint="default"/>
                <w:sz w:val="18"/>
                <w:szCs w:val="18"/>
              </w:rPr>
              <w:t>上市公司共用银行账户。 </w:t>
            </w:r>
            <w:r>
              <w:rPr>
                <w:rFonts w:ascii="宋体" w:hAnsi="宋体" w:cs="宋体" w:eastAsia="宋体" w:hint="default"/>
                <w:sz w:val="18"/>
                <w:szCs w:val="18"/>
              </w:rPr>
              <w:t>3</w:t>
            </w:r>
            <w:r>
              <w:rPr>
                <w:rFonts w:ascii="宋体" w:hAnsi="宋体" w:cs="宋体" w:eastAsia="宋体" w:hint="default"/>
                <w:sz w:val="18"/>
                <w:szCs w:val="18"/>
              </w:rPr>
              <w:t>、保证上市公司能依法独立纳税。</w:t>
            </w:r>
          </w:p>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、保证上市公司能够独立作出财务决策，不干预上市公司的资金使用。</w:t>
            </w:r>
          </w:p>
          <w:p>
            <w:pPr>
              <w:pStyle w:val="TableParagraph"/>
              <w:spacing w:line="237" w:lineRule="auto" w:before="1"/>
              <w:ind w:left="103" w:right="101"/>
              <w:jc w:val="left"/>
              <w:rPr>
                <w:rFonts w:ascii="宋体" w:hAnsi="宋体" w:cs="宋体" w:eastAsia="宋体" w:hint="default"/>
                <w:sz w:val="18"/>
                <w:szCs w:val="18"/>
              </w:rPr>
            </w:pPr>
            <w:r>
              <w:rPr>
                <w:rFonts w:ascii="宋体" w:hAnsi="宋体" w:cs="宋体" w:eastAsia="宋体" w:hint="default"/>
                <w:sz w:val="18"/>
                <w:szCs w:val="18"/>
              </w:rPr>
              <w:t>四、业务独立 </w:t>
            </w:r>
            <w:r>
              <w:rPr>
                <w:rFonts w:ascii="宋体" w:hAnsi="宋体" w:cs="宋体" w:eastAsia="宋体" w:hint="default"/>
                <w:spacing w:val="-3"/>
                <w:sz w:val="18"/>
                <w:szCs w:val="18"/>
              </w:rPr>
              <w:t>1</w:t>
            </w:r>
            <w:r>
              <w:rPr>
                <w:rFonts w:ascii="宋体" w:hAnsi="宋体" w:cs="宋体" w:eastAsia="宋体" w:hint="default"/>
                <w:spacing w:val="-3"/>
                <w:sz w:val="18"/>
                <w:szCs w:val="18"/>
              </w:rPr>
              <w:t>、保证上市公司拥有独立开展经营活动的资产、人员、资质和能力，具有面向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市场独立自主持续经营的能力。 </w:t>
            </w:r>
            <w:r>
              <w:rPr>
                <w:rFonts w:ascii="宋体" w:hAnsi="宋体" w:cs="宋体" w:eastAsia="宋体" w:hint="default"/>
                <w:spacing w:val="-3"/>
                <w:sz w:val="18"/>
                <w:szCs w:val="18"/>
              </w:rPr>
              <w:t>2</w:t>
            </w:r>
            <w:r>
              <w:rPr>
                <w:rFonts w:ascii="宋体" w:hAnsi="宋体" w:cs="宋体" w:eastAsia="宋体" w:hint="default"/>
                <w:spacing w:val="-3"/>
                <w:sz w:val="18"/>
                <w:szCs w:val="18"/>
              </w:rPr>
              <w:t>、除通过依法行使股东权利之外，本人</w:t>
            </w:r>
            <w:r>
              <w:rPr>
                <w:rFonts w:ascii="宋体" w:hAnsi="宋体" w:cs="宋体" w:eastAsia="宋体" w:hint="default"/>
                <w:spacing w:val="-3"/>
                <w:sz w:val="18"/>
                <w:szCs w:val="18"/>
              </w:rPr>
              <w:t>/</w:t>
            </w:r>
            <w:r>
              <w:rPr>
                <w:rFonts w:ascii="宋体" w:hAnsi="宋体" w:cs="宋体" w:eastAsia="宋体" w:hint="default"/>
                <w:spacing w:val="-3"/>
                <w:sz w:val="18"/>
                <w:szCs w:val="18"/>
              </w:rPr>
              <w:t>本公司保证不超越股东大会及</w:t>
            </w:r>
            <w:r>
              <w:rPr>
                <w:rFonts w:ascii="宋体" w:hAnsi="宋体" w:cs="宋体" w:eastAsia="宋体" w:hint="default"/>
                <w:spacing w:val="-3"/>
                <w:sz w:val="18"/>
                <w:szCs w:val="18"/>
              </w:rPr>
              <w:t>/</w:t>
            </w:r>
            <w:r>
              <w:rPr>
                <w:rFonts w:ascii="宋体" w:hAnsi="宋体" w:cs="宋体" w:eastAsia="宋体" w:hint="default"/>
                <w:spacing w:val="-3"/>
                <w:sz w:val="18"/>
                <w:szCs w:val="18"/>
              </w:rPr>
              <w:t>或董事</w:t>
            </w:r>
            <w:r>
              <w:rPr>
                <w:rFonts w:ascii="宋体" w:hAnsi="宋体" w:cs="宋体" w:eastAsia="宋体" w:hint="default"/>
                <w:spacing w:val="-67"/>
                <w:sz w:val="18"/>
                <w:szCs w:val="18"/>
              </w:rPr>
              <w:t> </w:t>
            </w:r>
            <w:r>
              <w:rPr>
                <w:rFonts w:ascii="宋体" w:hAnsi="宋体" w:cs="宋体" w:eastAsia="宋体" w:hint="default"/>
                <w:sz w:val="18"/>
                <w:szCs w:val="18"/>
              </w:rPr>
              <w:t>会对上市公司的业务经营活动进行干预。 </w:t>
            </w:r>
            <w:r>
              <w:rPr>
                <w:rFonts w:ascii="宋体" w:hAnsi="宋体" w:cs="宋体" w:eastAsia="宋体" w:hint="default"/>
                <w:sz w:val="18"/>
                <w:szCs w:val="18"/>
              </w:rPr>
              <w:t>3</w:t>
            </w:r>
            <w:r>
              <w:rPr>
                <w:rFonts w:ascii="宋体" w:hAnsi="宋体" w:cs="宋体" w:eastAsia="宋体" w:hint="default"/>
                <w:sz w:val="18"/>
                <w:szCs w:val="18"/>
              </w:rPr>
              <w:t>、保证本人</w:t>
            </w:r>
            <w:r>
              <w:rPr>
                <w:rFonts w:ascii="宋体" w:hAnsi="宋体" w:cs="宋体" w:eastAsia="宋体" w:hint="default"/>
                <w:sz w:val="18"/>
                <w:szCs w:val="18"/>
              </w:rPr>
              <w:t>/</w:t>
            </w:r>
            <w:r>
              <w:rPr>
                <w:rFonts w:ascii="宋体" w:hAnsi="宋体" w:cs="宋体" w:eastAsia="宋体" w:hint="default"/>
                <w:sz w:val="18"/>
                <w:szCs w:val="18"/>
              </w:rPr>
              <w:t>本公司及关联企业避免从事与上市公司及附属企业具有实质性竞</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35"/>
              <w:ind w:left="17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34" w:lineRule="exact"/>
              <w:ind w:left="26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headerReference w:type="default" r:id="rId27"/>
          <w:footerReference w:type="default" r:id="rId28"/>
          <w:pgSz w:w="16840" w:h="11910" w:orient="landscape"/>
          <w:pgMar w:header="857" w:footer="1218" w:top="1320" w:bottom="1400" w:left="1220" w:right="1280"/>
          <w:pgNumType w:start="42"/>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1164"/>
        <w:gridCol w:w="706"/>
        <w:gridCol w:w="1150"/>
        <w:gridCol w:w="6344"/>
        <w:gridCol w:w="1169"/>
        <w:gridCol w:w="720"/>
        <w:gridCol w:w="720"/>
        <w:gridCol w:w="1008"/>
        <w:gridCol w:w="1124"/>
      </w:tblGrid>
      <w:tr>
        <w:trPr>
          <w:trHeight w:val="1176"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承诺背景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67" w:right="167"/>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6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2986" w:right="2986"/>
              <w:jc w:val="center"/>
              <w:rPr>
                <w:rFonts w:ascii="宋体" w:hAnsi="宋体" w:cs="宋体" w:eastAsia="宋体" w:hint="default"/>
                <w:sz w:val="18"/>
                <w:szCs w:val="18"/>
              </w:rPr>
            </w:pPr>
            <w:r>
              <w:rPr>
                <w:rFonts w:ascii="宋体" w:hAnsi="宋体" w:cs="宋体" w:eastAsia="宋体" w:hint="default"/>
                <w:sz w:val="18"/>
                <w:szCs w:val="18"/>
              </w:rPr>
              <w:t>承诺 内容</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398" w:right="130" w:hanging="272"/>
              <w:jc w:val="left"/>
              <w:rPr>
                <w:rFonts w:ascii="宋体" w:hAnsi="宋体" w:cs="宋体" w:eastAsia="宋体" w:hint="default"/>
                <w:sz w:val="18"/>
                <w:szCs w:val="18"/>
              </w:rPr>
            </w:pPr>
            <w:r>
              <w:rPr>
                <w:rFonts w:ascii="宋体" w:hAnsi="宋体" w:cs="宋体" w:eastAsia="宋体" w:hint="default"/>
                <w:sz w:val="18"/>
                <w:szCs w:val="18"/>
              </w:rPr>
              <w:t>承诺时间及 期限</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5" w:right="173"/>
              <w:jc w:val="both"/>
              <w:rPr>
                <w:rFonts w:ascii="宋体" w:hAnsi="宋体" w:cs="宋体" w:eastAsia="宋体" w:hint="default"/>
                <w:sz w:val="18"/>
                <w:szCs w:val="18"/>
              </w:rPr>
            </w:pPr>
            <w:r>
              <w:rPr>
                <w:rFonts w:ascii="宋体" w:hAnsi="宋体" w:cs="宋体" w:eastAsia="宋体" w:hint="default"/>
                <w:sz w:val="18"/>
                <w:szCs w:val="18"/>
              </w:rPr>
              <w:t>是否 有履 行期 限</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5" w:right="173"/>
              <w:jc w:val="both"/>
              <w:rPr>
                <w:rFonts w:ascii="宋体" w:hAnsi="宋体" w:cs="宋体" w:eastAsia="宋体" w:hint="default"/>
                <w:sz w:val="18"/>
                <w:szCs w:val="18"/>
              </w:rPr>
            </w:pPr>
            <w:r>
              <w:rPr>
                <w:rFonts w:ascii="宋体" w:hAnsi="宋体" w:cs="宋体" w:eastAsia="宋体" w:hint="default"/>
                <w:sz w:val="18"/>
                <w:szCs w:val="18"/>
              </w:rPr>
              <w:t>是否 及时 严格 履行</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9" w:right="0"/>
              <w:jc w:val="both"/>
              <w:rPr>
                <w:rFonts w:ascii="宋体" w:hAnsi="宋体" w:cs="宋体" w:eastAsia="宋体" w:hint="default"/>
                <w:sz w:val="18"/>
                <w:szCs w:val="18"/>
              </w:rPr>
            </w:pPr>
            <w:r>
              <w:rPr>
                <w:rFonts w:ascii="宋体" w:hAnsi="宋体" w:cs="宋体" w:eastAsia="宋体" w:hint="default"/>
                <w:sz w:val="18"/>
                <w:szCs w:val="18"/>
              </w:rPr>
              <w:t>如未能及</w:t>
            </w:r>
          </w:p>
          <w:p>
            <w:pPr>
              <w:pStyle w:val="TableParagraph"/>
              <w:spacing w:line="237" w:lineRule="auto"/>
              <w:ind w:left="139" w:right="137"/>
              <w:jc w:val="both"/>
              <w:rPr>
                <w:rFonts w:ascii="宋体" w:hAnsi="宋体" w:cs="宋体" w:eastAsia="宋体" w:hint="default"/>
                <w:sz w:val="18"/>
                <w:szCs w:val="18"/>
              </w:rPr>
            </w:pPr>
            <w:r>
              <w:rPr>
                <w:rFonts w:ascii="宋体" w:hAnsi="宋体" w:cs="宋体" w:eastAsia="宋体" w:hint="default"/>
                <w:sz w:val="18"/>
                <w:szCs w:val="18"/>
              </w:rPr>
              <w:t>时履行应 说明未完 成履行的 具体原因</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7" w:lineRule="auto"/>
              <w:ind w:left="105" w:right="106"/>
              <w:jc w:val="both"/>
              <w:rPr>
                <w:rFonts w:ascii="宋体" w:hAnsi="宋体" w:cs="宋体" w:eastAsia="宋体" w:hint="default"/>
                <w:sz w:val="18"/>
                <w:szCs w:val="18"/>
              </w:rPr>
            </w:pPr>
            <w:r>
              <w:rPr>
                <w:rFonts w:ascii="宋体" w:hAnsi="宋体" w:cs="宋体" w:eastAsia="宋体" w:hint="default"/>
                <w:sz w:val="18"/>
                <w:szCs w:val="18"/>
              </w:rPr>
              <w:t>如未能及时 履行应说明 下一步计划</w:t>
            </w:r>
          </w:p>
        </w:tc>
      </w:tr>
      <w:tr>
        <w:trPr>
          <w:trHeight w:val="2578" w:hRule="exact"/>
        </w:trPr>
        <w:tc>
          <w:tcPr>
            <w:tcW w:w="116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争的业务。</w:t>
            </w:r>
          </w:p>
          <w:p>
            <w:pPr>
              <w:pStyle w:val="TableParagraph"/>
              <w:spacing w:line="237" w:lineRule="auto" w:before="2"/>
              <w:ind w:left="103" w:right="12"/>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、保证本人</w:t>
            </w:r>
            <w:r>
              <w:rPr>
                <w:rFonts w:ascii="宋体" w:hAnsi="宋体" w:cs="宋体" w:eastAsia="宋体" w:hint="default"/>
                <w:sz w:val="18"/>
                <w:szCs w:val="18"/>
              </w:rPr>
              <w:t>/</w:t>
            </w:r>
            <w:r>
              <w:rPr>
                <w:rFonts w:ascii="宋体" w:hAnsi="宋体" w:cs="宋体" w:eastAsia="宋体" w:hint="default"/>
                <w:sz w:val="18"/>
                <w:szCs w:val="18"/>
              </w:rPr>
              <w:t>本公司及关联企业减少与上市公司及附属企业的关联交易，在进 行确有必要且无法避免的关联交易时，保证按市场化原则和公允价格进行公平 </w:t>
            </w:r>
            <w:r>
              <w:rPr>
                <w:rFonts w:ascii="宋体" w:hAnsi="宋体" w:cs="宋体" w:eastAsia="宋体" w:hint="default"/>
                <w:spacing w:val="-3"/>
                <w:sz w:val="18"/>
                <w:szCs w:val="18"/>
              </w:rPr>
              <w:t>操作，并按相关法律法规以及规范性文件的规定履行交易程序及信息披露义务。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五、机构独立 </w:t>
            </w:r>
            <w:r>
              <w:rPr>
                <w:rFonts w:ascii="宋体" w:hAnsi="宋体" w:cs="宋体" w:eastAsia="宋体" w:hint="default"/>
                <w:spacing w:val="-3"/>
                <w:sz w:val="18"/>
                <w:szCs w:val="18"/>
              </w:rPr>
              <w:t>1</w:t>
            </w:r>
            <w:r>
              <w:rPr>
                <w:rFonts w:ascii="宋体" w:hAnsi="宋体" w:cs="宋体" w:eastAsia="宋体" w:hint="default"/>
                <w:spacing w:val="-3"/>
                <w:sz w:val="18"/>
                <w:szCs w:val="18"/>
              </w:rPr>
              <w:t>、保证上市公司的法人治理结构、内部经营管理组织机构健全，独立行使经营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管理职权。 </w:t>
            </w:r>
            <w:r>
              <w:rPr>
                <w:rFonts w:ascii="宋体" w:hAnsi="宋体" w:cs="宋体" w:eastAsia="宋体" w:hint="default"/>
                <w:spacing w:val="-3"/>
                <w:sz w:val="18"/>
                <w:szCs w:val="18"/>
              </w:rPr>
              <w:t>2</w:t>
            </w:r>
            <w:r>
              <w:rPr>
                <w:rFonts w:ascii="宋体" w:hAnsi="宋体" w:cs="宋体" w:eastAsia="宋体" w:hint="default"/>
                <w:spacing w:val="-3"/>
                <w:sz w:val="18"/>
                <w:szCs w:val="18"/>
              </w:rPr>
              <w:t>、保证本人</w:t>
            </w:r>
            <w:r>
              <w:rPr>
                <w:rFonts w:ascii="宋体" w:hAnsi="宋体" w:cs="宋体" w:eastAsia="宋体" w:hint="default"/>
                <w:spacing w:val="-3"/>
                <w:sz w:val="18"/>
                <w:szCs w:val="18"/>
              </w:rPr>
              <w:t>/</w:t>
            </w:r>
            <w:r>
              <w:rPr>
                <w:rFonts w:ascii="宋体" w:hAnsi="宋体" w:cs="宋体" w:eastAsia="宋体" w:hint="default"/>
                <w:spacing w:val="-3"/>
                <w:sz w:val="18"/>
                <w:szCs w:val="18"/>
              </w:rPr>
              <w:t>本公司及关联企业与上市公司及附属企业不存在机构混同的情形，</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并且在办公机构和生产经营场所等方面完全分开。 </w:t>
            </w:r>
            <w:r>
              <w:rPr>
                <w:rFonts w:ascii="宋体" w:hAnsi="宋体" w:cs="宋体" w:eastAsia="宋体" w:hint="default"/>
                <w:sz w:val="18"/>
                <w:szCs w:val="18"/>
              </w:rPr>
              <w:t>3</w:t>
            </w:r>
            <w:r>
              <w:rPr>
                <w:rFonts w:ascii="宋体" w:hAnsi="宋体" w:cs="宋体" w:eastAsia="宋体" w:hint="default"/>
                <w:sz w:val="18"/>
                <w:szCs w:val="18"/>
              </w:rPr>
              <w:t>、保证上市公司独立自主地运作，不会超越股东大会及</w:t>
            </w:r>
            <w:r>
              <w:rPr>
                <w:rFonts w:ascii="宋体" w:hAnsi="宋体" w:cs="宋体" w:eastAsia="宋体" w:hint="default"/>
                <w:sz w:val="18"/>
                <w:szCs w:val="18"/>
              </w:rPr>
              <w:t>/</w:t>
            </w:r>
            <w:r>
              <w:rPr>
                <w:rFonts w:ascii="宋体" w:hAnsi="宋体" w:cs="宋体" w:eastAsia="宋体" w:hint="default"/>
                <w:sz w:val="18"/>
                <w:szCs w:val="18"/>
              </w:rPr>
              <w:t>或董事会干预上市公</w:t>
            </w:r>
            <w:r>
              <w:rPr>
                <w:rFonts w:ascii="宋体" w:hAnsi="宋体" w:cs="宋体" w:eastAsia="宋体" w:hint="default"/>
                <w:spacing w:val="-87"/>
                <w:sz w:val="18"/>
                <w:szCs w:val="18"/>
              </w:rPr>
              <w:t> </w:t>
            </w:r>
            <w:r>
              <w:rPr>
                <w:rFonts w:ascii="宋体" w:hAnsi="宋体" w:cs="宋体" w:eastAsia="宋体" w:hint="default"/>
                <w:sz w:val="18"/>
                <w:szCs w:val="18"/>
              </w:rPr>
              <w:t>司的经营管理。</w:t>
            </w:r>
          </w:p>
        </w:tc>
        <w:tc>
          <w:tcPr>
            <w:tcW w:w="11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r>
      <w:tr>
        <w:trPr>
          <w:trHeight w:val="4448"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32" w:lineRule="exact"/>
              <w:ind w:left="127" w:right="125"/>
              <w:jc w:val="center"/>
              <w:rPr>
                <w:rFonts w:ascii="宋体" w:hAnsi="宋体" w:cs="宋体" w:eastAsia="宋体" w:hint="default"/>
                <w:sz w:val="18"/>
                <w:szCs w:val="18"/>
              </w:rPr>
            </w:pPr>
            <w:r>
              <w:rPr>
                <w:rFonts w:ascii="宋体" w:hAnsi="宋体" w:cs="宋体" w:eastAsia="宋体" w:hint="default"/>
                <w:sz w:val="18"/>
                <w:szCs w:val="18"/>
              </w:rPr>
              <w:t>与重大资产 重组相关的 承诺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32" w:lineRule="exact"/>
              <w:ind w:left="167" w:right="167"/>
              <w:jc w:val="both"/>
              <w:rPr>
                <w:rFonts w:ascii="宋体" w:hAnsi="宋体" w:cs="宋体" w:eastAsia="宋体" w:hint="default"/>
                <w:sz w:val="18"/>
                <w:szCs w:val="18"/>
              </w:rPr>
            </w:pPr>
            <w:r>
              <w:rPr>
                <w:rFonts w:ascii="宋体" w:hAnsi="宋体" w:cs="宋体" w:eastAsia="宋体" w:hint="default"/>
                <w:sz w:val="18"/>
                <w:szCs w:val="18"/>
              </w:rPr>
              <w:t>解决 关联 交易</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37" w:lineRule="auto"/>
              <w:ind w:left="119" w:right="119"/>
              <w:jc w:val="both"/>
              <w:rPr>
                <w:rFonts w:ascii="宋体" w:hAnsi="宋体" w:cs="宋体" w:eastAsia="宋体" w:hint="default"/>
                <w:sz w:val="18"/>
                <w:szCs w:val="18"/>
              </w:rPr>
            </w:pPr>
            <w:r>
              <w:rPr>
                <w:rFonts w:ascii="宋体" w:hAnsi="宋体" w:cs="宋体" w:eastAsia="宋体" w:hint="default"/>
                <w:sz w:val="18"/>
                <w:szCs w:val="18"/>
              </w:rPr>
              <w:t>周鸿祎、天 津奇信志成 科技有限公 司、天津众 信股权投资 合伙企业</w:t>
            </w:r>
          </w:p>
          <w:p>
            <w:pPr>
              <w:pStyle w:val="TableParagraph"/>
              <w:spacing w:line="237" w:lineRule="auto"/>
              <w:ind w:left="119" w:right="119" w:firstLine="2"/>
              <w:jc w:val="center"/>
              <w:rPr>
                <w:rFonts w:ascii="宋体" w:hAnsi="宋体" w:cs="宋体" w:eastAsia="宋体" w:hint="default"/>
                <w:sz w:val="18"/>
                <w:szCs w:val="18"/>
              </w:rPr>
            </w:pPr>
            <w:r>
              <w:rPr>
                <w:rFonts w:ascii="宋体" w:hAnsi="宋体" w:cs="宋体" w:eastAsia="宋体" w:hint="default"/>
                <w:sz w:val="18"/>
                <w:szCs w:val="18"/>
              </w:rPr>
              <w:t>（有限合 伙）、持有 三六零科技 </w:t>
            </w: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以上的 股东</w:t>
            </w:r>
          </w:p>
        </w:tc>
        <w:tc>
          <w:tcPr>
            <w:tcW w:w="63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5"/>
                <w:sz w:val="18"/>
                <w:szCs w:val="18"/>
              </w:rPr>
              <w:t>、</w:t>
            </w:r>
            <w:r>
              <w:rPr>
                <w:rFonts w:ascii="宋体" w:hAnsi="宋体" w:cs="宋体" w:eastAsia="宋体" w:hint="default"/>
                <w:sz w:val="18"/>
                <w:szCs w:val="18"/>
              </w:rPr>
              <w:t>本公司</w:t>
            </w:r>
            <w:r>
              <w:rPr>
                <w:rFonts w:ascii="宋体" w:hAnsi="宋体" w:cs="宋体" w:eastAsia="宋体" w:hint="default"/>
                <w:spacing w:val="1"/>
                <w:sz w:val="18"/>
                <w:szCs w:val="18"/>
              </w:rPr>
              <w:t>/</w:t>
            </w:r>
            <w:r>
              <w:rPr>
                <w:rFonts w:ascii="宋体" w:hAnsi="宋体" w:cs="宋体" w:eastAsia="宋体" w:hint="default"/>
                <w:sz w:val="18"/>
                <w:szCs w:val="18"/>
              </w:rPr>
              <w:t>企</w:t>
            </w:r>
            <w:r>
              <w:rPr>
                <w:rFonts w:ascii="宋体" w:hAnsi="宋体" w:cs="宋体" w:eastAsia="宋体" w:hint="default"/>
                <w:spacing w:val="-3"/>
                <w:sz w:val="18"/>
                <w:szCs w:val="18"/>
              </w:rPr>
              <w:t>业</w:t>
            </w:r>
            <w:r>
              <w:rPr>
                <w:rFonts w:ascii="宋体" w:hAnsi="宋体" w:cs="宋体" w:eastAsia="宋体" w:hint="default"/>
                <w:spacing w:val="1"/>
                <w:sz w:val="18"/>
                <w:szCs w:val="18"/>
              </w:rPr>
              <w:t>/</w:t>
            </w:r>
            <w:r>
              <w:rPr>
                <w:rFonts w:ascii="宋体" w:hAnsi="宋体" w:cs="宋体" w:eastAsia="宋体" w:hint="default"/>
                <w:sz w:val="18"/>
                <w:szCs w:val="18"/>
              </w:rPr>
              <w:t>本人及关联</w:t>
            </w:r>
            <w:r>
              <w:rPr>
                <w:rFonts w:ascii="宋体" w:hAnsi="宋体" w:cs="宋体" w:eastAsia="宋体" w:hint="default"/>
                <w:spacing w:val="-3"/>
                <w:sz w:val="18"/>
                <w:szCs w:val="18"/>
              </w:rPr>
              <w:t>企</w:t>
            </w:r>
            <w:r>
              <w:rPr>
                <w:rFonts w:ascii="宋体" w:hAnsi="宋体" w:cs="宋体" w:eastAsia="宋体" w:hint="default"/>
                <w:sz w:val="18"/>
                <w:szCs w:val="18"/>
              </w:rPr>
              <w:t>业将尽量减少与上市公司及其控制的公司和企业</w:t>
            </w:r>
          </w:p>
          <w:p>
            <w:pPr>
              <w:pStyle w:val="TableParagraph"/>
              <w:spacing w:line="237" w:lineRule="auto"/>
              <w:ind w:left="103" w:right="12"/>
              <w:jc w:val="left"/>
              <w:rPr>
                <w:rFonts w:ascii="宋体" w:hAnsi="宋体" w:cs="宋体" w:eastAsia="宋体" w:hint="default"/>
                <w:sz w:val="18"/>
                <w:szCs w:val="18"/>
              </w:rPr>
            </w:pPr>
            <w:r>
              <w:rPr>
                <w:rFonts w:ascii="宋体" w:hAnsi="宋体" w:cs="宋体" w:eastAsia="宋体" w:hint="default"/>
                <w:sz w:val="18"/>
                <w:szCs w:val="18"/>
              </w:rPr>
              <w:t>（以下简称“附属企业”）之间发生关联交易；对于无法避免或有合理理由存 在的关联交易，本公司</w:t>
            </w:r>
            <w:r>
              <w:rPr>
                <w:rFonts w:ascii="宋体" w:hAnsi="宋体" w:cs="宋体" w:eastAsia="宋体" w:hint="default"/>
                <w:sz w:val="18"/>
                <w:szCs w:val="18"/>
              </w:rPr>
              <w:t>/</w:t>
            </w:r>
            <w:r>
              <w:rPr>
                <w:rFonts w:ascii="宋体" w:hAnsi="宋体" w:cs="宋体" w:eastAsia="宋体" w:hint="default"/>
                <w:sz w:val="18"/>
                <w:szCs w:val="18"/>
              </w:rPr>
              <w:t>企业</w:t>
            </w:r>
            <w:r>
              <w:rPr>
                <w:rFonts w:ascii="宋体" w:hAnsi="宋体" w:cs="宋体" w:eastAsia="宋体" w:hint="default"/>
                <w:sz w:val="18"/>
                <w:szCs w:val="18"/>
              </w:rPr>
              <w:t>/</w:t>
            </w:r>
            <w:r>
              <w:rPr>
                <w:rFonts w:ascii="宋体" w:hAnsi="宋体" w:cs="宋体" w:eastAsia="宋体" w:hint="default"/>
                <w:sz w:val="18"/>
                <w:szCs w:val="18"/>
              </w:rPr>
              <w:t>本人或关联企业将与上市公司及附属企业依法签 订规范的关联交易协议，关联交易的价格应当按照与无关联关系的独立第三方 进行相同或相似交易时的价格协商确定，保证关联交易价格具有公允性。 </w:t>
            </w:r>
            <w:r>
              <w:rPr>
                <w:rFonts w:ascii="宋体" w:hAnsi="宋体" w:cs="宋体" w:eastAsia="宋体" w:hint="default"/>
                <w:spacing w:val="-5"/>
                <w:sz w:val="18"/>
                <w:szCs w:val="18"/>
              </w:rPr>
              <w:t>2</w:t>
            </w:r>
            <w:r>
              <w:rPr>
                <w:rFonts w:ascii="宋体" w:hAnsi="宋体" w:cs="宋体" w:eastAsia="宋体" w:hint="default"/>
                <w:spacing w:val="-5"/>
                <w:sz w:val="18"/>
                <w:szCs w:val="18"/>
              </w:rPr>
              <w:t>、本公司</w:t>
            </w:r>
            <w:r>
              <w:rPr>
                <w:rFonts w:ascii="宋体" w:hAnsi="宋体" w:cs="宋体" w:eastAsia="宋体" w:hint="default"/>
                <w:spacing w:val="-5"/>
                <w:sz w:val="18"/>
                <w:szCs w:val="18"/>
              </w:rPr>
              <w:t>/</w:t>
            </w:r>
            <w:r>
              <w:rPr>
                <w:rFonts w:ascii="宋体" w:hAnsi="宋体" w:cs="宋体" w:eastAsia="宋体" w:hint="default"/>
                <w:spacing w:val="-5"/>
                <w:sz w:val="18"/>
                <w:szCs w:val="18"/>
              </w:rPr>
              <w:t>企业</w:t>
            </w:r>
            <w:r>
              <w:rPr>
                <w:rFonts w:ascii="宋体" w:hAnsi="宋体" w:cs="宋体" w:eastAsia="宋体" w:hint="default"/>
                <w:spacing w:val="-5"/>
                <w:sz w:val="18"/>
                <w:szCs w:val="18"/>
              </w:rPr>
              <w:t>/</w:t>
            </w:r>
            <w:r>
              <w:rPr>
                <w:rFonts w:ascii="宋体" w:hAnsi="宋体" w:cs="宋体" w:eastAsia="宋体" w:hint="default"/>
                <w:spacing w:val="-5"/>
                <w:sz w:val="18"/>
                <w:szCs w:val="18"/>
              </w:rPr>
              <w:t>本人应按照有关法律、法规和其他规范性文件及上市公司章程、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关联交易决策制度的规定，履行关联交易决策程序，及时进行信息披露，保证 不通过关联交易损害上市公司及上市公司其他股东的合法权益。 </w:t>
            </w:r>
            <w:r>
              <w:rPr>
                <w:rFonts w:ascii="宋体" w:hAnsi="宋体" w:cs="宋体" w:eastAsia="宋体" w:hint="default"/>
                <w:spacing w:val="-3"/>
                <w:sz w:val="18"/>
                <w:szCs w:val="18"/>
              </w:rPr>
              <w:t>3</w:t>
            </w:r>
            <w:r>
              <w:rPr>
                <w:rFonts w:ascii="宋体" w:hAnsi="宋体" w:cs="宋体" w:eastAsia="宋体" w:hint="default"/>
                <w:spacing w:val="-3"/>
                <w:sz w:val="18"/>
                <w:szCs w:val="18"/>
              </w:rPr>
              <w:t>、本公司</w:t>
            </w:r>
            <w:r>
              <w:rPr>
                <w:rFonts w:ascii="宋体" w:hAnsi="宋体" w:cs="宋体" w:eastAsia="宋体" w:hint="default"/>
                <w:spacing w:val="-3"/>
                <w:sz w:val="18"/>
                <w:szCs w:val="18"/>
              </w:rPr>
              <w:t>/</w:t>
            </w:r>
            <w:r>
              <w:rPr>
                <w:rFonts w:ascii="宋体" w:hAnsi="宋体" w:cs="宋体" w:eastAsia="宋体" w:hint="default"/>
                <w:spacing w:val="-3"/>
                <w:sz w:val="18"/>
                <w:szCs w:val="18"/>
              </w:rPr>
              <w:t>企业</w:t>
            </w:r>
            <w:r>
              <w:rPr>
                <w:rFonts w:ascii="宋体" w:hAnsi="宋体" w:cs="宋体" w:eastAsia="宋体" w:hint="default"/>
                <w:spacing w:val="-3"/>
                <w:sz w:val="18"/>
                <w:szCs w:val="18"/>
              </w:rPr>
              <w:t>/</w:t>
            </w:r>
            <w:r>
              <w:rPr>
                <w:rFonts w:ascii="宋体" w:hAnsi="宋体" w:cs="宋体" w:eastAsia="宋体" w:hint="default"/>
                <w:spacing w:val="-3"/>
                <w:sz w:val="18"/>
                <w:szCs w:val="18"/>
              </w:rPr>
              <w:t>本人保证不要求或不接受上市公司及附属企业在任何一项市场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公平交易中给予本公司</w:t>
            </w:r>
            <w:r>
              <w:rPr>
                <w:rFonts w:ascii="宋体" w:hAnsi="宋体" w:cs="宋体" w:eastAsia="宋体" w:hint="default"/>
                <w:sz w:val="18"/>
                <w:szCs w:val="18"/>
              </w:rPr>
              <w:t>/</w:t>
            </w:r>
            <w:r>
              <w:rPr>
                <w:rFonts w:ascii="宋体" w:hAnsi="宋体" w:cs="宋体" w:eastAsia="宋体" w:hint="default"/>
                <w:sz w:val="18"/>
                <w:szCs w:val="18"/>
              </w:rPr>
              <w:t>企业</w:t>
            </w:r>
            <w:r>
              <w:rPr>
                <w:rFonts w:ascii="宋体" w:hAnsi="宋体" w:cs="宋体" w:eastAsia="宋体" w:hint="default"/>
                <w:sz w:val="18"/>
                <w:szCs w:val="18"/>
              </w:rPr>
              <w:t>/</w:t>
            </w:r>
            <w:r>
              <w:rPr>
                <w:rFonts w:ascii="宋体" w:hAnsi="宋体" w:cs="宋体" w:eastAsia="宋体" w:hint="default"/>
                <w:sz w:val="18"/>
                <w:szCs w:val="18"/>
              </w:rPr>
              <w:t>本人或关联企业优于给予第三方的条件。 </w:t>
            </w:r>
            <w:r>
              <w:rPr>
                <w:rFonts w:ascii="宋体" w:hAnsi="宋体" w:cs="宋体" w:eastAsia="宋体" w:hint="default"/>
                <w:sz w:val="18"/>
                <w:szCs w:val="18"/>
              </w:rPr>
              <w:t>4</w:t>
            </w:r>
            <w:r>
              <w:rPr>
                <w:rFonts w:ascii="宋体" w:hAnsi="宋体" w:cs="宋体" w:eastAsia="宋体" w:hint="default"/>
                <w:sz w:val="18"/>
                <w:szCs w:val="18"/>
              </w:rPr>
              <w:t>、本公司</w:t>
            </w:r>
            <w:r>
              <w:rPr>
                <w:rFonts w:ascii="宋体" w:hAnsi="宋体" w:cs="宋体" w:eastAsia="宋体" w:hint="default"/>
                <w:sz w:val="18"/>
                <w:szCs w:val="18"/>
              </w:rPr>
              <w:t>/</w:t>
            </w:r>
            <w:r>
              <w:rPr>
                <w:rFonts w:ascii="宋体" w:hAnsi="宋体" w:cs="宋体" w:eastAsia="宋体" w:hint="default"/>
                <w:sz w:val="18"/>
                <w:szCs w:val="18"/>
              </w:rPr>
              <w:t>企业</w:t>
            </w:r>
            <w:r>
              <w:rPr>
                <w:rFonts w:ascii="宋体" w:hAnsi="宋体" w:cs="宋体" w:eastAsia="宋体" w:hint="default"/>
                <w:sz w:val="18"/>
                <w:szCs w:val="18"/>
              </w:rPr>
              <w:t>/</w:t>
            </w:r>
            <w:r>
              <w:rPr>
                <w:rFonts w:ascii="宋体" w:hAnsi="宋体" w:cs="宋体" w:eastAsia="宋体" w:hint="default"/>
                <w:sz w:val="18"/>
                <w:szCs w:val="18"/>
              </w:rPr>
              <w:t>本人保证将按照上市公司章程行使相应权利，承担相应义务， 不利用控股股东</w:t>
            </w:r>
            <w:r>
              <w:rPr>
                <w:rFonts w:ascii="宋体" w:hAnsi="宋体" w:cs="宋体" w:eastAsia="宋体" w:hint="default"/>
                <w:sz w:val="18"/>
                <w:szCs w:val="18"/>
              </w:rPr>
              <w:t>/</w:t>
            </w:r>
            <w:r>
              <w:rPr>
                <w:rFonts w:ascii="宋体" w:hAnsi="宋体" w:cs="宋体" w:eastAsia="宋体" w:hint="default"/>
                <w:sz w:val="18"/>
                <w:szCs w:val="18"/>
              </w:rPr>
              <w:t>股东</w:t>
            </w:r>
            <w:r>
              <w:rPr>
                <w:rFonts w:ascii="宋体" w:hAnsi="宋体" w:cs="宋体" w:eastAsia="宋体" w:hint="default"/>
                <w:sz w:val="18"/>
                <w:szCs w:val="18"/>
              </w:rPr>
              <w:t>/</w:t>
            </w:r>
            <w:r>
              <w:rPr>
                <w:rFonts w:ascii="宋体" w:hAnsi="宋体" w:cs="宋体" w:eastAsia="宋体" w:hint="default"/>
                <w:sz w:val="18"/>
                <w:szCs w:val="18"/>
              </w:rPr>
              <w:t>实际控制人身份谋取不正当利益，亦不利用控股股东</w:t>
            </w:r>
            <w:r>
              <w:rPr>
                <w:rFonts w:ascii="宋体" w:hAnsi="宋体" w:cs="宋体" w:eastAsia="宋体" w:hint="default"/>
                <w:sz w:val="18"/>
                <w:szCs w:val="18"/>
              </w:rPr>
              <w:t>/ </w:t>
            </w:r>
            <w:r>
              <w:rPr>
                <w:rFonts w:ascii="宋体" w:hAnsi="宋体" w:cs="宋体" w:eastAsia="宋体" w:hint="default"/>
                <w:sz w:val="18"/>
                <w:szCs w:val="18"/>
              </w:rPr>
              <w:t>股东</w:t>
            </w:r>
            <w:r>
              <w:rPr>
                <w:rFonts w:ascii="宋体" w:hAnsi="宋体" w:cs="宋体" w:eastAsia="宋体" w:hint="default"/>
                <w:sz w:val="18"/>
                <w:szCs w:val="18"/>
              </w:rPr>
              <w:t>/</w:t>
            </w:r>
            <w:r>
              <w:rPr>
                <w:rFonts w:ascii="宋体" w:hAnsi="宋体" w:cs="宋体" w:eastAsia="宋体" w:hint="default"/>
                <w:sz w:val="18"/>
                <w:szCs w:val="18"/>
              </w:rPr>
              <w:t>实际控制人身份促使上市公司股东大会或董事会作出侵犯中小股东合法 权益的决议。 </w:t>
            </w:r>
            <w:r>
              <w:rPr>
                <w:rFonts w:ascii="宋体" w:hAnsi="宋体" w:cs="宋体" w:eastAsia="宋体" w:hint="default"/>
                <w:spacing w:val="-3"/>
                <w:sz w:val="18"/>
                <w:szCs w:val="18"/>
              </w:rPr>
              <w:t>5</w:t>
            </w:r>
            <w:r>
              <w:rPr>
                <w:rFonts w:ascii="宋体" w:hAnsi="宋体" w:cs="宋体" w:eastAsia="宋体" w:hint="default"/>
                <w:spacing w:val="-3"/>
                <w:sz w:val="18"/>
                <w:szCs w:val="18"/>
              </w:rPr>
              <w:t>、本公司</w:t>
            </w:r>
            <w:r>
              <w:rPr>
                <w:rFonts w:ascii="宋体" w:hAnsi="宋体" w:cs="宋体" w:eastAsia="宋体" w:hint="default"/>
                <w:spacing w:val="-3"/>
                <w:sz w:val="18"/>
                <w:szCs w:val="18"/>
              </w:rPr>
              <w:t>/</w:t>
            </w:r>
            <w:r>
              <w:rPr>
                <w:rFonts w:ascii="宋体" w:hAnsi="宋体" w:cs="宋体" w:eastAsia="宋体" w:hint="default"/>
                <w:spacing w:val="-3"/>
                <w:sz w:val="18"/>
                <w:szCs w:val="18"/>
              </w:rPr>
              <w:t>企业</w:t>
            </w:r>
            <w:r>
              <w:rPr>
                <w:rFonts w:ascii="宋体" w:hAnsi="宋体" w:cs="宋体" w:eastAsia="宋体" w:hint="default"/>
                <w:spacing w:val="-3"/>
                <w:sz w:val="18"/>
                <w:szCs w:val="18"/>
              </w:rPr>
              <w:t>/</w:t>
            </w:r>
            <w:r>
              <w:rPr>
                <w:rFonts w:ascii="宋体" w:hAnsi="宋体" w:cs="宋体" w:eastAsia="宋体" w:hint="default"/>
                <w:spacing w:val="-3"/>
                <w:sz w:val="18"/>
                <w:szCs w:val="18"/>
              </w:rPr>
              <w:t>本人保证不利用关联交易非法转移上市公司的资金、利润，亦</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不以借款、代偿债务、代垫款项或者其他任何方式占用上市公司的资金，保证</w:t>
            </w:r>
            <w:r>
              <w:rPr>
                <w:rFonts w:ascii="宋体" w:hAnsi="宋体" w:cs="宋体" w:eastAsia="宋体" w:hint="default"/>
                <w:sz w:val="18"/>
                <w:szCs w:val="18"/>
              </w:rPr>
              <w:t> 不损害上市公司及上市公司其他股东的合法权益。 </w:t>
            </w:r>
            <w:r>
              <w:rPr>
                <w:rFonts w:ascii="宋体" w:hAnsi="宋体" w:cs="宋体" w:eastAsia="宋体" w:hint="default"/>
                <w:spacing w:val="-3"/>
                <w:sz w:val="18"/>
                <w:szCs w:val="18"/>
              </w:rPr>
              <w:t>6</w:t>
            </w:r>
            <w:r>
              <w:rPr>
                <w:rFonts w:ascii="宋体" w:hAnsi="宋体" w:cs="宋体" w:eastAsia="宋体" w:hint="default"/>
                <w:spacing w:val="-3"/>
                <w:sz w:val="18"/>
                <w:szCs w:val="18"/>
              </w:rPr>
              <w:t>、如违反上述承诺，本公司</w:t>
            </w:r>
            <w:r>
              <w:rPr>
                <w:rFonts w:ascii="宋体" w:hAnsi="宋体" w:cs="宋体" w:eastAsia="宋体" w:hint="default"/>
                <w:spacing w:val="-3"/>
                <w:sz w:val="18"/>
                <w:szCs w:val="18"/>
              </w:rPr>
              <w:t>/</w:t>
            </w:r>
            <w:r>
              <w:rPr>
                <w:rFonts w:ascii="宋体" w:hAnsi="宋体" w:cs="宋体" w:eastAsia="宋体" w:hint="default"/>
                <w:spacing w:val="-3"/>
                <w:sz w:val="18"/>
                <w:szCs w:val="18"/>
              </w:rPr>
              <w:t>企业</w:t>
            </w:r>
            <w:r>
              <w:rPr>
                <w:rFonts w:ascii="宋体" w:hAnsi="宋体" w:cs="宋体" w:eastAsia="宋体" w:hint="default"/>
                <w:spacing w:val="-3"/>
                <w:sz w:val="18"/>
                <w:szCs w:val="18"/>
              </w:rPr>
              <w:t>/</w:t>
            </w:r>
            <w:r>
              <w:rPr>
                <w:rFonts w:ascii="宋体" w:hAnsi="宋体" w:cs="宋体" w:eastAsia="宋体" w:hint="default"/>
                <w:spacing w:val="-3"/>
                <w:sz w:val="18"/>
                <w:szCs w:val="18"/>
              </w:rPr>
              <w:t>本人愿意承担相应的法律责任，赔偿由此给</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上市公司或上市公司其他股东造成的所有实际损失。</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35" w:lineRule="exact"/>
              <w:ind w:left="17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4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与重大资产</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解决</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周鸿祎、天</w:t>
            </w:r>
          </w:p>
        </w:tc>
        <w:tc>
          <w:tcPr>
            <w:tcW w:w="6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、本人</w:t>
            </w:r>
            <w:r>
              <w:rPr>
                <w:rFonts w:ascii="宋体" w:hAnsi="宋体" w:cs="宋体" w:eastAsia="宋体" w:hint="default"/>
                <w:sz w:val="18"/>
                <w:szCs w:val="18"/>
              </w:rPr>
              <w:t>/</w:t>
            </w:r>
            <w:r>
              <w:rPr>
                <w:rFonts w:ascii="宋体" w:hAnsi="宋体" w:cs="宋体" w:eastAsia="宋体" w:hint="default"/>
                <w:sz w:val="18"/>
                <w:szCs w:val="18"/>
              </w:rPr>
              <w:t>本公司及关联企业目前在中国境内或境外均未从事与上市公司及附属</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4"/>
              <w:jc w:val="righ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4"/>
              <w:jc w:val="right"/>
              <w:rPr>
                <w:rFonts w:ascii="宋体" w:hAnsi="宋体" w:cs="宋体" w:eastAsia="宋体" w:hint="default"/>
                <w:sz w:val="18"/>
                <w:szCs w:val="18"/>
              </w:rPr>
            </w:pPr>
            <w:r>
              <w:rPr>
                <w:rFonts w:ascii="宋体" w:hAnsi="宋体" w:cs="宋体" w:eastAsia="宋体" w:hint="default"/>
                <w:sz w:val="18"/>
                <w:szCs w:val="18"/>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05" w:lineRule="exact"/>
        <w:jc w:val="left"/>
        <w:rPr>
          <w:rFonts w:ascii="宋体" w:hAnsi="宋体" w:cs="宋体" w:eastAsia="宋体" w:hint="default"/>
          <w:sz w:val="18"/>
          <w:szCs w:val="18"/>
        </w:rPr>
        <w:sectPr>
          <w:pgSz w:w="16840" w:h="11910" w:orient="landscape"/>
          <w:pgMar w:header="857" w:footer="1218" w:top="1320" w:bottom="140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1164"/>
        <w:gridCol w:w="706"/>
        <w:gridCol w:w="1150"/>
        <w:gridCol w:w="6344"/>
        <w:gridCol w:w="1169"/>
        <w:gridCol w:w="720"/>
        <w:gridCol w:w="720"/>
        <w:gridCol w:w="1008"/>
        <w:gridCol w:w="1124"/>
      </w:tblGrid>
      <w:tr>
        <w:trPr>
          <w:trHeight w:val="1176"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承诺背景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67" w:right="167"/>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6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2986" w:right="2986"/>
              <w:jc w:val="center"/>
              <w:rPr>
                <w:rFonts w:ascii="宋体" w:hAnsi="宋体" w:cs="宋体" w:eastAsia="宋体" w:hint="default"/>
                <w:sz w:val="18"/>
                <w:szCs w:val="18"/>
              </w:rPr>
            </w:pPr>
            <w:r>
              <w:rPr>
                <w:rFonts w:ascii="宋体" w:hAnsi="宋体" w:cs="宋体" w:eastAsia="宋体" w:hint="default"/>
                <w:sz w:val="18"/>
                <w:szCs w:val="18"/>
              </w:rPr>
              <w:t>承诺 内容</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398" w:right="130" w:hanging="272"/>
              <w:jc w:val="left"/>
              <w:rPr>
                <w:rFonts w:ascii="宋体" w:hAnsi="宋体" w:cs="宋体" w:eastAsia="宋体" w:hint="default"/>
                <w:sz w:val="18"/>
                <w:szCs w:val="18"/>
              </w:rPr>
            </w:pPr>
            <w:r>
              <w:rPr>
                <w:rFonts w:ascii="宋体" w:hAnsi="宋体" w:cs="宋体" w:eastAsia="宋体" w:hint="default"/>
                <w:sz w:val="18"/>
                <w:szCs w:val="18"/>
              </w:rPr>
              <w:t>承诺时间及 期限</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5" w:right="173"/>
              <w:jc w:val="both"/>
              <w:rPr>
                <w:rFonts w:ascii="宋体" w:hAnsi="宋体" w:cs="宋体" w:eastAsia="宋体" w:hint="default"/>
                <w:sz w:val="18"/>
                <w:szCs w:val="18"/>
              </w:rPr>
            </w:pPr>
            <w:r>
              <w:rPr>
                <w:rFonts w:ascii="宋体" w:hAnsi="宋体" w:cs="宋体" w:eastAsia="宋体" w:hint="default"/>
                <w:sz w:val="18"/>
                <w:szCs w:val="18"/>
              </w:rPr>
              <w:t>是否 有履 行期 限</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5" w:right="173"/>
              <w:jc w:val="both"/>
              <w:rPr>
                <w:rFonts w:ascii="宋体" w:hAnsi="宋体" w:cs="宋体" w:eastAsia="宋体" w:hint="default"/>
                <w:sz w:val="18"/>
                <w:szCs w:val="18"/>
              </w:rPr>
            </w:pPr>
            <w:r>
              <w:rPr>
                <w:rFonts w:ascii="宋体" w:hAnsi="宋体" w:cs="宋体" w:eastAsia="宋体" w:hint="default"/>
                <w:sz w:val="18"/>
                <w:szCs w:val="18"/>
              </w:rPr>
              <w:t>是否 及时 严格 履行</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9" w:right="0"/>
              <w:jc w:val="both"/>
              <w:rPr>
                <w:rFonts w:ascii="宋体" w:hAnsi="宋体" w:cs="宋体" w:eastAsia="宋体" w:hint="default"/>
                <w:sz w:val="18"/>
                <w:szCs w:val="18"/>
              </w:rPr>
            </w:pPr>
            <w:r>
              <w:rPr>
                <w:rFonts w:ascii="宋体" w:hAnsi="宋体" w:cs="宋体" w:eastAsia="宋体" w:hint="default"/>
                <w:sz w:val="18"/>
                <w:szCs w:val="18"/>
              </w:rPr>
              <w:t>如未能及</w:t>
            </w:r>
          </w:p>
          <w:p>
            <w:pPr>
              <w:pStyle w:val="TableParagraph"/>
              <w:spacing w:line="237" w:lineRule="auto"/>
              <w:ind w:left="139" w:right="137"/>
              <w:jc w:val="both"/>
              <w:rPr>
                <w:rFonts w:ascii="宋体" w:hAnsi="宋体" w:cs="宋体" w:eastAsia="宋体" w:hint="default"/>
                <w:sz w:val="18"/>
                <w:szCs w:val="18"/>
              </w:rPr>
            </w:pPr>
            <w:r>
              <w:rPr>
                <w:rFonts w:ascii="宋体" w:hAnsi="宋体" w:cs="宋体" w:eastAsia="宋体" w:hint="default"/>
                <w:sz w:val="18"/>
                <w:szCs w:val="18"/>
              </w:rPr>
              <w:t>时履行应 说明未完 成履行的 具体原因</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7" w:lineRule="auto"/>
              <w:ind w:left="105" w:right="106"/>
              <w:jc w:val="both"/>
              <w:rPr>
                <w:rFonts w:ascii="宋体" w:hAnsi="宋体" w:cs="宋体" w:eastAsia="宋体" w:hint="default"/>
                <w:sz w:val="18"/>
                <w:szCs w:val="18"/>
              </w:rPr>
            </w:pPr>
            <w:r>
              <w:rPr>
                <w:rFonts w:ascii="宋体" w:hAnsi="宋体" w:cs="宋体" w:eastAsia="宋体" w:hint="default"/>
                <w:sz w:val="18"/>
                <w:szCs w:val="18"/>
              </w:rPr>
              <w:t>如未能及时 履行应说明 下一步计划</w:t>
            </w:r>
          </w:p>
        </w:tc>
      </w:tr>
      <w:tr>
        <w:trPr>
          <w:trHeight w:val="701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重组相关的</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承诺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同业</w:t>
            </w: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竞争</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9" w:right="0"/>
              <w:jc w:val="left"/>
              <w:rPr>
                <w:rFonts w:ascii="宋体" w:hAnsi="宋体" w:cs="宋体" w:eastAsia="宋体" w:hint="default"/>
                <w:sz w:val="18"/>
                <w:szCs w:val="18"/>
              </w:rPr>
            </w:pPr>
            <w:r>
              <w:rPr>
                <w:rFonts w:ascii="宋体" w:hAnsi="宋体" w:cs="宋体" w:eastAsia="宋体" w:hint="default"/>
                <w:sz w:val="18"/>
                <w:szCs w:val="18"/>
              </w:rPr>
              <w:t>津奇信志成</w:t>
            </w:r>
          </w:p>
          <w:p>
            <w:pPr>
              <w:pStyle w:val="TableParagraph"/>
              <w:spacing w:line="232" w:lineRule="exact" w:before="24"/>
              <w:ind w:left="479" w:right="119" w:hanging="360"/>
              <w:jc w:val="left"/>
              <w:rPr>
                <w:rFonts w:ascii="宋体" w:hAnsi="宋体" w:cs="宋体" w:eastAsia="宋体" w:hint="default"/>
                <w:sz w:val="18"/>
                <w:szCs w:val="18"/>
              </w:rPr>
            </w:pPr>
            <w:r>
              <w:rPr>
                <w:rFonts w:ascii="宋体" w:hAnsi="宋体" w:cs="宋体" w:eastAsia="宋体" w:hint="default"/>
                <w:sz w:val="18"/>
                <w:szCs w:val="18"/>
              </w:rPr>
              <w:t>科技有限公 司</w:t>
            </w:r>
          </w:p>
        </w:tc>
        <w:tc>
          <w:tcPr>
            <w:tcW w:w="6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企业开展的业务构成或可能构成直接或间接竞争关系的业务或活动。</w:t>
            </w:r>
          </w:p>
          <w:p>
            <w:pPr>
              <w:pStyle w:val="TableParagraph"/>
              <w:spacing w:line="237" w:lineRule="auto" w:before="2"/>
              <w:ind w:left="103" w:right="1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、本人</w:t>
            </w:r>
            <w:r>
              <w:rPr>
                <w:rFonts w:ascii="宋体" w:hAnsi="宋体" w:cs="宋体" w:eastAsia="宋体" w:hint="default"/>
                <w:sz w:val="18"/>
                <w:szCs w:val="18"/>
              </w:rPr>
              <w:t>/</w:t>
            </w:r>
            <w:r>
              <w:rPr>
                <w:rFonts w:ascii="宋体" w:hAnsi="宋体" w:cs="宋体" w:eastAsia="宋体" w:hint="default"/>
                <w:sz w:val="18"/>
                <w:szCs w:val="18"/>
              </w:rPr>
              <w:t>本公司及关联企业将不会在中国境内或境外，单独或与他人，以任何 </w:t>
            </w:r>
            <w:r>
              <w:rPr>
                <w:rFonts w:ascii="宋体" w:hAnsi="宋体" w:cs="宋体" w:eastAsia="宋体" w:hint="default"/>
                <w:spacing w:val="-3"/>
                <w:sz w:val="18"/>
                <w:szCs w:val="18"/>
              </w:rPr>
              <w:t>方式（包括但不限于投资、并购、联营、合营、合作、合伙、承包或租赁经营、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购买上市公司股票或参股）直接或间接从事或参与任何与上市公司及附属企业 开展的业务构成竞争或可能构成竞争的业务或活动。 </w:t>
            </w:r>
            <w:r>
              <w:rPr>
                <w:rFonts w:ascii="宋体" w:hAnsi="宋体" w:cs="宋体" w:eastAsia="宋体" w:hint="default"/>
                <w:sz w:val="18"/>
                <w:szCs w:val="18"/>
              </w:rPr>
              <w:t>3</w:t>
            </w:r>
            <w:r>
              <w:rPr>
                <w:rFonts w:ascii="宋体" w:hAnsi="宋体" w:cs="宋体" w:eastAsia="宋体" w:hint="default"/>
                <w:sz w:val="18"/>
                <w:szCs w:val="18"/>
              </w:rPr>
              <w:t>、如因任何原因出现导致本人</w:t>
            </w:r>
            <w:r>
              <w:rPr>
                <w:rFonts w:ascii="宋体" w:hAnsi="宋体" w:cs="宋体" w:eastAsia="宋体" w:hint="default"/>
                <w:sz w:val="18"/>
                <w:szCs w:val="18"/>
              </w:rPr>
              <w:t>/</w:t>
            </w:r>
            <w:r>
              <w:rPr>
                <w:rFonts w:ascii="宋体" w:hAnsi="宋体" w:cs="宋体" w:eastAsia="宋体" w:hint="default"/>
                <w:sz w:val="18"/>
                <w:szCs w:val="18"/>
              </w:rPr>
              <w:t>本公司及关联企业取得与上市公司及附属企业 </w:t>
            </w:r>
            <w:r>
              <w:rPr>
                <w:rFonts w:ascii="宋体" w:hAnsi="宋体" w:cs="宋体" w:eastAsia="宋体" w:hint="default"/>
                <w:spacing w:val="-3"/>
                <w:sz w:val="18"/>
                <w:szCs w:val="18"/>
              </w:rPr>
              <w:t>开展的业务相同或相类似的业务机会，本人</w:t>
            </w:r>
            <w:r>
              <w:rPr>
                <w:rFonts w:ascii="宋体" w:hAnsi="宋体" w:cs="宋体" w:eastAsia="宋体" w:hint="default"/>
                <w:spacing w:val="-3"/>
                <w:sz w:val="18"/>
                <w:szCs w:val="18"/>
              </w:rPr>
              <w:t>/</w:t>
            </w:r>
            <w:r>
              <w:rPr>
                <w:rFonts w:ascii="宋体" w:hAnsi="宋体" w:cs="宋体" w:eastAsia="宋体" w:hint="default"/>
                <w:spacing w:val="-3"/>
                <w:sz w:val="18"/>
                <w:szCs w:val="18"/>
              </w:rPr>
              <w:t>本公司将立即通知上市公司，以使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上市公司及附属企业拥有取得该业务机会的优先选择权；如上市公司或附属企 业选择承办该业务，则本人</w:t>
            </w:r>
            <w:r>
              <w:rPr>
                <w:rFonts w:ascii="宋体" w:hAnsi="宋体" w:cs="宋体" w:eastAsia="宋体" w:hint="default"/>
                <w:sz w:val="18"/>
                <w:szCs w:val="18"/>
              </w:rPr>
              <w:t>/</w:t>
            </w:r>
            <w:r>
              <w:rPr>
                <w:rFonts w:ascii="宋体" w:hAnsi="宋体" w:cs="宋体" w:eastAsia="宋体" w:hint="default"/>
                <w:sz w:val="18"/>
                <w:szCs w:val="18"/>
              </w:rPr>
              <w:t>本公司及关联企业不会从事该业务，本人</w:t>
            </w:r>
            <w:r>
              <w:rPr>
                <w:rFonts w:ascii="宋体" w:hAnsi="宋体" w:cs="宋体" w:eastAsia="宋体" w:hint="default"/>
                <w:sz w:val="18"/>
                <w:szCs w:val="18"/>
              </w:rPr>
              <w:t>/</w:t>
            </w:r>
            <w:r>
              <w:rPr>
                <w:rFonts w:ascii="宋体" w:hAnsi="宋体" w:cs="宋体" w:eastAsia="宋体" w:hint="default"/>
                <w:sz w:val="18"/>
                <w:szCs w:val="18"/>
              </w:rPr>
              <w:t>本公司 将就上市公司依据相关法 </w:t>
            </w:r>
            <w:r>
              <w:rPr>
                <w:rFonts w:ascii="宋体" w:hAnsi="宋体" w:cs="宋体" w:eastAsia="宋体" w:hint="default"/>
                <w:spacing w:val="-4"/>
                <w:sz w:val="18"/>
                <w:szCs w:val="18"/>
              </w:rPr>
              <w:t>律法规、股票上市地上市规则及监管部门的要求履行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披露义务提供一切必要的协助。 </w:t>
            </w:r>
            <w:r>
              <w:rPr>
                <w:rFonts w:ascii="宋体" w:hAnsi="宋体" w:cs="宋体" w:eastAsia="宋体" w:hint="default"/>
                <w:sz w:val="18"/>
                <w:szCs w:val="18"/>
              </w:rPr>
              <w:t>4</w:t>
            </w:r>
            <w:r>
              <w:rPr>
                <w:rFonts w:ascii="宋体" w:hAnsi="宋体" w:cs="宋体" w:eastAsia="宋体" w:hint="default"/>
                <w:sz w:val="18"/>
                <w:szCs w:val="18"/>
              </w:rPr>
              <w:t>、如因任何原因出现导致本人</w:t>
            </w:r>
            <w:r>
              <w:rPr>
                <w:rFonts w:ascii="宋体" w:hAnsi="宋体" w:cs="宋体" w:eastAsia="宋体" w:hint="default"/>
                <w:sz w:val="18"/>
                <w:szCs w:val="18"/>
              </w:rPr>
              <w:t>/</w:t>
            </w:r>
            <w:r>
              <w:rPr>
                <w:rFonts w:ascii="宋体" w:hAnsi="宋体" w:cs="宋体" w:eastAsia="宋体" w:hint="default"/>
                <w:sz w:val="18"/>
                <w:szCs w:val="18"/>
              </w:rPr>
              <w:t>本公司及关联企业取得对于从事与上市公司及 </w:t>
            </w:r>
            <w:r>
              <w:rPr>
                <w:rFonts w:ascii="宋体" w:hAnsi="宋体" w:cs="宋体" w:eastAsia="宋体" w:hint="default"/>
                <w:spacing w:val="-3"/>
                <w:sz w:val="18"/>
                <w:szCs w:val="18"/>
              </w:rPr>
              <w:t>附属企业开展的业务相同或相类似业务的企业的收购机会，本人</w:t>
            </w:r>
            <w:r>
              <w:rPr>
                <w:rFonts w:ascii="宋体" w:hAnsi="宋体" w:cs="宋体" w:eastAsia="宋体" w:hint="default"/>
                <w:spacing w:val="-3"/>
                <w:sz w:val="18"/>
                <w:szCs w:val="18"/>
              </w:rPr>
              <w:t>/</w:t>
            </w:r>
            <w:r>
              <w:rPr>
                <w:rFonts w:ascii="宋体" w:hAnsi="宋体" w:cs="宋体" w:eastAsia="宋体" w:hint="default"/>
                <w:spacing w:val="-3"/>
                <w:sz w:val="18"/>
                <w:szCs w:val="18"/>
              </w:rPr>
              <w:t>本公司将立即</w:t>
            </w:r>
            <w:r>
              <w:rPr>
                <w:rFonts w:ascii="宋体" w:hAnsi="宋体" w:cs="宋体" w:eastAsia="宋体" w:hint="default"/>
                <w:spacing w:val="-68"/>
                <w:sz w:val="18"/>
                <w:szCs w:val="18"/>
              </w:rPr>
              <w:t> </w:t>
            </w:r>
            <w:r>
              <w:rPr>
                <w:rFonts w:ascii="宋体" w:hAnsi="宋体" w:cs="宋体" w:eastAsia="宋体" w:hint="default"/>
                <w:sz w:val="18"/>
                <w:szCs w:val="18"/>
              </w:rPr>
              <w:t>通知上市公司，以使上市公司及附属企业拥有对于该等企业的收购机会，如上 市公司或附属企业选择收购该企业，则本人</w:t>
            </w:r>
            <w:r>
              <w:rPr>
                <w:rFonts w:ascii="宋体" w:hAnsi="宋体" w:cs="宋体" w:eastAsia="宋体" w:hint="default"/>
                <w:sz w:val="18"/>
                <w:szCs w:val="18"/>
              </w:rPr>
              <w:t>/</w:t>
            </w:r>
            <w:r>
              <w:rPr>
                <w:rFonts w:ascii="宋体" w:hAnsi="宋体" w:cs="宋体" w:eastAsia="宋体" w:hint="default"/>
                <w:sz w:val="18"/>
                <w:szCs w:val="18"/>
              </w:rPr>
              <w:t>本公司及关联企业放弃该收购机 </w:t>
            </w:r>
            <w:r>
              <w:rPr>
                <w:rFonts w:ascii="宋体" w:hAnsi="宋体" w:cs="宋体" w:eastAsia="宋体" w:hint="default"/>
                <w:spacing w:val="-3"/>
                <w:sz w:val="18"/>
                <w:szCs w:val="18"/>
              </w:rPr>
              <w:t>会，本人</w:t>
            </w:r>
            <w:r>
              <w:rPr>
                <w:rFonts w:ascii="宋体" w:hAnsi="宋体" w:cs="宋体" w:eastAsia="宋体" w:hint="default"/>
                <w:spacing w:val="-3"/>
                <w:sz w:val="18"/>
                <w:szCs w:val="18"/>
              </w:rPr>
              <w:t>/</w:t>
            </w:r>
            <w:r>
              <w:rPr>
                <w:rFonts w:ascii="宋体" w:hAnsi="宋体" w:cs="宋体" w:eastAsia="宋体" w:hint="default"/>
                <w:spacing w:val="-3"/>
                <w:sz w:val="18"/>
                <w:szCs w:val="18"/>
              </w:rPr>
              <w:t>本公司将就上市公司依据相关法律法规、股票上市地上市规则及监管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部门的要求履行披露义务提供一切必要的协助。 </w:t>
            </w:r>
            <w:r>
              <w:rPr>
                <w:rFonts w:ascii="宋体" w:hAnsi="宋体" w:cs="宋体" w:eastAsia="宋体" w:hint="default"/>
                <w:sz w:val="18"/>
                <w:szCs w:val="18"/>
              </w:rPr>
              <w:t>5</w:t>
            </w:r>
            <w:r>
              <w:rPr>
                <w:rFonts w:ascii="宋体" w:hAnsi="宋体" w:cs="宋体" w:eastAsia="宋体" w:hint="default"/>
                <w:sz w:val="18"/>
                <w:szCs w:val="18"/>
              </w:rPr>
              <w:t>、如果上市公司及附属企业放弃上述第 </w:t>
            </w:r>
            <w:r>
              <w:rPr>
                <w:rFonts w:ascii="宋体" w:hAnsi="宋体" w:cs="宋体" w:eastAsia="宋体" w:hint="default"/>
                <w:spacing w:val="-10"/>
                <w:sz w:val="18"/>
                <w:szCs w:val="18"/>
              </w:rPr>
              <w:t>3</w:t>
            </w:r>
            <w:r>
              <w:rPr>
                <w:rFonts w:ascii="宋体" w:hAnsi="宋体" w:cs="宋体" w:eastAsia="宋体" w:hint="default"/>
                <w:spacing w:val="-10"/>
                <w:sz w:val="18"/>
                <w:szCs w:val="18"/>
              </w:rPr>
              <w:t>、</w:t>
            </w:r>
            <w:r>
              <w:rPr>
                <w:rFonts w:ascii="宋体" w:hAnsi="宋体" w:cs="宋体" w:eastAsia="宋体" w:hint="default"/>
                <w:spacing w:val="-10"/>
                <w:sz w:val="18"/>
                <w:szCs w:val="18"/>
              </w:rPr>
              <w:t>4 </w:t>
            </w:r>
            <w:r>
              <w:rPr>
                <w:rFonts w:ascii="宋体" w:hAnsi="宋体" w:cs="宋体" w:eastAsia="宋体" w:hint="default"/>
                <w:spacing w:val="-3"/>
                <w:sz w:val="18"/>
                <w:szCs w:val="18"/>
              </w:rPr>
              <w:t>点中的业务机会或收购机会，且</w:t>
            </w:r>
            <w:r>
              <w:rPr>
                <w:rFonts w:ascii="宋体" w:hAnsi="宋体" w:cs="宋体" w:eastAsia="宋体" w:hint="default"/>
                <w:sz w:val="18"/>
                <w:szCs w:val="18"/>
              </w:rPr>
              <w:t> </w:t>
            </w:r>
            <w:r>
              <w:rPr>
                <w:rFonts w:ascii="宋体" w:hAnsi="宋体" w:cs="宋体" w:eastAsia="宋体" w:hint="default"/>
                <w:spacing w:val="-3"/>
                <w:sz w:val="18"/>
                <w:szCs w:val="18"/>
              </w:rPr>
              <w:t>本人</w:t>
            </w:r>
            <w:r>
              <w:rPr>
                <w:rFonts w:ascii="宋体" w:hAnsi="宋体" w:cs="宋体" w:eastAsia="宋体" w:hint="default"/>
                <w:spacing w:val="-3"/>
                <w:sz w:val="18"/>
                <w:szCs w:val="18"/>
              </w:rPr>
              <w:t>/</w:t>
            </w:r>
            <w:r>
              <w:rPr>
                <w:rFonts w:ascii="宋体" w:hAnsi="宋体" w:cs="宋体" w:eastAsia="宋体" w:hint="default"/>
                <w:spacing w:val="-3"/>
                <w:sz w:val="18"/>
                <w:szCs w:val="18"/>
              </w:rPr>
              <w:t>本公司及关联企业后续从事因该等机会产生的竞争性业务，则上市公司及</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附属企业有权随时一次性或分多次向本人</w:t>
            </w:r>
            <w:r>
              <w:rPr>
                <w:rFonts w:ascii="宋体" w:hAnsi="宋体" w:cs="宋体" w:eastAsia="宋体" w:hint="default"/>
                <w:sz w:val="18"/>
                <w:szCs w:val="18"/>
              </w:rPr>
              <w:t>/</w:t>
            </w:r>
            <w:r>
              <w:rPr>
                <w:rFonts w:ascii="宋体" w:hAnsi="宋体" w:cs="宋体" w:eastAsia="宋体" w:hint="default"/>
                <w:sz w:val="18"/>
                <w:szCs w:val="18"/>
              </w:rPr>
              <w:t>本公司及关联企业收购上述竞争性 业务中的任何股权、资产及其他权益，或由上市公司及附属企业根据国家法律 </w:t>
            </w:r>
            <w:r>
              <w:rPr>
                <w:rFonts w:ascii="宋体" w:hAnsi="宋体" w:cs="宋体" w:eastAsia="宋体" w:hint="default"/>
                <w:spacing w:val="-3"/>
                <w:sz w:val="18"/>
                <w:szCs w:val="18"/>
              </w:rPr>
              <w:t>法规允许的方式选择委托经营、租赁或承包经营本人</w:t>
            </w:r>
            <w:r>
              <w:rPr>
                <w:rFonts w:ascii="宋体" w:hAnsi="宋体" w:cs="宋体" w:eastAsia="宋体" w:hint="default"/>
                <w:spacing w:val="-3"/>
                <w:sz w:val="18"/>
                <w:szCs w:val="18"/>
              </w:rPr>
              <w:t>/</w:t>
            </w:r>
            <w:r>
              <w:rPr>
                <w:rFonts w:ascii="宋体" w:hAnsi="宋体" w:cs="宋体" w:eastAsia="宋体" w:hint="default"/>
                <w:spacing w:val="-3"/>
                <w:sz w:val="18"/>
                <w:szCs w:val="18"/>
              </w:rPr>
              <w:t>本公司及关联企业在上述</w:t>
            </w:r>
            <w:r>
              <w:rPr>
                <w:rFonts w:ascii="宋体" w:hAnsi="宋体" w:cs="宋体" w:eastAsia="宋体" w:hint="default"/>
                <w:spacing w:val="-68"/>
                <w:sz w:val="18"/>
                <w:szCs w:val="18"/>
              </w:rPr>
              <w:t> </w:t>
            </w:r>
            <w:r>
              <w:rPr>
                <w:rFonts w:ascii="宋体" w:hAnsi="宋体" w:cs="宋体" w:eastAsia="宋体" w:hint="default"/>
                <w:sz w:val="18"/>
                <w:szCs w:val="18"/>
              </w:rPr>
              <w:t>竞争性业务中的资产或业务。 </w:t>
            </w:r>
            <w:r>
              <w:rPr>
                <w:rFonts w:ascii="宋体" w:hAnsi="宋体" w:cs="宋体" w:eastAsia="宋体" w:hint="default"/>
                <w:spacing w:val="-4"/>
                <w:sz w:val="18"/>
                <w:szCs w:val="18"/>
              </w:rPr>
              <w:t>6</w:t>
            </w:r>
            <w:r>
              <w:rPr>
                <w:rFonts w:ascii="宋体" w:hAnsi="宋体" w:cs="宋体" w:eastAsia="宋体" w:hint="default"/>
                <w:spacing w:val="-4"/>
                <w:sz w:val="18"/>
                <w:szCs w:val="18"/>
              </w:rPr>
              <w:t>、在本人</w:t>
            </w:r>
            <w:r>
              <w:rPr>
                <w:rFonts w:ascii="宋体" w:hAnsi="宋体" w:cs="宋体" w:eastAsia="宋体" w:hint="default"/>
                <w:spacing w:val="-4"/>
                <w:sz w:val="18"/>
                <w:szCs w:val="18"/>
              </w:rPr>
              <w:t>/</w:t>
            </w:r>
            <w:r>
              <w:rPr>
                <w:rFonts w:ascii="宋体" w:hAnsi="宋体" w:cs="宋体" w:eastAsia="宋体" w:hint="default"/>
                <w:spacing w:val="-4"/>
                <w:sz w:val="18"/>
                <w:szCs w:val="18"/>
              </w:rPr>
              <w:t>本公司及关联企业拟转让、出售、出租、许可 </w:t>
            </w:r>
            <w:r>
              <w:rPr>
                <w:rFonts w:ascii="宋体" w:hAnsi="宋体" w:cs="宋体" w:eastAsia="宋体" w:hint="default"/>
                <w:sz w:val="18"/>
                <w:szCs w:val="18"/>
              </w:rPr>
              <w:t>使用或以其他方式转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让与上市公司及附属企业主营业务构成或可能构成直接或间接竞争关系的资产</w:t>
            </w:r>
            <w:r>
              <w:rPr>
                <w:rFonts w:ascii="宋体" w:hAnsi="宋体" w:cs="宋体" w:eastAsia="宋体" w:hint="default"/>
                <w:sz w:val="18"/>
                <w:szCs w:val="18"/>
              </w:rPr>
              <w:t> 和业务时，本人</w:t>
            </w:r>
            <w:r>
              <w:rPr>
                <w:rFonts w:ascii="宋体" w:hAnsi="宋体" w:cs="宋体" w:eastAsia="宋体" w:hint="default"/>
                <w:sz w:val="18"/>
                <w:szCs w:val="18"/>
              </w:rPr>
              <w:t>/</w:t>
            </w:r>
            <w:r>
              <w:rPr>
                <w:rFonts w:ascii="宋体" w:hAnsi="宋体" w:cs="宋体" w:eastAsia="宋体" w:hint="default"/>
                <w:sz w:val="18"/>
                <w:szCs w:val="18"/>
              </w:rPr>
              <w:t>本公司及关联企业将向上市公司及附属企业提供优先购买权。 </w:t>
            </w:r>
            <w:r>
              <w:rPr>
                <w:rFonts w:ascii="宋体" w:hAnsi="宋体" w:cs="宋体" w:eastAsia="宋体" w:hint="default"/>
                <w:spacing w:val="-3"/>
                <w:sz w:val="18"/>
                <w:szCs w:val="18"/>
              </w:rPr>
              <w:t>7</w:t>
            </w:r>
            <w:r>
              <w:rPr>
                <w:rFonts w:ascii="宋体" w:hAnsi="宋体" w:cs="宋体" w:eastAsia="宋体" w:hint="default"/>
                <w:spacing w:val="-3"/>
                <w:sz w:val="18"/>
                <w:szCs w:val="18"/>
              </w:rPr>
              <w:t>、本人</w:t>
            </w:r>
            <w:r>
              <w:rPr>
                <w:rFonts w:ascii="宋体" w:hAnsi="宋体" w:cs="宋体" w:eastAsia="宋体" w:hint="default"/>
                <w:spacing w:val="-3"/>
                <w:sz w:val="18"/>
                <w:szCs w:val="18"/>
              </w:rPr>
              <w:t>/</w:t>
            </w:r>
            <w:r>
              <w:rPr>
                <w:rFonts w:ascii="宋体" w:hAnsi="宋体" w:cs="宋体" w:eastAsia="宋体" w:hint="default"/>
                <w:spacing w:val="-3"/>
                <w:sz w:val="18"/>
                <w:szCs w:val="18"/>
              </w:rPr>
              <w:t>本公司不会利用作为实际控制人</w:t>
            </w:r>
            <w:r>
              <w:rPr>
                <w:rFonts w:ascii="宋体" w:hAnsi="宋体" w:cs="宋体" w:eastAsia="宋体" w:hint="default"/>
                <w:spacing w:val="-3"/>
                <w:sz w:val="18"/>
                <w:szCs w:val="18"/>
              </w:rPr>
              <w:t>/</w:t>
            </w:r>
            <w:r>
              <w:rPr>
                <w:rFonts w:ascii="宋体" w:hAnsi="宋体" w:cs="宋体" w:eastAsia="宋体" w:hint="default"/>
                <w:spacing w:val="-3"/>
                <w:sz w:val="18"/>
                <w:szCs w:val="18"/>
              </w:rPr>
              <w:t>上市公司控股股东的地位，损害上市</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公司及上市公司其他股东的利益。 </w:t>
            </w:r>
            <w:r>
              <w:rPr>
                <w:rFonts w:ascii="宋体" w:hAnsi="宋体" w:cs="宋体" w:eastAsia="宋体" w:hint="default"/>
                <w:sz w:val="18"/>
                <w:szCs w:val="18"/>
              </w:rPr>
              <w:t>8</w:t>
            </w:r>
            <w:r>
              <w:rPr>
                <w:rFonts w:ascii="宋体" w:hAnsi="宋体" w:cs="宋体" w:eastAsia="宋体" w:hint="default"/>
                <w:sz w:val="18"/>
                <w:szCs w:val="18"/>
              </w:rPr>
              <w:t>、如果本人</w:t>
            </w:r>
            <w:r>
              <w:rPr>
                <w:rFonts w:ascii="宋体" w:hAnsi="宋体" w:cs="宋体" w:eastAsia="宋体" w:hint="default"/>
                <w:sz w:val="18"/>
                <w:szCs w:val="18"/>
              </w:rPr>
              <w:t>/</w:t>
            </w:r>
            <w:r>
              <w:rPr>
                <w:rFonts w:ascii="宋体" w:hAnsi="宋体" w:cs="宋体" w:eastAsia="宋体" w:hint="default"/>
                <w:sz w:val="18"/>
                <w:szCs w:val="18"/>
              </w:rPr>
              <w:t>本公司违反上述承诺，则所得收入全部归上市公司所有；造成上 市公司经济损失的，本人</w:t>
            </w:r>
            <w:r>
              <w:rPr>
                <w:rFonts w:ascii="宋体" w:hAnsi="宋体" w:cs="宋体" w:eastAsia="宋体" w:hint="default"/>
                <w:sz w:val="18"/>
                <w:szCs w:val="18"/>
              </w:rPr>
              <w:t>/</w:t>
            </w:r>
            <w:r>
              <w:rPr>
                <w:rFonts w:ascii="宋体" w:hAnsi="宋体" w:cs="宋体" w:eastAsia="宋体" w:hint="default"/>
                <w:sz w:val="18"/>
                <w:szCs w:val="18"/>
              </w:rPr>
              <w:t>本公司将承担相应的赔偿责任。</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与重大资产</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67"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周鸿祎、奇</w:t>
            </w:r>
          </w:p>
        </w:tc>
        <w:tc>
          <w:tcPr>
            <w:tcW w:w="63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、本人</w:t>
            </w:r>
            <w:r>
              <w:rPr>
                <w:rFonts w:ascii="宋体" w:hAnsi="宋体" w:cs="宋体" w:eastAsia="宋体" w:hint="default"/>
                <w:spacing w:val="-3"/>
                <w:sz w:val="18"/>
                <w:szCs w:val="18"/>
              </w:rPr>
              <w:t>/</w:t>
            </w:r>
            <w:r>
              <w:rPr>
                <w:rFonts w:ascii="宋体" w:hAnsi="宋体" w:cs="宋体" w:eastAsia="宋体" w:hint="default"/>
                <w:spacing w:val="-3"/>
                <w:sz w:val="18"/>
                <w:szCs w:val="18"/>
              </w:rPr>
              <w:t>本公司</w:t>
            </w:r>
            <w:r>
              <w:rPr>
                <w:rFonts w:ascii="宋体" w:hAnsi="宋体" w:cs="宋体" w:eastAsia="宋体" w:hint="default"/>
                <w:spacing w:val="-3"/>
                <w:sz w:val="18"/>
                <w:szCs w:val="18"/>
              </w:rPr>
              <w:t>/</w:t>
            </w:r>
            <w:r>
              <w:rPr>
                <w:rFonts w:ascii="宋体" w:hAnsi="宋体" w:cs="宋体" w:eastAsia="宋体" w:hint="default"/>
                <w:spacing w:val="-3"/>
                <w:sz w:val="18"/>
                <w:szCs w:val="18"/>
              </w:rPr>
              <w:t>本企业通过本次重大资产重组所获得的上市公司的股份，自该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08" w:lineRule="exact"/>
        <w:jc w:val="left"/>
        <w:rPr>
          <w:rFonts w:ascii="宋体" w:hAnsi="宋体" w:cs="宋体" w:eastAsia="宋体" w:hint="default"/>
          <w:sz w:val="18"/>
          <w:szCs w:val="18"/>
        </w:rPr>
        <w:sectPr>
          <w:pgSz w:w="16840" w:h="11910" w:orient="landscape"/>
          <w:pgMar w:header="857" w:footer="1218" w:top="1320" w:bottom="140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1164"/>
        <w:gridCol w:w="706"/>
        <w:gridCol w:w="1150"/>
        <w:gridCol w:w="6344"/>
        <w:gridCol w:w="1169"/>
        <w:gridCol w:w="720"/>
        <w:gridCol w:w="720"/>
        <w:gridCol w:w="1008"/>
        <w:gridCol w:w="1124"/>
      </w:tblGrid>
      <w:tr>
        <w:trPr>
          <w:trHeight w:val="1176"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15" w:right="0"/>
              <w:jc w:val="left"/>
              <w:rPr>
                <w:rFonts w:ascii="宋体" w:hAnsi="宋体" w:cs="宋体" w:eastAsia="宋体" w:hint="default"/>
                <w:sz w:val="18"/>
                <w:szCs w:val="18"/>
              </w:rPr>
            </w:pPr>
            <w:r>
              <w:rPr>
                <w:rFonts w:ascii="宋体" w:hAnsi="宋体" w:cs="宋体" w:eastAsia="宋体" w:hint="default"/>
                <w:sz w:val="18"/>
                <w:szCs w:val="18"/>
              </w:rPr>
              <w:t>承诺背景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67" w:right="167"/>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2986" w:right="2986"/>
              <w:jc w:val="center"/>
              <w:rPr>
                <w:rFonts w:ascii="宋体" w:hAnsi="宋体" w:cs="宋体" w:eastAsia="宋体" w:hint="default"/>
                <w:sz w:val="18"/>
                <w:szCs w:val="18"/>
              </w:rPr>
            </w:pPr>
            <w:r>
              <w:rPr>
                <w:rFonts w:ascii="宋体" w:hAnsi="宋体" w:cs="宋体" w:eastAsia="宋体" w:hint="default"/>
                <w:sz w:val="18"/>
                <w:szCs w:val="18"/>
              </w:rPr>
              <w:t>承诺 内容</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398" w:right="130" w:hanging="272"/>
              <w:jc w:val="left"/>
              <w:rPr>
                <w:rFonts w:ascii="宋体" w:hAnsi="宋体" w:cs="宋体" w:eastAsia="宋体" w:hint="default"/>
                <w:sz w:val="18"/>
                <w:szCs w:val="18"/>
              </w:rPr>
            </w:pPr>
            <w:r>
              <w:rPr>
                <w:rFonts w:ascii="宋体" w:hAnsi="宋体" w:cs="宋体" w:eastAsia="宋体" w:hint="default"/>
                <w:sz w:val="18"/>
                <w:szCs w:val="18"/>
              </w:rPr>
              <w:t>承诺时间及 期限</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5" w:right="173"/>
              <w:jc w:val="both"/>
              <w:rPr>
                <w:rFonts w:ascii="宋体" w:hAnsi="宋体" w:cs="宋体" w:eastAsia="宋体" w:hint="default"/>
                <w:sz w:val="18"/>
                <w:szCs w:val="18"/>
              </w:rPr>
            </w:pPr>
            <w:r>
              <w:rPr>
                <w:rFonts w:ascii="宋体" w:hAnsi="宋体" w:cs="宋体" w:eastAsia="宋体" w:hint="default"/>
                <w:sz w:val="18"/>
                <w:szCs w:val="18"/>
              </w:rPr>
              <w:t>是否 有履 行期 限</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5" w:right="173"/>
              <w:jc w:val="both"/>
              <w:rPr>
                <w:rFonts w:ascii="宋体" w:hAnsi="宋体" w:cs="宋体" w:eastAsia="宋体" w:hint="default"/>
                <w:sz w:val="18"/>
                <w:szCs w:val="18"/>
              </w:rPr>
            </w:pPr>
            <w:r>
              <w:rPr>
                <w:rFonts w:ascii="宋体" w:hAnsi="宋体" w:cs="宋体" w:eastAsia="宋体" w:hint="default"/>
                <w:sz w:val="18"/>
                <w:szCs w:val="18"/>
              </w:rPr>
              <w:t>是否 及时 严格 履行</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9" w:right="0"/>
              <w:jc w:val="both"/>
              <w:rPr>
                <w:rFonts w:ascii="宋体" w:hAnsi="宋体" w:cs="宋体" w:eastAsia="宋体" w:hint="default"/>
                <w:sz w:val="18"/>
                <w:szCs w:val="18"/>
              </w:rPr>
            </w:pPr>
            <w:r>
              <w:rPr>
                <w:rFonts w:ascii="宋体" w:hAnsi="宋体" w:cs="宋体" w:eastAsia="宋体" w:hint="default"/>
                <w:sz w:val="18"/>
                <w:szCs w:val="18"/>
              </w:rPr>
              <w:t>如未能及</w:t>
            </w:r>
          </w:p>
          <w:p>
            <w:pPr>
              <w:pStyle w:val="TableParagraph"/>
              <w:spacing w:line="237" w:lineRule="auto"/>
              <w:ind w:left="139" w:right="137"/>
              <w:jc w:val="both"/>
              <w:rPr>
                <w:rFonts w:ascii="宋体" w:hAnsi="宋体" w:cs="宋体" w:eastAsia="宋体" w:hint="default"/>
                <w:sz w:val="18"/>
                <w:szCs w:val="18"/>
              </w:rPr>
            </w:pPr>
            <w:r>
              <w:rPr>
                <w:rFonts w:ascii="宋体" w:hAnsi="宋体" w:cs="宋体" w:eastAsia="宋体" w:hint="default"/>
                <w:sz w:val="18"/>
                <w:szCs w:val="18"/>
              </w:rPr>
              <w:t>时履行应 说明未完 成履行的 具体原因</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7" w:lineRule="auto"/>
              <w:ind w:left="105" w:right="106"/>
              <w:jc w:val="both"/>
              <w:rPr>
                <w:rFonts w:ascii="宋体" w:hAnsi="宋体" w:cs="宋体" w:eastAsia="宋体" w:hint="default"/>
                <w:sz w:val="18"/>
                <w:szCs w:val="18"/>
              </w:rPr>
            </w:pPr>
            <w:r>
              <w:rPr>
                <w:rFonts w:ascii="宋体" w:hAnsi="宋体" w:cs="宋体" w:eastAsia="宋体" w:hint="default"/>
                <w:sz w:val="18"/>
                <w:szCs w:val="18"/>
              </w:rPr>
              <w:t>如未能及时 履行应说明 下一步计划</w:t>
            </w:r>
          </w:p>
        </w:tc>
      </w:tr>
      <w:tr>
        <w:trPr>
          <w:trHeight w:val="3747" w:hRule="exact"/>
        </w:trPr>
        <w:tc>
          <w:tcPr>
            <w:tcW w:w="1164" w:type="dxa"/>
            <w:vMerge w:val="restart"/>
            <w:tcBorders>
              <w:top w:val="single" w:sz="4" w:space="0" w:color="000000"/>
              <w:left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重组相关的</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承诺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限售</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信志成、天</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津众信</w:t>
            </w:r>
          </w:p>
        </w:tc>
        <w:tc>
          <w:tcPr>
            <w:tcW w:w="6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等股份登记至本人</w:t>
            </w:r>
            <w:r>
              <w:rPr>
                <w:rFonts w:ascii="宋体" w:hAnsi="宋体" w:cs="宋体" w:eastAsia="宋体" w:hint="default"/>
                <w:sz w:val="18"/>
                <w:szCs w:val="18"/>
              </w:rPr>
              <w:t>/</w:t>
            </w:r>
            <w:r>
              <w:rPr>
                <w:rFonts w:ascii="宋体" w:hAnsi="宋体" w:cs="宋体" w:eastAsia="宋体" w:hint="default"/>
                <w:sz w:val="18"/>
                <w:szCs w:val="18"/>
              </w:rPr>
              <w:t>本公司</w:t>
            </w:r>
            <w:r>
              <w:rPr>
                <w:rFonts w:ascii="宋体" w:hAnsi="宋体" w:cs="宋体" w:eastAsia="宋体" w:hint="default"/>
                <w:sz w:val="18"/>
                <w:szCs w:val="18"/>
              </w:rPr>
              <w:t>/</w:t>
            </w:r>
            <w:r>
              <w:rPr>
                <w:rFonts w:ascii="宋体" w:hAnsi="宋体" w:cs="宋体" w:eastAsia="宋体" w:hint="default"/>
                <w:sz w:val="18"/>
                <w:szCs w:val="18"/>
              </w:rPr>
              <w:t>本企业证券账户之日起 </w:t>
            </w:r>
            <w:r>
              <w:rPr>
                <w:rFonts w:ascii="宋体" w:hAnsi="宋体" w:cs="宋体" w:eastAsia="宋体" w:hint="default"/>
                <w:sz w:val="18"/>
                <w:szCs w:val="18"/>
              </w:rPr>
              <w:t>36</w:t>
            </w:r>
            <w:r>
              <w:rPr>
                <w:rFonts w:ascii="宋体" w:hAnsi="宋体" w:cs="宋体" w:eastAsia="宋体" w:hint="default"/>
                <w:spacing w:val="-3"/>
                <w:sz w:val="18"/>
                <w:szCs w:val="18"/>
              </w:rPr>
              <w:t> </w:t>
            </w:r>
            <w:r>
              <w:rPr>
                <w:rFonts w:ascii="宋体" w:hAnsi="宋体" w:cs="宋体" w:eastAsia="宋体" w:hint="default"/>
                <w:sz w:val="18"/>
                <w:szCs w:val="18"/>
              </w:rPr>
              <w:t>个月内不以任何方式进</w:t>
            </w:r>
          </w:p>
          <w:p>
            <w:pPr>
              <w:pStyle w:val="TableParagraph"/>
              <w:spacing w:line="237" w:lineRule="auto" w:before="2"/>
              <w:ind w:left="103" w:right="101"/>
              <w:jc w:val="left"/>
              <w:rPr>
                <w:rFonts w:ascii="宋体" w:hAnsi="宋体" w:cs="宋体" w:eastAsia="宋体" w:hint="default"/>
                <w:sz w:val="18"/>
                <w:szCs w:val="18"/>
              </w:rPr>
            </w:pPr>
            <w:r>
              <w:rPr>
                <w:rFonts w:ascii="宋体" w:hAnsi="宋体" w:cs="宋体" w:eastAsia="宋体" w:hint="default"/>
                <w:sz w:val="18"/>
                <w:szCs w:val="18"/>
              </w:rPr>
              <w:t>行转让，包括但不限于通过证券市场公开转让或通过协议方式转让，也不委托 他人管理上述股份。 </w:t>
            </w:r>
            <w:r>
              <w:rPr>
                <w:rFonts w:ascii="宋体" w:hAnsi="宋体" w:cs="宋体" w:eastAsia="宋体" w:hint="default"/>
                <w:sz w:val="18"/>
                <w:szCs w:val="18"/>
              </w:rPr>
              <w:t>2</w:t>
            </w:r>
            <w:r>
              <w:rPr>
                <w:rFonts w:ascii="宋体" w:hAnsi="宋体" w:cs="宋体" w:eastAsia="宋体" w:hint="default"/>
                <w:sz w:val="18"/>
                <w:szCs w:val="18"/>
              </w:rPr>
              <w:t>、在上述股份登记至本人</w:t>
            </w:r>
            <w:r>
              <w:rPr>
                <w:rFonts w:ascii="宋体" w:hAnsi="宋体" w:cs="宋体" w:eastAsia="宋体" w:hint="default"/>
                <w:sz w:val="18"/>
                <w:szCs w:val="18"/>
              </w:rPr>
              <w:t>/</w:t>
            </w:r>
            <w:r>
              <w:rPr>
                <w:rFonts w:ascii="宋体" w:hAnsi="宋体" w:cs="宋体" w:eastAsia="宋体" w:hint="default"/>
                <w:sz w:val="18"/>
                <w:szCs w:val="18"/>
              </w:rPr>
              <w:t>本公司</w:t>
            </w:r>
            <w:r>
              <w:rPr>
                <w:rFonts w:ascii="宋体" w:hAnsi="宋体" w:cs="宋体" w:eastAsia="宋体" w:hint="default"/>
                <w:sz w:val="18"/>
                <w:szCs w:val="18"/>
              </w:rPr>
              <w:t>/</w:t>
            </w:r>
            <w:r>
              <w:rPr>
                <w:rFonts w:ascii="宋体" w:hAnsi="宋体" w:cs="宋体" w:eastAsia="宋体" w:hint="default"/>
                <w:sz w:val="18"/>
                <w:szCs w:val="18"/>
              </w:rPr>
              <w:t>本企业证券账户之日起 </w:t>
            </w:r>
            <w:r>
              <w:rPr>
                <w:rFonts w:ascii="宋体" w:hAnsi="宋体" w:cs="宋体" w:eastAsia="宋体" w:hint="default"/>
                <w:sz w:val="18"/>
                <w:szCs w:val="18"/>
              </w:rPr>
              <w:t>36</w:t>
            </w:r>
            <w:r>
              <w:rPr>
                <w:rFonts w:ascii="宋体" w:hAnsi="宋体" w:cs="宋体" w:eastAsia="宋体" w:hint="default"/>
                <w:spacing w:val="-36"/>
                <w:sz w:val="18"/>
                <w:szCs w:val="18"/>
              </w:rPr>
              <w:t> </w:t>
            </w:r>
            <w:r>
              <w:rPr>
                <w:rFonts w:ascii="宋体" w:hAnsi="宋体" w:cs="宋体" w:eastAsia="宋体" w:hint="default"/>
                <w:spacing w:val="-7"/>
                <w:sz w:val="18"/>
                <w:szCs w:val="18"/>
              </w:rPr>
              <w:t>个月届满时，如</w:t>
            </w:r>
            <w:r>
              <w:rPr>
                <w:rFonts w:ascii="宋体" w:hAnsi="宋体" w:cs="宋体" w:eastAsia="宋体" w:hint="default"/>
                <w:sz w:val="18"/>
                <w:szCs w:val="18"/>
              </w:rPr>
              <w:t> 本人</w:t>
            </w:r>
            <w:r>
              <w:rPr>
                <w:rFonts w:ascii="宋体" w:hAnsi="宋体" w:cs="宋体" w:eastAsia="宋体" w:hint="default"/>
                <w:sz w:val="18"/>
                <w:szCs w:val="18"/>
              </w:rPr>
              <w:t>/</w:t>
            </w:r>
            <w:r>
              <w:rPr>
                <w:rFonts w:ascii="宋体" w:hAnsi="宋体" w:cs="宋体" w:eastAsia="宋体" w:hint="default"/>
                <w:sz w:val="18"/>
                <w:szCs w:val="18"/>
              </w:rPr>
              <w:t>本公司</w:t>
            </w:r>
            <w:r>
              <w:rPr>
                <w:rFonts w:ascii="宋体" w:hAnsi="宋体" w:cs="宋体" w:eastAsia="宋体" w:hint="default"/>
                <w:sz w:val="18"/>
                <w:szCs w:val="18"/>
              </w:rPr>
              <w:t>/</w:t>
            </w:r>
            <w:r>
              <w:rPr>
                <w:rFonts w:ascii="宋体" w:hAnsi="宋体" w:cs="宋体" w:eastAsia="宋体" w:hint="default"/>
                <w:sz w:val="18"/>
                <w:szCs w:val="18"/>
              </w:rPr>
              <w:t>本企业在《业绩承诺及补偿协议》项下的业绩补偿义务尚未履行 完毕，上述锁定期将顺延至补偿义务履行完毕之日。 </w:t>
            </w:r>
            <w:r>
              <w:rPr>
                <w:rFonts w:ascii="宋体" w:hAnsi="宋体" w:cs="宋体" w:eastAsia="宋体" w:hint="default"/>
                <w:sz w:val="18"/>
                <w:szCs w:val="18"/>
              </w:rPr>
              <w:t>3</w:t>
            </w:r>
            <w:r>
              <w:rPr>
                <w:rFonts w:ascii="宋体" w:hAnsi="宋体" w:cs="宋体" w:eastAsia="宋体" w:hint="default"/>
                <w:sz w:val="18"/>
                <w:szCs w:val="18"/>
              </w:rPr>
              <w:t>、在本次重大资产重组完成后 </w:t>
            </w:r>
            <w:r>
              <w:rPr>
                <w:rFonts w:ascii="宋体" w:hAnsi="宋体" w:cs="宋体" w:eastAsia="宋体" w:hint="default"/>
                <w:sz w:val="18"/>
                <w:szCs w:val="18"/>
              </w:rPr>
              <w:t>6 </w:t>
            </w:r>
            <w:r>
              <w:rPr>
                <w:rFonts w:ascii="宋体" w:hAnsi="宋体" w:cs="宋体" w:eastAsia="宋体" w:hint="default"/>
                <w:sz w:val="18"/>
                <w:szCs w:val="18"/>
              </w:rPr>
              <w:t>个月内，如上市公司股票连续 </w:t>
            </w:r>
            <w:r>
              <w:rPr>
                <w:rFonts w:ascii="宋体" w:hAnsi="宋体" w:cs="宋体" w:eastAsia="宋体" w:hint="default"/>
                <w:sz w:val="18"/>
                <w:szCs w:val="18"/>
              </w:rPr>
              <w:t>20</w:t>
            </w:r>
            <w:r>
              <w:rPr>
                <w:rFonts w:ascii="宋体" w:hAnsi="宋体" w:cs="宋体" w:eastAsia="宋体" w:hint="default"/>
                <w:spacing w:val="3"/>
                <w:sz w:val="18"/>
                <w:szCs w:val="18"/>
              </w:rPr>
              <w:t> </w:t>
            </w:r>
            <w:r>
              <w:rPr>
                <w:rFonts w:ascii="宋体" w:hAnsi="宋体" w:cs="宋体" w:eastAsia="宋体" w:hint="default"/>
                <w:sz w:val="18"/>
                <w:szCs w:val="18"/>
              </w:rPr>
              <w:t>个交易日</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的收盘价低于发行价</w:t>
            </w:r>
            <w:r>
              <w:rPr>
                <w:rFonts w:ascii="宋体" w:hAnsi="宋体" w:cs="宋体" w:eastAsia="宋体" w:hint="default"/>
                <w:spacing w:val="-85"/>
                <w:sz w:val="18"/>
                <w:szCs w:val="18"/>
              </w:rPr>
              <w:t>，</w:t>
            </w:r>
            <w:r>
              <w:rPr>
                <w:rFonts w:ascii="宋体" w:hAnsi="宋体" w:cs="宋体" w:eastAsia="宋体" w:hint="default"/>
                <w:sz w:val="18"/>
                <w:szCs w:val="18"/>
              </w:rPr>
              <w:t>或者本次重大资产重组完成后</w:t>
            </w:r>
            <w:r>
              <w:rPr>
                <w:rFonts w:ascii="宋体" w:hAnsi="宋体" w:cs="宋体" w:eastAsia="宋体" w:hint="default"/>
                <w:spacing w:val="2"/>
                <w:sz w:val="18"/>
                <w:szCs w:val="18"/>
              </w:rPr>
              <w:t> </w:t>
            </w:r>
            <w:r>
              <w:rPr>
                <w:rFonts w:ascii="宋体" w:hAnsi="宋体" w:cs="宋体" w:eastAsia="宋体" w:hint="default"/>
                <w:sz w:val="18"/>
                <w:szCs w:val="18"/>
              </w:rPr>
              <w:t>6</w:t>
            </w:r>
            <w:r>
              <w:rPr>
                <w:rFonts w:ascii="宋体" w:hAnsi="宋体" w:cs="宋体" w:eastAsia="宋体" w:hint="default"/>
                <w:spacing w:val="2"/>
                <w:sz w:val="18"/>
                <w:szCs w:val="18"/>
              </w:rPr>
              <w:t> </w:t>
            </w:r>
            <w:r>
              <w:rPr>
                <w:rFonts w:ascii="宋体" w:hAnsi="宋体" w:cs="宋体" w:eastAsia="宋体" w:hint="default"/>
                <w:sz w:val="18"/>
                <w:szCs w:val="18"/>
              </w:rPr>
              <w:t>个月</w:t>
            </w:r>
            <w:r>
              <w:rPr>
                <w:rFonts w:ascii="宋体" w:hAnsi="宋体" w:cs="宋体" w:eastAsia="宋体" w:hint="default"/>
                <w:spacing w:val="-3"/>
                <w:sz w:val="18"/>
                <w:szCs w:val="18"/>
              </w:rPr>
              <w:t>期</w:t>
            </w:r>
            <w:r>
              <w:rPr>
                <w:rFonts w:ascii="宋体" w:hAnsi="宋体" w:cs="宋体" w:eastAsia="宋体" w:hint="default"/>
                <w:sz w:val="18"/>
                <w:szCs w:val="18"/>
              </w:rPr>
              <w:t>末收盘价低于发</w:t>
            </w:r>
          </w:p>
          <w:p>
            <w:pPr>
              <w:pStyle w:val="TableParagraph"/>
              <w:spacing w:line="237" w:lineRule="auto" w:before="2"/>
              <w:ind w:left="103" w:right="17"/>
              <w:jc w:val="left"/>
              <w:rPr>
                <w:rFonts w:ascii="宋体" w:hAnsi="宋体" w:cs="宋体" w:eastAsia="宋体" w:hint="default"/>
                <w:sz w:val="18"/>
                <w:szCs w:val="18"/>
              </w:rPr>
            </w:pPr>
            <w:r>
              <w:rPr>
                <w:rFonts w:ascii="宋体" w:hAnsi="宋体" w:cs="宋体" w:eastAsia="宋体" w:hint="default"/>
                <w:spacing w:val="-3"/>
                <w:sz w:val="18"/>
                <w:szCs w:val="18"/>
              </w:rPr>
              <w:t>行价的，上述股份的锁定期自动延长至少</w:t>
            </w:r>
            <w:r>
              <w:rPr>
                <w:rFonts w:ascii="宋体" w:hAnsi="宋体" w:cs="宋体" w:eastAsia="宋体" w:hint="default"/>
                <w:spacing w:val="8"/>
                <w:sz w:val="18"/>
                <w:szCs w:val="18"/>
              </w:rPr>
              <w:t> </w:t>
            </w:r>
            <w:r>
              <w:rPr>
                <w:rFonts w:ascii="宋体" w:hAnsi="宋体" w:cs="宋体" w:eastAsia="宋体" w:hint="default"/>
                <w:sz w:val="18"/>
                <w:szCs w:val="18"/>
              </w:rPr>
              <w:t>6</w:t>
            </w:r>
            <w:r>
              <w:rPr>
                <w:rFonts w:ascii="宋体" w:hAnsi="宋体" w:cs="宋体" w:eastAsia="宋体" w:hint="default"/>
                <w:spacing w:val="9"/>
                <w:sz w:val="18"/>
                <w:szCs w:val="18"/>
              </w:rPr>
              <w:t> </w:t>
            </w:r>
            <w:r>
              <w:rPr>
                <w:rFonts w:ascii="宋体" w:hAnsi="宋体" w:cs="宋体" w:eastAsia="宋体" w:hint="default"/>
                <w:spacing w:val="-4"/>
                <w:sz w:val="18"/>
                <w:szCs w:val="18"/>
              </w:rPr>
              <w:t>个月（若上述期间上市公司发生派</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息、送股、转增股本或配股等除权除息事项的，则前述本次发行价以经除息、 除权等因素调整后的价格计算）。 </w:t>
            </w:r>
            <w:r>
              <w:rPr>
                <w:rFonts w:ascii="宋体" w:hAnsi="宋体" w:cs="宋体" w:eastAsia="宋体" w:hint="default"/>
                <w:sz w:val="18"/>
                <w:szCs w:val="18"/>
              </w:rPr>
              <w:t>4</w:t>
            </w:r>
            <w:r>
              <w:rPr>
                <w:rFonts w:ascii="宋体" w:hAnsi="宋体" w:cs="宋体" w:eastAsia="宋体" w:hint="default"/>
                <w:sz w:val="18"/>
                <w:szCs w:val="18"/>
              </w:rPr>
              <w:t>、在上述股份锁定期内，由于上市公司送股、转增股本等原因而增加的股份， 该等股份的锁定期与上述股份相同。 </w:t>
            </w:r>
            <w:r>
              <w:rPr>
                <w:rFonts w:ascii="宋体" w:hAnsi="宋体" w:cs="宋体" w:eastAsia="宋体" w:hint="default"/>
                <w:spacing w:val="-3"/>
                <w:sz w:val="18"/>
                <w:szCs w:val="18"/>
              </w:rPr>
              <w:t>5</w:t>
            </w:r>
            <w:r>
              <w:rPr>
                <w:rFonts w:ascii="宋体" w:hAnsi="宋体" w:cs="宋体" w:eastAsia="宋体" w:hint="default"/>
                <w:spacing w:val="-3"/>
                <w:sz w:val="18"/>
                <w:szCs w:val="18"/>
              </w:rPr>
              <w:t>、如前述关于本次重大资产重组中取得的上市公司股份的锁定期承诺与中国证</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券监督管理委员会的最新监管意见不相符，将根据中国证监会的监管意见进行 相应调整。</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日</w:t>
            </w:r>
          </w:p>
          <w:p>
            <w:pPr>
              <w:pStyle w:val="TableParagraph"/>
              <w:spacing w:line="234" w:lineRule="exact"/>
              <w:ind w:left="151" w:right="0"/>
              <w:jc w:val="both"/>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年度</w:t>
            </w:r>
          </w:p>
          <w:p>
            <w:pPr>
              <w:pStyle w:val="TableParagraph"/>
              <w:spacing w:line="237" w:lineRule="auto"/>
              <w:ind w:left="127" w:right="130"/>
              <w:jc w:val="both"/>
              <w:rPr>
                <w:rFonts w:ascii="宋体" w:hAnsi="宋体" w:cs="宋体" w:eastAsia="宋体" w:hint="default"/>
                <w:sz w:val="18"/>
                <w:szCs w:val="18"/>
              </w:rPr>
            </w:pPr>
            <w:r>
              <w:rPr>
                <w:rFonts w:ascii="宋体" w:hAnsi="宋体" w:cs="宋体" w:eastAsia="宋体" w:hint="default"/>
                <w:sz w:val="18"/>
                <w:szCs w:val="18"/>
              </w:rPr>
              <w:t>承诺业绩的 专项审计报 告公告后且 全部业绩补 偿义务履行 完毕之日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r>
      <w:tr>
        <w:trPr>
          <w:trHeight w:val="3512" w:hRule="exact"/>
        </w:trPr>
        <w:tc>
          <w:tcPr>
            <w:tcW w:w="1164" w:type="dxa"/>
            <w:vMerge/>
            <w:tcBorders>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32" w:lineRule="exact"/>
              <w:ind w:left="167" w:right="167"/>
              <w:jc w:val="left"/>
              <w:rPr>
                <w:rFonts w:ascii="宋体" w:hAnsi="宋体" w:cs="宋体" w:eastAsia="宋体" w:hint="default"/>
                <w:sz w:val="18"/>
                <w:szCs w:val="18"/>
              </w:rPr>
            </w:pPr>
            <w:r>
              <w:rPr>
                <w:rFonts w:ascii="宋体" w:hAnsi="宋体" w:cs="宋体" w:eastAsia="宋体" w:hint="default"/>
                <w:sz w:val="18"/>
                <w:szCs w:val="18"/>
              </w:rPr>
              <w:t>股份 限售</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37" w:lineRule="auto"/>
              <w:ind w:left="119" w:right="119"/>
              <w:jc w:val="both"/>
              <w:rPr>
                <w:rFonts w:ascii="宋体" w:hAnsi="宋体" w:cs="宋体" w:eastAsia="宋体" w:hint="default"/>
                <w:sz w:val="18"/>
                <w:szCs w:val="18"/>
              </w:rPr>
            </w:pPr>
            <w:r>
              <w:rPr>
                <w:rFonts w:ascii="宋体" w:hAnsi="宋体" w:cs="宋体" w:eastAsia="宋体" w:hint="default"/>
                <w:sz w:val="18"/>
                <w:szCs w:val="18"/>
              </w:rPr>
              <w:t>除周鸿祎、 天津奇信志 成科技有限 公司、天津 众信股权投 资合伙企业</w:t>
            </w:r>
          </w:p>
          <w:p>
            <w:pPr>
              <w:pStyle w:val="TableParagraph"/>
              <w:spacing w:line="237" w:lineRule="auto"/>
              <w:ind w:left="119" w:right="119" w:firstLine="91"/>
              <w:jc w:val="left"/>
              <w:rPr>
                <w:rFonts w:ascii="宋体" w:hAnsi="宋体" w:cs="宋体" w:eastAsia="宋体" w:hint="default"/>
                <w:sz w:val="18"/>
                <w:szCs w:val="18"/>
              </w:rPr>
            </w:pPr>
            <w:r>
              <w:rPr>
                <w:rFonts w:ascii="宋体" w:hAnsi="宋体" w:cs="宋体" w:eastAsia="宋体" w:hint="default"/>
                <w:sz w:val="18"/>
                <w:szCs w:val="18"/>
              </w:rPr>
              <w:t>（有限合 伙）外的其 他交易对方</w:t>
            </w:r>
          </w:p>
        </w:tc>
        <w:tc>
          <w:tcPr>
            <w:tcW w:w="63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、若本人</w:t>
            </w:r>
            <w:r>
              <w:rPr>
                <w:rFonts w:ascii="宋体" w:hAnsi="宋体" w:cs="宋体" w:eastAsia="宋体" w:hint="default"/>
                <w:sz w:val="18"/>
                <w:szCs w:val="18"/>
              </w:rPr>
              <w:t>/</w:t>
            </w:r>
            <w:r>
              <w:rPr>
                <w:rFonts w:ascii="宋体" w:hAnsi="宋体" w:cs="宋体" w:eastAsia="宋体" w:hint="default"/>
                <w:sz w:val="18"/>
                <w:szCs w:val="18"/>
              </w:rPr>
              <w:t>本公司</w:t>
            </w:r>
            <w:r>
              <w:rPr>
                <w:rFonts w:ascii="宋体" w:hAnsi="宋体" w:cs="宋体" w:eastAsia="宋体" w:hint="default"/>
                <w:sz w:val="18"/>
                <w:szCs w:val="18"/>
              </w:rPr>
              <w:t>/</w:t>
            </w:r>
            <w:r>
              <w:rPr>
                <w:rFonts w:ascii="宋体" w:hAnsi="宋体" w:cs="宋体" w:eastAsia="宋体" w:hint="default"/>
                <w:sz w:val="18"/>
                <w:szCs w:val="18"/>
              </w:rPr>
              <w:t>企业通过本次重大资产重组取得上市公司的股份时，本人</w:t>
            </w:r>
            <w:r>
              <w:rPr>
                <w:rFonts w:ascii="宋体" w:hAnsi="宋体" w:cs="宋体" w:eastAsia="宋体" w:hint="default"/>
                <w:sz w:val="18"/>
                <w:szCs w:val="18"/>
              </w:rPr>
              <w:t>/</w:t>
            </w:r>
          </w:p>
          <w:p>
            <w:pPr>
              <w:pStyle w:val="TableParagraph"/>
              <w:spacing w:line="237" w:lineRule="auto"/>
              <w:ind w:left="103" w:right="12"/>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z w:val="18"/>
                <w:szCs w:val="18"/>
              </w:rPr>
              <w:t>/</w:t>
            </w:r>
            <w:r>
              <w:rPr>
                <w:rFonts w:ascii="宋体" w:hAnsi="宋体" w:cs="宋体" w:eastAsia="宋体" w:hint="default"/>
                <w:sz w:val="18"/>
                <w:szCs w:val="18"/>
              </w:rPr>
              <w:t>本企业直接或间接持有三六零权益未满 </w:t>
            </w:r>
            <w:r>
              <w:rPr>
                <w:rFonts w:ascii="宋体" w:hAnsi="宋体" w:cs="宋体" w:eastAsia="宋体" w:hint="default"/>
                <w:sz w:val="18"/>
                <w:szCs w:val="18"/>
              </w:rPr>
              <w:t>12 </w:t>
            </w:r>
            <w:r>
              <w:rPr>
                <w:rFonts w:ascii="宋体" w:hAnsi="宋体" w:cs="宋体" w:eastAsia="宋体" w:hint="default"/>
                <w:spacing w:val="-7"/>
                <w:sz w:val="18"/>
                <w:szCs w:val="18"/>
              </w:rPr>
              <w:t>个月，则本人</w:t>
            </w:r>
            <w:r>
              <w:rPr>
                <w:rFonts w:ascii="宋体" w:hAnsi="宋体" w:cs="宋体" w:eastAsia="宋体" w:hint="default"/>
                <w:spacing w:val="-7"/>
                <w:sz w:val="18"/>
                <w:szCs w:val="18"/>
              </w:rPr>
              <w:t>/</w:t>
            </w:r>
            <w:r>
              <w:rPr>
                <w:rFonts w:ascii="宋体" w:hAnsi="宋体" w:cs="宋体" w:eastAsia="宋体" w:hint="default"/>
                <w:spacing w:val="-7"/>
                <w:sz w:val="18"/>
                <w:szCs w:val="18"/>
              </w:rPr>
              <w:t>本公司</w:t>
            </w:r>
            <w:r>
              <w:rPr>
                <w:rFonts w:ascii="宋体" w:hAnsi="宋体" w:cs="宋体" w:eastAsia="宋体" w:hint="default"/>
                <w:spacing w:val="-7"/>
                <w:sz w:val="18"/>
                <w:szCs w:val="18"/>
              </w:rPr>
              <w:t>/</w:t>
            </w:r>
            <w:r>
              <w:rPr>
                <w:rFonts w:ascii="宋体" w:hAnsi="宋体" w:cs="宋体" w:eastAsia="宋体" w:hint="default"/>
                <w:spacing w:val="-7"/>
                <w:sz w:val="18"/>
                <w:szCs w:val="18"/>
              </w:rPr>
              <w:t>本企</w:t>
            </w:r>
            <w:r>
              <w:rPr>
                <w:rFonts w:ascii="宋体" w:hAnsi="宋体" w:cs="宋体" w:eastAsia="宋体" w:hint="default"/>
                <w:spacing w:val="-82"/>
                <w:sz w:val="18"/>
                <w:szCs w:val="18"/>
              </w:rPr>
              <w:t> </w:t>
            </w:r>
            <w:r>
              <w:rPr>
                <w:rFonts w:ascii="宋体" w:hAnsi="宋体" w:cs="宋体" w:eastAsia="宋体" w:hint="default"/>
                <w:sz w:val="18"/>
                <w:szCs w:val="18"/>
              </w:rPr>
              <w:t>业因本次重大资产重组取得的上市公司股份自登记至本人</w:t>
            </w:r>
            <w:r>
              <w:rPr>
                <w:rFonts w:ascii="宋体" w:hAnsi="宋体" w:cs="宋体" w:eastAsia="宋体" w:hint="default"/>
                <w:sz w:val="18"/>
                <w:szCs w:val="18"/>
              </w:rPr>
              <w:t>/</w:t>
            </w:r>
            <w:r>
              <w:rPr>
                <w:rFonts w:ascii="宋体" w:hAnsi="宋体" w:cs="宋体" w:eastAsia="宋体" w:hint="default"/>
                <w:sz w:val="18"/>
                <w:szCs w:val="18"/>
              </w:rPr>
              <w:t>本公司</w:t>
            </w:r>
            <w:r>
              <w:rPr>
                <w:rFonts w:ascii="宋体" w:hAnsi="宋体" w:cs="宋体" w:eastAsia="宋体" w:hint="default"/>
                <w:sz w:val="18"/>
                <w:szCs w:val="18"/>
              </w:rPr>
              <w:t>/</w:t>
            </w:r>
            <w:r>
              <w:rPr>
                <w:rFonts w:ascii="宋体" w:hAnsi="宋体" w:cs="宋体" w:eastAsia="宋体" w:hint="default"/>
                <w:sz w:val="18"/>
                <w:szCs w:val="18"/>
              </w:rPr>
              <w:t>本企业证券</w:t>
            </w:r>
            <w:r>
              <w:rPr>
                <w:rFonts w:ascii="宋体" w:hAnsi="宋体" w:cs="宋体" w:eastAsia="宋体" w:hint="default"/>
                <w:spacing w:val="-87"/>
                <w:sz w:val="18"/>
                <w:szCs w:val="18"/>
              </w:rPr>
              <w:t> </w:t>
            </w:r>
            <w:r>
              <w:rPr>
                <w:rFonts w:ascii="宋体" w:hAnsi="宋体" w:cs="宋体" w:eastAsia="宋体" w:hint="default"/>
                <w:sz w:val="18"/>
                <w:szCs w:val="18"/>
              </w:rPr>
              <w:t>账户之日起</w:t>
            </w:r>
            <w:r>
              <w:rPr>
                <w:rFonts w:ascii="宋体" w:hAnsi="宋体" w:cs="宋体" w:eastAsia="宋体" w:hint="default"/>
                <w:spacing w:val="13"/>
                <w:sz w:val="18"/>
                <w:szCs w:val="18"/>
              </w:rPr>
              <w:t> </w:t>
            </w:r>
            <w:r>
              <w:rPr>
                <w:rFonts w:ascii="宋体" w:hAnsi="宋体" w:cs="宋体" w:eastAsia="宋体" w:hint="default"/>
                <w:sz w:val="18"/>
                <w:szCs w:val="18"/>
              </w:rPr>
              <w:t>36</w:t>
            </w:r>
            <w:r>
              <w:rPr>
                <w:rFonts w:ascii="宋体" w:hAnsi="宋体" w:cs="宋体" w:eastAsia="宋体" w:hint="default"/>
                <w:spacing w:val="12"/>
                <w:sz w:val="18"/>
                <w:szCs w:val="18"/>
              </w:rPr>
              <w:t> </w:t>
            </w:r>
            <w:r>
              <w:rPr>
                <w:rFonts w:ascii="宋体" w:hAnsi="宋体" w:cs="宋体" w:eastAsia="宋体" w:hint="default"/>
                <w:spacing w:val="-4"/>
                <w:sz w:val="18"/>
                <w:szCs w:val="18"/>
              </w:rPr>
              <w:t>个月届满之日与本人</w:t>
            </w:r>
            <w:r>
              <w:rPr>
                <w:rFonts w:ascii="宋体" w:hAnsi="宋体" w:cs="宋体" w:eastAsia="宋体" w:hint="default"/>
                <w:spacing w:val="-4"/>
                <w:sz w:val="18"/>
                <w:szCs w:val="18"/>
              </w:rPr>
              <w:t>/</w:t>
            </w:r>
            <w:r>
              <w:rPr>
                <w:rFonts w:ascii="宋体" w:hAnsi="宋体" w:cs="宋体" w:eastAsia="宋体" w:hint="default"/>
                <w:spacing w:val="-4"/>
                <w:sz w:val="18"/>
                <w:szCs w:val="18"/>
              </w:rPr>
              <w:t>本公司</w:t>
            </w:r>
            <w:r>
              <w:rPr>
                <w:rFonts w:ascii="宋体" w:hAnsi="宋体" w:cs="宋体" w:eastAsia="宋体" w:hint="default"/>
                <w:spacing w:val="-4"/>
                <w:sz w:val="18"/>
                <w:szCs w:val="18"/>
              </w:rPr>
              <w:t>/</w:t>
            </w:r>
            <w:r>
              <w:rPr>
                <w:rFonts w:ascii="宋体" w:hAnsi="宋体" w:cs="宋体" w:eastAsia="宋体" w:hint="default"/>
                <w:spacing w:val="-4"/>
                <w:sz w:val="18"/>
                <w:szCs w:val="18"/>
              </w:rPr>
              <w:t>本企业在《业绩承诺及补偿协议》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项下的业绩补偿义务履行完毕之日中较晚之日（若无业绩补偿义务，则为关于 承诺业绩的专项审计报告公告之日）前不得转让。 </w:t>
            </w:r>
            <w:r>
              <w:rPr>
                <w:rFonts w:ascii="宋体" w:hAnsi="宋体" w:cs="宋体" w:eastAsia="宋体" w:hint="default"/>
                <w:sz w:val="18"/>
                <w:szCs w:val="18"/>
              </w:rPr>
              <w:t>2</w:t>
            </w:r>
            <w:r>
              <w:rPr>
                <w:rFonts w:ascii="宋体" w:hAnsi="宋体" w:cs="宋体" w:eastAsia="宋体" w:hint="default"/>
                <w:sz w:val="18"/>
                <w:szCs w:val="18"/>
              </w:rPr>
              <w:t>、若本人</w:t>
            </w:r>
            <w:r>
              <w:rPr>
                <w:rFonts w:ascii="宋体" w:hAnsi="宋体" w:cs="宋体" w:eastAsia="宋体" w:hint="default"/>
                <w:sz w:val="18"/>
                <w:szCs w:val="18"/>
              </w:rPr>
              <w:t>/</w:t>
            </w:r>
            <w:r>
              <w:rPr>
                <w:rFonts w:ascii="宋体" w:hAnsi="宋体" w:cs="宋体" w:eastAsia="宋体" w:hint="default"/>
                <w:sz w:val="18"/>
                <w:szCs w:val="18"/>
              </w:rPr>
              <w:t>本公司</w:t>
            </w:r>
            <w:r>
              <w:rPr>
                <w:rFonts w:ascii="宋体" w:hAnsi="宋体" w:cs="宋体" w:eastAsia="宋体" w:hint="default"/>
                <w:sz w:val="18"/>
                <w:szCs w:val="18"/>
              </w:rPr>
              <w:t>/</w:t>
            </w:r>
            <w:r>
              <w:rPr>
                <w:rFonts w:ascii="宋体" w:hAnsi="宋体" w:cs="宋体" w:eastAsia="宋体" w:hint="default"/>
                <w:sz w:val="18"/>
                <w:szCs w:val="18"/>
              </w:rPr>
              <w:t>企业通过本次重大资产重组取得上市公司的股份时，本人</w:t>
            </w:r>
            <w:r>
              <w:rPr>
                <w:rFonts w:ascii="宋体" w:hAnsi="宋体" w:cs="宋体" w:eastAsia="宋体" w:hint="default"/>
                <w:sz w:val="18"/>
                <w:szCs w:val="18"/>
              </w:rPr>
              <w:t>/ </w:t>
            </w:r>
            <w:r>
              <w:rPr>
                <w:rFonts w:ascii="宋体" w:hAnsi="宋体" w:cs="宋体" w:eastAsia="宋体" w:hint="default"/>
                <w:sz w:val="18"/>
                <w:szCs w:val="18"/>
              </w:rPr>
              <w:t>本公司</w:t>
            </w:r>
            <w:r>
              <w:rPr>
                <w:rFonts w:ascii="宋体" w:hAnsi="宋体" w:cs="宋体" w:eastAsia="宋体" w:hint="default"/>
                <w:sz w:val="18"/>
                <w:szCs w:val="18"/>
              </w:rPr>
              <w:t>/</w:t>
            </w:r>
            <w:r>
              <w:rPr>
                <w:rFonts w:ascii="宋体" w:hAnsi="宋体" w:cs="宋体" w:eastAsia="宋体" w:hint="default"/>
                <w:sz w:val="18"/>
                <w:szCs w:val="18"/>
              </w:rPr>
              <w:t>本企业直接或间接持有三六零权益已满 </w:t>
            </w:r>
            <w:r>
              <w:rPr>
                <w:rFonts w:ascii="宋体" w:hAnsi="宋体" w:cs="宋体" w:eastAsia="宋体" w:hint="default"/>
                <w:sz w:val="18"/>
                <w:szCs w:val="18"/>
              </w:rPr>
              <w:t>12 </w:t>
            </w:r>
            <w:r>
              <w:rPr>
                <w:rFonts w:ascii="宋体" w:hAnsi="宋体" w:cs="宋体" w:eastAsia="宋体" w:hint="default"/>
                <w:spacing w:val="-7"/>
                <w:sz w:val="18"/>
                <w:szCs w:val="18"/>
              </w:rPr>
              <w:t>个月，则本人</w:t>
            </w:r>
            <w:r>
              <w:rPr>
                <w:rFonts w:ascii="宋体" w:hAnsi="宋体" w:cs="宋体" w:eastAsia="宋体" w:hint="default"/>
                <w:spacing w:val="-7"/>
                <w:sz w:val="18"/>
                <w:szCs w:val="18"/>
              </w:rPr>
              <w:t>/</w:t>
            </w:r>
            <w:r>
              <w:rPr>
                <w:rFonts w:ascii="宋体" w:hAnsi="宋体" w:cs="宋体" w:eastAsia="宋体" w:hint="default"/>
                <w:spacing w:val="-7"/>
                <w:sz w:val="18"/>
                <w:szCs w:val="18"/>
              </w:rPr>
              <w:t>本公司</w:t>
            </w:r>
            <w:r>
              <w:rPr>
                <w:rFonts w:ascii="宋体" w:hAnsi="宋体" w:cs="宋体" w:eastAsia="宋体" w:hint="default"/>
                <w:spacing w:val="-7"/>
                <w:sz w:val="18"/>
                <w:szCs w:val="18"/>
              </w:rPr>
              <w:t>/</w:t>
            </w:r>
            <w:r>
              <w:rPr>
                <w:rFonts w:ascii="宋体" w:hAnsi="宋体" w:cs="宋体" w:eastAsia="宋体" w:hint="default"/>
                <w:spacing w:val="-7"/>
                <w:sz w:val="18"/>
                <w:szCs w:val="18"/>
              </w:rPr>
              <w:t>本企</w:t>
            </w:r>
            <w:r>
              <w:rPr>
                <w:rFonts w:ascii="宋体" w:hAnsi="宋体" w:cs="宋体" w:eastAsia="宋体" w:hint="default"/>
                <w:spacing w:val="-82"/>
                <w:sz w:val="18"/>
                <w:szCs w:val="18"/>
              </w:rPr>
              <w:t> </w:t>
            </w:r>
            <w:r>
              <w:rPr>
                <w:rFonts w:ascii="宋体" w:hAnsi="宋体" w:cs="宋体" w:eastAsia="宋体" w:hint="default"/>
                <w:sz w:val="18"/>
                <w:szCs w:val="18"/>
              </w:rPr>
              <w:t>业因本次重大资产重组取得的上市公司股份自登记至本人</w:t>
            </w:r>
            <w:r>
              <w:rPr>
                <w:rFonts w:ascii="宋体" w:hAnsi="宋体" w:cs="宋体" w:eastAsia="宋体" w:hint="default"/>
                <w:sz w:val="18"/>
                <w:szCs w:val="18"/>
              </w:rPr>
              <w:t>/</w:t>
            </w:r>
            <w:r>
              <w:rPr>
                <w:rFonts w:ascii="宋体" w:hAnsi="宋体" w:cs="宋体" w:eastAsia="宋体" w:hint="default"/>
                <w:sz w:val="18"/>
                <w:szCs w:val="18"/>
              </w:rPr>
              <w:t>本公司</w:t>
            </w:r>
            <w:r>
              <w:rPr>
                <w:rFonts w:ascii="宋体" w:hAnsi="宋体" w:cs="宋体" w:eastAsia="宋体" w:hint="default"/>
                <w:sz w:val="18"/>
                <w:szCs w:val="18"/>
              </w:rPr>
              <w:t>/</w:t>
            </w:r>
            <w:r>
              <w:rPr>
                <w:rFonts w:ascii="宋体" w:hAnsi="宋体" w:cs="宋体" w:eastAsia="宋体" w:hint="default"/>
                <w:sz w:val="18"/>
                <w:szCs w:val="18"/>
              </w:rPr>
              <w:t>本企业证券</w:t>
            </w:r>
            <w:r>
              <w:rPr>
                <w:rFonts w:ascii="宋体" w:hAnsi="宋体" w:cs="宋体" w:eastAsia="宋体" w:hint="default"/>
                <w:spacing w:val="-87"/>
                <w:sz w:val="18"/>
                <w:szCs w:val="18"/>
              </w:rPr>
              <w:t> </w:t>
            </w:r>
            <w:r>
              <w:rPr>
                <w:rFonts w:ascii="宋体" w:hAnsi="宋体" w:cs="宋体" w:eastAsia="宋体" w:hint="default"/>
                <w:sz w:val="18"/>
                <w:szCs w:val="18"/>
              </w:rPr>
              <w:t>账户之日起 </w:t>
            </w:r>
            <w:r>
              <w:rPr>
                <w:rFonts w:ascii="宋体" w:hAnsi="宋体" w:cs="宋体" w:eastAsia="宋体" w:hint="default"/>
                <w:sz w:val="18"/>
                <w:szCs w:val="18"/>
              </w:rPr>
              <w:t>24</w:t>
            </w:r>
            <w:r>
              <w:rPr>
                <w:rFonts w:ascii="宋体" w:hAnsi="宋体" w:cs="宋体" w:eastAsia="宋体" w:hint="default"/>
                <w:spacing w:val="-1"/>
                <w:sz w:val="18"/>
                <w:szCs w:val="18"/>
              </w:rPr>
              <w:t> </w:t>
            </w:r>
            <w:r>
              <w:rPr>
                <w:rFonts w:ascii="宋体" w:hAnsi="宋体" w:cs="宋体" w:eastAsia="宋体" w:hint="default"/>
                <w:sz w:val="18"/>
                <w:szCs w:val="18"/>
              </w:rPr>
              <w:t>个月届满之日前不得转让，但前述期限届满后，所持上市公司 股份按如下比例分期解锁：</w:t>
            </w:r>
          </w:p>
          <w:p>
            <w:pPr>
              <w:pStyle w:val="TableParagraph"/>
              <w:spacing w:line="237" w:lineRule="auto" w:before="2"/>
              <w:ind w:left="103" w:right="101"/>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）第一期：自因本次重大资产重组而取得的股份自登记至本人</w:t>
            </w:r>
            <w:r>
              <w:rPr>
                <w:rFonts w:ascii="宋体" w:hAnsi="宋体" w:cs="宋体" w:eastAsia="宋体" w:hint="default"/>
                <w:spacing w:val="-3"/>
                <w:sz w:val="18"/>
                <w:szCs w:val="18"/>
              </w:rPr>
              <w:t>/</w:t>
            </w:r>
            <w:r>
              <w:rPr>
                <w:rFonts w:ascii="宋体" w:hAnsi="宋体" w:cs="宋体" w:eastAsia="宋体" w:hint="default"/>
                <w:spacing w:val="-3"/>
                <w:sz w:val="18"/>
                <w:szCs w:val="18"/>
              </w:rPr>
              <w:t>本公司</w:t>
            </w:r>
            <w:r>
              <w:rPr>
                <w:rFonts w:ascii="宋体" w:hAnsi="宋体" w:cs="宋体" w:eastAsia="宋体" w:hint="default"/>
                <w:spacing w:val="-3"/>
                <w:sz w:val="18"/>
                <w:szCs w:val="18"/>
              </w:rPr>
              <w:t>/</w:t>
            </w:r>
            <w:r>
              <w:rPr>
                <w:rFonts w:ascii="宋体" w:hAnsi="宋体" w:cs="宋体" w:eastAsia="宋体" w:hint="default"/>
                <w:spacing w:val="-3"/>
                <w:sz w:val="18"/>
                <w:szCs w:val="18"/>
              </w:rPr>
              <w:t>本企</w:t>
            </w:r>
            <w:r>
              <w:rPr>
                <w:rFonts w:ascii="宋体" w:hAnsi="宋体" w:cs="宋体" w:eastAsia="宋体" w:hint="default"/>
                <w:spacing w:val="-66"/>
                <w:sz w:val="18"/>
                <w:szCs w:val="18"/>
              </w:rPr>
              <w:t> </w:t>
            </w:r>
            <w:r>
              <w:rPr>
                <w:rFonts w:ascii="宋体" w:hAnsi="宋体" w:cs="宋体" w:eastAsia="宋体" w:hint="default"/>
                <w:sz w:val="18"/>
                <w:szCs w:val="18"/>
              </w:rPr>
              <w:t>业证券账户之日起 </w:t>
            </w:r>
            <w:r>
              <w:rPr>
                <w:rFonts w:ascii="宋体" w:hAnsi="宋体" w:cs="宋体" w:eastAsia="宋体" w:hint="default"/>
                <w:sz w:val="18"/>
                <w:szCs w:val="18"/>
              </w:rPr>
              <w:t>24</w:t>
            </w:r>
            <w:r>
              <w:rPr>
                <w:rFonts w:ascii="宋体" w:hAnsi="宋体" w:cs="宋体" w:eastAsia="宋体" w:hint="default"/>
                <w:spacing w:val="-4"/>
                <w:sz w:val="18"/>
                <w:szCs w:val="18"/>
              </w:rPr>
              <w:t> </w:t>
            </w:r>
            <w:r>
              <w:rPr>
                <w:rFonts w:ascii="宋体" w:hAnsi="宋体" w:cs="宋体" w:eastAsia="宋体" w:hint="default"/>
                <w:sz w:val="18"/>
                <w:szCs w:val="18"/>
              </w:rPr>
              <w:t>个月届满之日与本人</w:t>
            </w:r>
            <w:r>
              <w:rPr>
                <w:rFonts w:ascii="宋体" w:hAnsi="宋体" w:cs="宋体" w:eastAsia="宋体" w:hint="default"/>
                <w:sz w:val="18"/>
                <w:szCs w:val="18"/>
              </w:rPr>
              <w:t>/</w:t>
            </w:r>
            <w:r>
              <w:rPr>
                <w:rFonts w:ascii="宋体" w:hAnsi="宋体" w:cs="宋体" w:eastAsia="宋体" w:hint="default"/>
                <w:sz w:val="18"/>
                <w:szCs w:val="18"/>
              </w:rPr>
              <w:t>本公司</w:t>
            </w:r>
            <w:r>
              <w:rPr>
                <w:rFonts w:ascii="宋体" w:hAnsi="宋体" w:cs="宋体" w:eastAsia="宋体" w:hint="default"/>
                <w:sz w:val="18"/>
                <w:szCs w:val="18"/>
              </w:rPr>
              <w:t>/</w:t>
            </w:r>
            <w:r>
              <w:rPr>
                <w:rFonts w:ascii="宋体" w:hAnsi="宋体" w:cs="宋体" w:eastAsia="宋体" w:hint="default"/>
                <w:sz w:val="18"/>
                <w:szCs w:val="18"/>
              </w:rPr>
              <w:t>本企业对之前年度业绩补 </w:t>
            </w:r>
            <w:r>
              <w:rPr>
                <w:rFonts w:ascii="宋体" w:hAnsi="宋体" w:cs="宋体" w:eastAsia="宋体" w:hint="default"/>
                <w:spacing w:val="-3"/>
                <w:sz w:val="18"/>
                <w:szCs w:val="18"/>
              </w:rPr>
              <w:t>偿义务</w:t>
            </w:r>
            <w:r>
              <w:rPr>
                <w:rFonts w:ascii="宋体" w:hAnsi="宋体" w:cs="宋体" w:eastAsia="宋体" w:hint="default"/>
                <w:spacing w:val="-3"/>
                <w:sz w:val="18"/>
                <w:szCs w:val="18"/>
              </w:rPr>
              <w:t>(</w:t>
            </w:r>
            <w:r>
              <w:rPr>
                <w:rFonts w:ascii="宋体" w:hAnsi="宋体" w:cs="宋体" w:eastAsia="宋体" w:hint="default"/>
                <w:spacing w:val="-3"/>
                <w:sz w:val="18"/>
                <w:szCs w:val="18"/>
              </w:rPr>
              <w:t>若有</w:t>
            </w:r>
            <w:r>
              <w:rPr>
                <w:rFonts w:ascii="宋体" w:hAnsi="宋体" w:cs="宋体" w:eastAsia="宋体" w:hint="default"/>
                <w:spacing w:val="-3"/>
                <w:sz w:val="18"/>
                <w:szCs w:val="18"/>
              </w:rPr>
              <w:t>)</w:t>
            </w:r>
            <w:r>
              <w:rPr>
                <w:rFonts w:ascii="宋体" w:hAnsi="宋体" w:cs="宋体" w:eastAsia="宋体" w:hint="default"/>
                <w:spacing w:val="-3"/>
                <w:sz w:val="18"/>
                <w:szCs w:val="18"/>
              </w:rPr>
              <w:t>履行完毕之日</w:t>
            </w:r>
            <w:r>
              <w:rPr>
                <w:rFonts w:ascii="宋体" w:hAnsi="宋体" w:cs="宋体" w:eastAsia="宋体" w:hint="default"/>
                <w:spacing w:val="-3"/>
                <w:sz w:val="18"/>
                <w:szCs w:val="18"/>
              </w:rPr>
              <w:t>(</w:t>
            </w:r>
            <w:r>
              <w:rPr>
                <w:rFonts w:ascii="宋体" w:hAnsi="宋体" w:cs="宋体" w:eastAsia="宋体" w:hint="default"/>
                <w:spacing w:val="-3"/>
                <w:sz w:val="18"/>
                <w:szCs w:val="18"/>
              </w:rPr>
              <w:t>若无业绩补偿义务，则为关于承诺业绩的专项审计</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报告公告之日</w:t>
            </w:r>
            <w:r>
              <w:rPr>
                <w:rFonts w:ascii="宋体" w:hAnsi="宋体" w:cs="宋体" w:eastAsia="宋体" w:hint="default"/>
                <w:spacing w:val="-3"/>
                <w:sz w:val="18"/>
                <w:szCs w:val="18"/>
              </w:rPr>
              <w:t>)</w:t>
            </w:r>
            <w:r>
              <w:rPr>
                <w:rFonts w:ascii="宋体" w:hAnsi="宋体" w:cs="宋体" w:eastAsia="宋体" w:hint="default"/>
                <w:spacing w:val="-3"/>
                <w:sz w:val="18"/>
                <w:szCs w:val="18"/>
              </w:rPr>
              <w:t>中较晚的日期，本人</w:t>
            </w:r>
            <w:r>
              <w:rPr>
                <w:rFonts w:ascii="宋体" w:hAnsi="宋体" w:cs="宋体" w:eastAsia="宋体" w:hint="default"/>
                <w:spacing w:val="-3"/>
                <w:sz w:val="18"/>
                <w:szCs w:val="18"/>
              </w:rPr>
              <w:t>/</w:t>
            </w:r>
            <w:r>
              <w:rPr>
                <w:rFonts w:ascii="宋体" w:hAnsi="宋体" w:cs="宋体" w:eastAsia="宋体" w:hint="default"/>
                <w:spacing w:val="-3"/>
                <w:sz w:val="18"/>
                <w:szCs w:val="18"/>
              </w:rPr>
              <w:t>本公司</w:t>
            </w:r>
            <w:r>
              <w:rPr>
                <w:rFonts w:ascii="宋体" w:hAnsi="宋体" w:cs="宋体" w:eastAsia="宋体" w:hint="default"/>
                <w:spacing w:val="-3"/>
                <w:sz w:val="18"/>
                <w:szCs w:val="18"/>
              </w:rPr>
              <w:t>/</w:t>
            </w:r>
            <w:r>
              <w:rPr>
                <w:rFonts w:ascii="宋体" w:hAnsi="宋体" w:cs="宋体" w:eastAsia="宋体" w:hint="default"/>
                <w:spacing w:val="-3"/>
                <w:sz w:val="18"/>
                <w:szCs w:val="18"/>
              </w:rPr>
              <w:t>本企业本次取得的股份总数的</w:t>
            </w:r>
            <w:r>
              <w:rPr>
                <w:rFonts w:ascii="宋体" w:hAnsi="宋体" w:cs="宋体" w:eastAsia="宋体" w:hint="default"/>
                <w:spacing w:val="18"/>
                <w:sz w:val="18"/>
                <w:szCs w:val="18"/>
              </w:rPr>
              <w:t> </w:t>
            </w:r>
            <w:r>
              <w:rPr>
                <w:rFonts w:ascii="宋体" w:hAnsi="宋体" w:cs="宋体" w:eastAsia="宋体" w:hint="default"/>
                <w:spacing w:val="-1"/>
                <w:sz w:val="18"/>
                <w:szCs w:val="18"/>
              </w:rPr>
              <w:t>60%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日至</w:t>
            </w:r>
          </w:p>
          <w:p>
            <w:pPr>
              <w:pStyle w:val="TableParagraph"/>
              <w:spacing w:line="237" w:lineRule="auto"/>
              <w:ind w:left="105" w:right="104"/>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年度承 诺业绩的专 项审计报告 公告后且全 部业绩补偿 义务履行完 毕之日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8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6840" w:h="11910" w:orient="landscape"/>
          <w:pgMar w:header="857" w:footer="1218" w:top="1320" w:bottom="140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1164"/>
        <w:gridCol w:w="706"/>
        <w:gridCol w:w="1150"/>
        <w:gridCol w:w="6344"/>
        <w:gridCol w:w="1169"/>
        <w:gridCol w:w="720"/>
        <w:gridCol w:w="720"/>
        <w:gridCol w:w="1008"/>
        <w:gridCol w:w="1124"/>
      </w:tblGrid>
      <w:tr>
        <w:trPr>
          <w:trHeight w:val="1176"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15" w:right="0"/>
              <w:jc w:val="left"/>
              <w:rPr>
                <w:rFonts w:ascii="宋体" w:hAnsi="宋体" w:cs="宋体" w:eastAsia="宋体" w:hint="default"/>
                <w:sz w:val="18"/>
                <w:szCs w:val="18"/>
              </w:rPr>
            </w:pPr>
            <w:r>
              <w:rPr>
                <w:rFonts w:ascii="宋体" w:hAnsi="宋体" w:cs="宋体" w:eastAsia="宋体" w:hint="default"/>
                <w:sz w:val="18"/>
                <w:szCs w:val="18"/>
              </w:rPr>
              <w:t>承诺背景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67" w:right="167"/>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2986" w:right="2986"/>
              <w:jc w:val="center"/>
              <w:rPr>
                <w:rFonts w:ascii="宋体" w:hAnsi="宋体" w:cs="宋体" w:eastAsia="宋体" w:hint="default"/>
                <w:sz w:val="18"/>
                <w:szCs w:val="18"/>
              </w:rPr>
            </w:pPr>
            <w:r>
              <w:rPr>
                <w:rFonts w:ascii="宋体" w:hAnsi="宋体" w:cs="宋体" w:eastAsia="宋体" w:hint="default"/>
                <w:sz w:val="18"/>
                <w:szCs w:val="18"/>
              </w:rPr>
              <w:t>承诺 内容</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398" w:right="130" w:hanging="272"/>
              <w:jc w:val="left"/>
              <w:rPr>
                <w:rFonts w:ascii="宋体" w:hAnsi="宋体" w:cs="宋体" w:eastAsia="宋体" w:hint="default"/>
                <w:sz w:val="18"/>
                <w:szCs w:val="18"/>
              </w:rPr>
            </w:pPr>
            <w:r>
              <w:rPr>
                <w:rFonts w:ascii="宋体" w:hAnsi="宋体" w:cs="宋体" w:eastAsia="宋体" w:hint="default"/>
                <w:sz w:val="18"/>
                <w:szCs w:val="18"/>
              </w:rPr>
              <w:t>承诺时间及 期限</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5" w:right="173"/>
              <w:jc w:val="both"/>
              <w:rPr>
                <w:rFonts w:ascii="宋体" w:hAnsi="宋体" w:cs="宋体" w:eastAsia="宋体" w:hint="default"/>
                <w:sz w:val="18"/>
                <w:szCs w:val="18"/>
              </w:rPr>
            </w:pPr>
            <w:r>
              <w:rPr>
                <w:rFonts w:ascii="宋体" w:hAnsi="宋体" w:cs="宋体" w:eastAsia="宋体" w:hint="default"/>
                <w:sz w:val="18"/>
                <w:szCs w:val="18"/>
              </w:rPr>
              <w:t>是否 有履 行期 限</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5" w:right="173"/>
              <w:jc w:val="both"/>
              <w:rPr>
                <w:rFonts w:ascii="宋体" w:hAnsi="宋体" w:cs="宋体" w:eastAsia="宋体" w:hint="default"/>
                <w:sz w:val="18"/>
                <w:szCs w:val="18"/>
              </w:rPr>
            </w:pPr>
            <w:r>
              <w:rPr>
                <w:rFonts w:ascii="宋体" w:hAnsi="宋体" w:cs="宋体" w:eastAsia="宋体" w:hint="default"/>
                <w:sz w:val="18"/>
                <w:szCs w:val="18"/>
              </w:rPr>
              <w:t>是否 及时 严格 履行</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9" w:right="0"/>
              <w:jc w:val="both"/>
              <w:rPr>
                <w:rFonts w:ascii="宋体" w:hAnsi="宋体" w:cs="宋体" w:eastAsia="宋体" w:hint="default"/>
                <w:sz w:val="18"/>
                <w:szCs w:val="18"/>
              </w:rPr>
            </w:pPr>
            <w:r>
              <w:rPr>
                <w:rFonts w:ascii="宋体" w:hAnsi="宋体" w:cs="宋体" w:eastAsia="宋体" w:hint="default"/>
                <w:sz w:val="18"/>
                <w:szCs w:val="18"/>
              </w:rPr>
              <w:t>如未能及</w:t>
            </w:r>
          </w:p>
          <w:p>
            <w:pPr>
              <w:pStyle w:val="TableParagraph"/>
              <w:spacing w:line="237" w:lineRule="auto"/>
              <w:ind w:left="139" w:right="137"/>
              <w:jc w:val="both"/>
              <w:rPr>
                <w:rFonts w:ascii="宋体" w:hAnsi="宋体" w:cs="宋体" w:eastAsia="宋体" w:hint="default"/>
                <w:sz w:val="18"/>
                <w:szCs w:val="18"/>
              </w:rPr>
            </w:pPr>
            <w:r>
              <w:rPr>
                <w:rFonts w:ascii="宋体" w:hAnsi="宋体" w:cs="宋体" w:eastAsia="宋体" w:hint="default"/>
                <w:sz w:val="18"/>
                <w:szCs w:val="18"/>
              </w:rPr>
              <w:t>时履行应 说明未完 成履行的 具体原因</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7" w:lineRule="auto"/>
              <w:ind w:left="105" w:right="106"/>
              <w:jc w:val="both"/>
              <w:rPr>
                <w:rFonts w:ascii="宋体" w:hAnsi="宋体" w:cs="宋体" w:eastAsia="宋体" w:hint="default"/>
                <w:sz w:val="18"/>
                <w:szCs w:val="18"/>
              </w:rPr>
            </w:pPr>
            <w:r>
              <w:rPr>
                <w:rFonts w:ascii="宋体" w:hAnsi="宋体" w:cs="宋体" w:eastAsia="宋体" w:hint="default"/>
                <w:sz w:val="18"/>
                <w:szCs w:val="18"/>
              </w:rPr>
              <w:t>如未能及时 履行应说明 下一步计划</w:t>
            </w:r>
          </w:p>
        </w:tc>
      </w:tr>
      <w:tr>
        <w:trPr>
          <w:trHeight w:val="7250" w:hRule="exact"/>
        </w:trPr>
        <w:tc>
          <w:tcPr>
            <w:tcW w:w="116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可解除锁定；</w:t>
            </w:r>
          </w:p>
          <w:p>
            <w:pPr>
              <w:pStyle w:val="TableParagraph"/>
              <w:spacing w:line="237" w:lineRule="auto" w:before="2"/>
              <w:ind w:left="103" w:right="10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）第二期：本人</w:t>
            </w:r>
            <w:r>
              <w:rPr>
                <w:rFonts w:ascii="宋体" w:hAnsi="宋体" w:cs="宋体" w:eastAsia="宋体" w:hint="default"/>
                <w:sz w:val="18"/>
                <w:szCs w:val="18"/>
              </w:rPr>
              <w:t>/</w:t>
            </w:r>
            <w:r>
              <w:rPr>
                <w:rFonts w:ascii="宋体" w:hAnsi="宋体" w:cs="宋体" w:eastAsia="宋体" w:hint="default"/>
                <w:sz w:val="18"/>
                <w:szCs w:val="18"/>
              </w:rPr>
              <w:t>本公司</w:t>
            </w:r>
            <w:r>
              <w:rPr>
                <w:rFonts w:ascii="宋体" w:hAnsi="宋体" w:cs="宋体" w:eastAsia="宋体" w:hint="default"/>
                <w:sz w:val="18"/>
                <w:szCs w:val="18"/>
              </w:rPr>
              <w:t>/</w:t>
            </w:r>
            <w:r>
              <w:rPr>
                <w:rFonts w:ascii="宋体" w:hAnsi="宋体" w:cs="宋体" w:eastAsia="宋体" w:hint="default"/>
                <w:sz w:val="18"/>
                <w:szCs w:val="18"/>
              </w:rPr>
              <w:t>本企业全部业绩补偿义务</w:t>
            </w:r>
            <w:r>
              <w:rPr>
                <w:rFonts w:ascii="宋体" w:hAnsi="宋体" w:cs="宋体" w:eastAsia="宋体" w:hint="default"/>
                <w:sz w:val="18"/>
                <w:szCs w:val="18"/>
              </w:rPr>
              <w:t>(</w:t>
            </w:r>
            <w:r>
              <w:rPr>
                <w:rFonts w:ascii="宋体" w:hAnsi="宋体" w:cs="宋体" w:eastAsia="宋体" w:hint="default"/>
                <w:sz w:val="18"/>
                <w:szCs w:val="18"/>
              </w:rPr>
              <w:t>若有</w:t>
            </w:r>
            <w:r>
              <w:rPr>
                <w:rFonts w:ascii="宋体" w:hAnsi="宋体" w:cs="宋体" w:eastAsia="宋体" w:hint="default"/>
                <w:sz w:val="18"/>
                <w:szCs w:val="18"/>
              </w:rPr>
              <w:t>)</w:t>
            </w:r>
            <w:r>
              <w:rPr>
                <w:rFonts w:ascii="宋体" w:hAnsi="宋体" w:cs="宋体" w:eastAsia="宋体" w:hint="default"/>
                <w:sz w:val="18"/>
                <w:szCs w:val="18"/>
              </w:rPr>
              <w:t>履行完毕之日</w:t>
            </w:r>
            <w:r>
              <w:rPr>
                <w:rFonts w:ascii="宋体" w:hAnsi="宋体" w:cs="宋体" w:eastAsia="宋体" w:hint="default"/>
                <w:sz w:val="18"/>
                <w:szCs w:val="18"/>
              </w:rPr>
              <w:t>(</w:t>
            </w:r>
            <w:r>
              <w:rPr>
                <w:rFonts w:ascii="宋体" w:hAnsi="宋体" w:cs="宋体" w:eastAsia="宋体" w:hint="default"/>
                <w:sz w:val="18"/>
                <w:szCs w:val="18"/>
              </w:rPr>
              <w:t>若 无业绩补偿义务，则为本人</w:t>
            </w:r>
            <w:r>
              <w:rPr>
                <w:rFonts w:ascii="宋体" w:hAnsi="宋体" w:cs="宋体" w:eastAsia="宋体" w:hint="default"/>
                <w:sz w:val="18"/>
                <w:szCs w:val="18"/>
              </w:rPr>
              <w:t>/</w:t>
            </w:r>
            <w:r>
              <w:rPr>
                <w:rFonts w:ascii="宋体" w:hAnsi="宋体" w:cs="宋体" w:eastAsia="宋体" w:hint="default"/>
                <w:sz w:val="18"/>
                <w:szCs w:val="18"/>
              </w:rPr>
              <w:t>本公司</w:t>
            </w:r>
            <w:r>
              <w:rPr>
                <w:rFonts w:ascii="宋体" w:hAnsi="宋体" w:cs="宋体" w:eastAsia="宋体" w:hint="default"/>
                <w:sz w:val="18"/>
                <w:szCs w:val="18"/>
              </w:rPr>
              <w:t>/</w:t>
            </w:r>
            <w:r>
              <w:rPr>
                <w:rFonts w:ascii="宋体" w:hAnsi="宋体" w:cs="宋体" w:eastAsia="宋体" w:hint="default"/>
                <w:sz w:val="18"/>
                <w:szCs w:val="18"/>
              </w:rPr>
              <w:t>本企业所承诺的利润补偿期间最后一个会 </w:t>
            </w:r>
            <w:r>
              <w:rPr>
                <w:rFonts w:ascii="宋体" w:hAnsi="宋体" w:cs="宋体" w:eastAsia="宋体" w:hint="default"/>
                <w:spacing w:val="-3"/>
                <w:sz w:val="18"/>
                <w:szCs w:val="18"/>
              </w:rPr>
              <w:t>计年度关于承诺业绩的专项审计报告公告之日</w:t>
            </w:r>
            <w:r>
              <w:rPr>
                <w:rFonts w:ascii="宋体" w:hAnsi="宋体" w:cs="宋体" w:eastAsia="宋体" w:hint="default"/>
                <w:spacing w:val="-3"/>
                <w:sz w:val="18"/>
                <w:szCs w:val="18"/>
              </w:rPr>
              <w:t>)</w:t>
            </w:r>
            <w:r>
              <w:rPr>
                <w:rFonts w:ascii="宋体" w:hAnsi="宋体" w:cs="宋体" w:eastAsia="宋体" w:hint="default"/>
                <w:spacing w:val="-3"/>
                <w:sz w:val="18"/>
                <w:szCs w:val="18"/>
              </w:rPr>
              <w:t>，本人</w:t>
            </w:r>
            <w:r>
              <w:rPr>
                <w:rFonts w:ascii="宋体" w:hAnsi="宋体" w:cs="宋体" w:eastAsia="宋体" w:hint="default"/>
                <w:spacing w:val="-3"/>
                <w:sz w:val="18"/>
                <w:szCs w:val="18"/>
              </w:rPr>
              <w:t>/</w:t>
            </w:r>
            <w:r>
              <w:rPr>
                <w:rFonts w:ascii="宋体" w:hAnsi="宋体" w:cs="宋体" w:eastAsia="宋体" w:hint="default"/>
                <w:spacing w:val="-3"/>
                <w:sz w:val="18"/>
                <w:szCs w:val="18"/>
              </w:rPr>
              <w:t>本公司</w:t>
            </w:r>
            <w:r>
              <w:rPr>
                <w:rFonts w:ascii="宋体" w:hAnsi="宋体" w:cs="宋体" w:eastAsia="宋体" w:hint="default"/>
                <w:spacing w:val="-3"/>
                <w:sz w:val="18"/>
                <w:szCs w:val="18"/>
              </w:rPr>
              <w:t>/</w:t>
            </w:r>
            <w:r>
              <w:rPr>
                <w:rFonts w:ascii="宋体" w:hAnsi="宋体" w:cs="宋体" w:eastAsia="宋体" w:hint="default"/>
                <w:spacing w:val="-3"/>
                <w:sz w:val="18"/>
                <w:szCs w:val="18"/>
              </w:rPr>
              <w:t>本企业本次取得</w:t>
            </w:r>
            <w:r>
              <w:rPr>
                <w:rFonts w:ascii="宋体" w:hAnsi="宋体" w:cs="宋体" w:eastAsia="宋体" w:hint="default"/>
                <w:spacing w:val="-67"/>
                <w:sz w:val="18"/>
                <w:szCs w:val="18"/>
              </w:rPr>
              <w:t> </w:t>
            </w:r>
            <w:r>
              <w:rPr>
                <w:rFonts w:ascii="宋体" w:hAnsi="宋体" w:cs="宋体" w:eastAsia="宋体" w:hint="default"/>
                <w:sz w:val="18"/>
                <w:szCs w:val="18"/>
              </w:rPr>
              <w:t>的股份总数的</w:t>
            </w:r>
            <w:r>
              <w:rPr>
                <w:rFonts w:ascii="宋体" w:hAnsi="宋体" w:cs="宋体" w:eastAsia="宋体" w:hint="default"/>
                <w:spacing w:val="-2"/>
                <w:sz w:val="18"/>
                <w:szCs w:val="18"/>
              </w:rPr>
              <w:t> </w:t>
            </w:r>
            <w:r>
              <w:rPr>
                <w:rFonts w:ascii="宋体" w:hAnsi="宋体" w:cs="宋体" w:eastAsia="宋体" w:hint="default"/>
                <w:sz w:val="18"/>
                <w:szCs w:val="18"/>
              </w:rPr>
              <w:t>40%</w:t>
            </w:r>
            <w:r>
              <w:rPr>
                <w:rFonts w:ascii="宋体" w:hAnsi="宋体" w:cs="宋体" w:eastAsia="宋体" w:hint="default"/>
                <w:sz w:val="18"/>
                <w:szCs w:val="18"/>
              </w:rPr>
              <w:t>可解除锁定。</w:t>
            </w:r>
          </w:p>
          <w:p>
            <w:pPr>
              <w:pStyle w:val="TableParagraph"/>
              <w:spacing w:line="237" w:lineRule="auto" w:before="2"/>
              <w:ind w:left="103" w:right="101" w:firstLine="360"/>
              <w:jc w:val="left"/>
              <w:rPr>
                <w:rFonts w:ascii="宋体" w:hAnsi="宋体" w:cs="宋体" w:eastAsia="宋体" w:hint="default"/>
                <w:sz w:val="18"/>
                <w:szCs w:val="18"/>
              </w:rPr>
            </w:pPr>
            <w:r>
              <w:rPr>
                <w:rFonts w:ascii="宋体" w:hAnsi="宋体" w:cs="宋体" w:eastAsia="宋体" w:hint="default"/>
                <w:sz w:val="18"/>
                <w:szCs w:val="18"/>
              </w:rPr>
              <w:t>同时，根据江南嘉捷与三六零全体股东签署的《重大资产置换及发行股份 购买资产协议之补充协议》，若本次发行股份购买资产未能于</w:t>
            </w:r>
            <w:r>
              <w:rPr>
                <w:rFonts w:ascii="宋体" w:hAnsi="宋体" w:cs="宋体" w:eastAsia="宋体" w:hint="default"/>
                <w:spacing w:val="-52"/>
                <w:sz w:val="18"/>
                <w:szCs w:val="18"/>
              </w:rPr>
              <w:t> </w:t>
            </w:r>
            <w:r>
              <w:rPr>
                <w:rFonts w:ascii="宋体" w:hAnsi="宋体" w:cs="宋体" w:eastAsia="宋体" w:hint="default"/>
                <w:sz w:val="18"/>
                <w:szCs w:val="18"/>
              </w:rPr>
              <w:t>2017</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31</w:t>
            </w:r>
            <w:r>
              <w:rPr>
                <w:rFonts w:ascii="宋体" w:hAnsi="宋体" w:cs="宋体" w:eastAsia="宋体" w:hint="default"/>
                <w:spacing w:val="1"/>
                <w:sz w:val="18"/>
                <w:szCs w:val="18"/>
              </w:rPr>
              <w:t> </w:t>
            </w:r>
            <w:r>
              <w:rPr>
                <w:rFonts w:ascii="宋体" w:hAnsi="宋体" w:cs="宋体" w:eastAsia="宋体" w:hint="default"/>
                <w:sz w:val="18"/>
                <w:szCs w:val="18"/>
              </w:rPr>
              <w:t>日前</w:t>
            </w:r>
            <w:r>
              <w:rPr>
                <w:rFonts w:ascii="宋体" w:hAnsi="宋体" w:cs="宋体" w:eastAsia="宋体" w:hint="default"/>
                <w:sz w:val="18"/>
                <w:szCs w:val="18"/>
              </w:rPr>
              <w:t>(</w:t>
            </w:r>
            <w:r>
              <w:rPr>
                <w:rFonts w:ascii="宋体" w:hAnsi="宋体" w:cs="宋体" w:eastAsia="宋体" w:hint="default"/>
                <w:sz w:val="18"/>
                <w:szCs w:val="18"/>
              </w:rPr>
              <w:t>含当日</w:t>
            </w:r>
            <w:r>
              <w:rPr>
                <w:rFonts w:ascii="宋体" w:hAnsi="宋体" w:cs="宋体" w:eastAsia="宋体" w:hint="default"/>
                <w:sz w:val="18"/>
                <w:szCs w:val="18"/>
              </w:rPr>
              <w:t>)</w:t>
            </w:r>
            <w:r>
              <w:rPr>
                <w:rFonts w:ascii="宋体" w:hAnsi="宋体" w:cs="宋体" w:eastAsia="宋体" w:hint="default"/>
                <w:sz w:val="18"/>
                <w:szCs w:val="18"/>
              </w:rPr>
              <w:t>实施完毕，在三六零全体股东各自承诺的锁定期届满之后，三六 零全体股东所持上市公司对价股份按照下述安排分期解锁，具体安排如下： </w:t>
            </w:r>
            <w:r>
              <w:rPr>
                <w:rFonts w:ascii="宋体" w:hAnsi="宋体" w:cs="宋体" w:eastAsia="宋体" w:hint="default"/>
                <w:sz w:val="18"/>
                <w:szCs w:val="18"/>
              </w:rPr>
              <w:t>1</w:t>
            </w:r>
            <w:r>
              <w:rPr>
                <w:rFonts w:ascii="宋体" w:hAnsi="宋体" w:cs="宋体" w:eastAsia="宋体" w:hint="default"/>
                <w:sz w:val="18"/>
                <w:szCs w:val="18"/>
              </w:rPr>
              <w:t>）第一期：</w:t>
            </w:r>
          </w:p>
          <w:p>
            <w:pPr>
              <w:pStyle w:val="TableParagraph"/>
              <w:spacing w:line="237" w:lineRule="auto"/>
              <w:ind w:left="103" w:right="109"/>
              <w:jc w:val="left"/>
              <w:rPr>
                <w:rFonts w:ascii="宋体" w:hAnsi="宋体" w:cs="宋体" w:eastAsia="宋体" w:hint="default"/>
                <w:sz w:val="18"/>
                <w:szCs w:val="18"/>
              </w:rPr>
            </w:pPr>
            <w:r>
              <w:rPr>
                <w:rFonts w:ascii="宋体" w:hAnsi="宋体" w:cs="宋体" w:eastAsia="宋体" w:hint="default"/>
                <w:sz w:val="18"/>
                <w:szCs w:val="18"/>
              </w:rPr>
              <w:t>自对价股份登记至其证券账户之日起</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个月届满之日与乙方对前两个年度业 绩补偿义务（若有）履行完毕之日（若无业绩补偿义务，则为关于承诺业绩的 专项审计报告公告之日）中较晚的日期，其本次取得的对价股份总数的</w:t>
            </w:r>
            <w:r>
              <w:rPr>
                <w:rFonts w:ascii="宋体" w:hAnsi="宋体" w:cs="宋体" w:eastAsia="宋体" w:hint="default"/>
                <w:spacing w:val="-44"/>
                <w:sz w:val="18"/>
                <w:szCs w:val="18"/>
              </w:rPr>
              <w:t> </w:t>
            </w:r>
            <w:r>
              <w:rPr>
                <w:rFonts w:ascii="宋体" w:hAnsi="宋体" w:cs="宋体" w:eastAsia="宋体" w:hint="default"/>
                <w:sz w:val="18"/>
                <w:szCs w:val="18"/>
              </w:rPr>
              <w:t>40%</w:t>
            </w:r>
            <w:r>
              <w:rPr>
                <w:rFonts w:ascii="宋体" w:hAnsi="宋体" w:cs="宋体" w:eastAsia="宋体" w:hint="default"/>
                <w:sz w:val="18"/>
                <w:szCs w:val="18"/>
              </w:rPr>
              <w:t>可 解除锁定；</w:t>
            </w:r>
          </w:p>
          <w:p>
            <w:pPr>
              <w:pStyle w:val="TableParagraph"/>
              <w:spacing w:line="237" w:lineRule="auto"/>
              <w:ind w:left="103" w:right="10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）第二期： 乙方对前三个年度业绩补偿义务（若有）履行完毕之日（若无业绩补偿义务， 则为乙方所承诺的利润补偿期间第三个会计年度关于承诺业绩的专项审计报告 公告之日），其本次取得的对价股份总数的</w:t>
            </w:r>
            <w:r>
              <w:rPr>
                <w:rFonts w:ascii="宋体" w:hAnsi="宋体" w:cs="宋体" w:eastAsia="宋体" w:hint="default"/>
                <w:spacing w:val="-47"/>
                <w:sz w:val="18"/>
                <w:szCs w:val="18"/>
              </w:rPr>
              <w:t> </w:t>
            </w:r>
            <w:r>
              <w:rPr>
                <w:rFonts w:ascii="宋体" w:hAnsi="宋体" w:cs="宋体" w:eastAsia="宋体" w:hint="default"/>
                <w:sz w:val="18"/>
                <w:szCs w:val="18"/>
              </w:rPr>
              <w:t>30%</w:t>
            </w:r>
            <w:r>
              <w:rPr>
                <w:rFonts w:ascii="宋体" w:hAnsi="宋体" w:cs="宋体" w:eastAsia="宋体" w:hint="default"/>
                <w:sz w:val="18"/>
                <w:szCs w:val="18"/>
              </w:rPr>
              <w:t>可解除锁定；</w:t>
            </w:r>
          </w:p>
          <w:p>
            <w:pPr>
              <w:pStyle w:val="TableParagraph"/>
              <w:spacing w:line="237" w:lineRule="auto"/>
              <w:ind w:left="103" w:right="10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）第三期： 乙方全部业绩补偿义务（若有）履行完毕之日（若无业绩补偿义务，则为乙方 所承诺的利润补偿期间最后一个会计年度关于承诺业绩的专项审计报告公告之 日），其本次取得的对价股份总数的</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z w:val="18"/>
                <w:szCs w:val="18"/>
              </w:rPr>
              <w:t>可解除锁定。 </w:t>
            </w:r>
            <w:r>
              <w:rPr>
                <w:rFonts w:ascii="宋体" w:hAnsi="宋体" w:cs="宋体" w:eastAsia="宋体" w:hint="default"/>
                <w:sz w:val="18"/>
                <w:szCs w:val="18"/>
              </w:rPr>
              <w:t>3</w:t>
            </w:r>
            <w:r>
              <w:rPr>
                <w:rFonts w:ascii="宋体" w:hAnsi="宋体" w:cs="宋体" w:eastAsia="宋体" w:hint="default"/>
                <w:sz w:val="18"/>
                <w:szCs w:val="18"/>
              </w:rPr>
              <w:t>、在本次重大资产重组完成后 </w:t>
            </w:r>
            <w:r>
              <w:rPr>
                <w:rFonts w:ascii="宋体" w:hAnsi="宋体" w:cs="宋体" w:eastAsia="宋体" w:hint="default"/>
                <w:sz w:val="18"/>
                <w:szCs w:val="18"/>
              </w:rPr>
              <w:t>6 </w:t>
            </w:r>
            <w:r>
              <w:rPr>
                <w:rFonts w:ascii="宋体" w:hAnsi="宋体" w:cs="宋体" w:eastAsia="宋体" w:hint="default"/>
                <w:sz w:val="18"/>
                <w:szCs w:val="18"/>
              </w:rPr>
              <w:t>个月内，如上市公司股票连续 </w:t>
            </w:r>
            <w:r>
              <w:rPr>
                <w:rFonts w:ascii="宋体" w:hAnsi="宋体" w:cs="宋体" w:eastAsia="宋体" w:hint="default"/>
                <w:sz w:val="18"/>
                <w:szCs w:val="18"/>
              </w:rPr>
              <w:t>20</w:t>
            </w:r>
            <w:r>
              <w:rPr>
                <w:rFonts w:ascii="宋体" w:hAnsi="宋体" w:cs="宋体" w:eastAsia="宋体" w:hint="default"/>
                <w:spacing w:val="3"/>
                <w:sz w:val="18"/>
                <w:szCs w:val="18"/>
              </w:rPr>
              <w:t> </w:t>
            </w:r>
            <w:r>
              <w:rPr>
                <w:rFonts w:ascii="宋体" w:hAnsi="宋体" w:cs="宋体" w:eastAsia="宋体" w:hint="default"/>
                <w:sz w:val="18"/>
                <w:szCs w:val="18"/>
              </w:rPr>
              <w:t>个交易日</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pacing w:val="-4"/>
                <w:sz w:val="18"/>
                <w:szCs w:val="18"/>
              </w:rPr>
              <w:t>的收盘价低于发行价，或者本次重大资产重组完成后</w:t>
            </w:r>
            <w:r>
              <w:rPr>
                <w:rFonts w:ascii="宋体" w:hAnsi="宋体" w:cs="宋体" w:eastAsia="宋体" w:hint="default"/>
                <w:sz w:val="18"/>
                <w:szCs w:val="18"/>
              </w:rPr>
              <w:t> </w:t>
            </w:r>
            <w:r>
              <w:rPr>
                <w:rFonts w:ascii="宋体" w:hAnsi="宋体" w:cs="宋体" w:eastAsia="宋体" w:hint="default"/>
                <w:sz w:val="18"/>
                <w:szCs w:val="18"/>
              </w:rPr>
              <w:t>6</w:t>
            </w:r>
            <w:r>
              <w:rPr>
                <w:rFonts w:ascii="宋体" w:hAnsi="宋体" w:cs="宋体" w:eastAsia="宋体" w:hint="default"/>
                <w:spacing w:val="15"/>
                <w:sz w:val="18"/>
                <w:szCs w:val="18"/>
              </w:rPr>
              <w:t> </w:t>
            </w:r>
            <w:r>
              <w:rPr>
                <w:rFonts w:ascii="宋体" w:hAnsi="宋体" w:cs="宋体" w:eastAsia="宋体" w:hint="default"/>
                <w:spacing w:val="-1"/>
                <w:sz w:val="18"/>
                <w:szCs w:val="18"/>
              </w:rPr>
              <w:t>个月期末收盘价低于发</w:t>
            </w:r>
            <w:r>
              <w:rPr>
                <w:rFonts w:ascii="宋体" w:hAnsi="宋体" w:cs="宋体" w:eastAsia="宋体" w:hint="default"/>
                <w:sz w:val="18"/>
                <w:szCs w:val="18"/>
              </w:rPr>
              <w:t> 行</w:t>
            </w:r>
          </w:p>
          <w:p>
            <w:pPr>
              <w:pStyle w:val="TableParagraph"/>
              <w:spacing w:line="232" w:lineRule="exact" w:before="1"/>
              <w:ind w:left="103" w:right="12"/>
              <w:jc w:val="left"/>
              <w:rPr>
                <w:rFonts w:ascii="宋体" w:hAnsi="宋体" w:cs="宋体" w:eastAsia="宋体" w:hint="default"/>
                <w:sz w:val="18"/>
                <w:szCs w:val="18"/>
              </w:rPr>
            </w:pPr>
            <w:r>
              <w:rPr>
                <w:rFonts w:ascii="宋体" w:hAnsi="宋体" w:cs="宋体" w:eastAsia="宋体" w:hint="default"/>
                <w:spacing w:val="-6"/>
                <w:sz w:val="18"/>
                <w:szCs w:val="18"/>
              </w:rPr>
              <w:t>价的，上述股份的锁定期自动延长至少</w:t>
            </w:r>
            <w:r>
              <w:rPr>
                <w:rFonts w:ascii="宋体" w:hAnsi="宋体" w:cs="宋体" w:eastAsia="宋体" w:hint="default"/>
                <w:sz w:val="18"/>
                <w:szCs w:val="18"/>
              </w:rPr>
              <w:t> </w:t>
            </w:r>
            <w:r>
              <w:rPr>
                <w:rFonts w:ascii="宋体" w:hAnsi="宋体" w:cs="宋体" w:eastAsia="宋体" w:hint="default"/>
                <w:sz w:val="18"/>
                <w:szCs w:val="18"/>
              </w:rPr>
              <w:t>6</w:t>
            </w:r>
            <w:r>
              <w:rPr>
                <w:rFonts w:ascii="宋体" w:hAnsi="宋体" w:cs="宋体" w:eastAsia="宋体" w:hint="default"/>
                <w:spacing w:val="26"/>
                <w:sz w:val="18"/>
                <w:szCs w:val="18"/>
              </w:rPr>
              <w:t> </w:t>
            </w:r>
            <w:r>
              <w:rPr>
                <w:rFonts w:ascii="宋体" w:hAnsi="宋体" w:cs="宋体" w:eastAsia="宋体" w:hint="default"/>
                <w:spacing w:val="-6"/>
                <w:sz w:val="18"/>
                <w:szCs w:val="18"/>
              </w:rPr>
              <w:t>个月（若上述期间上市公司发生派息、</w:t>
            </w:r>
            <w:r>
              <w:rPr>
                <w:rFonts w:ascii="宋体" w:hAnsi="宋体" w:cs="宋体" w:eastAsia="宋体" w:hint="default"/>
                <w:sz w:val="18"/>
                <w:szCs w:val="18"/>
              </w:rPr>
              <w:t> 送股、转增股本或配股等除权除息事项的，则前述本次发行价以经除息、除权</w:t>
            </w:r>
          </w:p>
          <w:p>
            <w:pPr>
              <w:pStyle w:val="TableParagraph"/>
              <w:spacing w:line="232" w:lineRule="exact" w:before="3"/>
              <w:ind w:left="103" w:right="17"/>
              <w:jc w:val="left"/>
              <w:rPr>
                <w:rFonts w:ascii="宋体" w:hAnsi="宋体" w:cs="宋体" w:eastAsia="宋体" w:hint="default"/>
                <w:sz w:val="18"/>
                <w:szCs w:val="18"/>
              </w:rPr>
            </w:pPr>
            <w:r>
              <w:rPr>
                <w:rFonts w:ascii="宋体" w:hAnsi="宋体" w:cs="宋体" w:eastAsia="宋体" w:hint="default"/>
                <w:sz w:val="18"/>
                <w:szCs w:val="18"/>
              </w:rPr>
              <w:t>等因素调整后的价格计算）。 </w:t>
            </w:r>
            <w:r>
              <w:rPr>
                <w:rFonts w:ascii="宋体" w:hAnsi="宋体" w:cs="宋体" w:eastAsia="宋体" w:hint="default"/>
                <w:sz w:val="18"/>
                <w:szCs w:val="18"/>
              </w:rPr>
              <w:t>4</w:t>
            </w:r>
            <w:r>
              <w:rPr>
                <w:rFonts w:ascii="宋体" w:hAnsi="宋体" w:cs="宋体" w:eastAsia="宋体" w:hint="default"/>
                <w:sz w:val="18"/>
                <w:szCs w:val="18"/>
              </w:rPr>
              <w:t>、在上述股份锁定期内，由于上市公司送股、转增股本等原因而增加的股份， 该等股份的锁定期与上述股份相同。 </w:t>
            </w:r>
            <w:r>
              <w:rPr>
                <w:rFonts w:ascii="宋体" w:hAnsi="宋体" w:cs="宋体" w:eastAsia="宋体" w:hint="default"/>
                <w:spacing w:val="-3"/>
                <w:sz w:val="18"/>
                <w:szCs w:val="18"/>
              </w:rPr>
              <w:t>5</w:t>
            </w:r>
            <w:r>
              <w:rPr>
                <w:rFonts w:ascii="宋体" w:hAnsi="宋体" w:cs="宋体" w:eastAsia="宋体" w:hint="default"/>
                <w:spacing w:val="-3"/>
                <w:sz w:val="18"/>
                <w:szCs w:val="18"/>
              </w:rPr>
              <w:t>、如前述关于本次重大资产重组中取得的上市公司股份的锁定期承诺与中国证</w:t>
            </w:r>
          </w:p>
        </w:tc>
        <w:tc>
          <w:tcPr>
            <w:tcW w:w="11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7" w:footer="1218" w:top="1320" w:bottom="140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1164"/>
        <w:gridCol w:w="706"/>
        <w:gridCol w:w="1150"/>
        <w:gridCol w:w="6344"/>
        <w:gridCol w:w="1169"/>
        <w:gridCol w:w="720"/>
        <w:gridCol w:w="720"/>
        <w:gridCol w:w="1008"/>
        <w:gridCol w:w="1124"/>
      </w:tblGrid>
      <w:tr>
        <w:trPr>
          <w:trHeight w:val="1176"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15" w:right="0"/>
              <w:jc w:val="left"/>
              <w:rPr>
                <w:rFonts w:ascii="宋体" w:hAnsi="宋体" w:cs="宋体" w:eastAsia="宋体" w:hint="default"/>
                <w:sz w:val="18"/>
                <w:szCs w:val="18"/>
              </w:rPr>
            </w:pPr>
            <w:r>
              <w:rPr>
                <w:rFonts w:ascii="宋体" w:hAnsi="宋体" w:cs="宋体" w:eastAsia="宋体" w:hint="default"/>
                <w:sz w:val="18"/>
                <w:szCs w:val="18"/>
              </w:rPr>
              <w:t>承诺背景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67" w:right="167"/>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2986" w:right="2986"/>
              <w:jc w:val="center"/>
              <w:rPr>
                <w:rFonts w:ascii="宋体" w:hAnsi="宋体" w:cs="宋体" w:eastAsia="宋体" w:hint="default"/>
                <w:sz w:val="18"/>
                <w:szCs w:val="18"/>
              </w:rPr>
            </w:pPr>
            <w:r>
              <w:rPr>
                <w:rFonts w:ascii="宋体" w:hAnsi="宋体" w:cs="宋体" w:eastAsia="宋体" w:hint="default"/>
                <w:sz w:val="18"/>
                <w:szCs w:val="18"/>
              </w:rPr>
              <w:t>承诺 内容</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398" w:right="130" w:hanging="272"/>
              <w:jc w:val="left"/>
              <w:rPr>
                <w:rFonts w:ascii="宋体" w:hAnsi="宋体" w:cs="宋体" w:eastAsia="宋体" w:hint="default"/>
                <w:sz w:val="18"/>
                <w:szCs w:val="18"/>
              </w:rPr>
            </w:pPr>
            <w:r>
              <w:rPr>
                <w:rFonts w:ascii="宋体" w:hAnsi="宋体" w:cs="宋体" w:eastAsia="宋体" w:hint="default"/>
                <w:sz w:val="18"/>
                <w:szCs w:val="18"/>
              </w:rPr>
              <w:t>承诺时间及 期限</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5" w:right="173"/>
              <w:jc w:val="both"/>
              <w:rPr>
                <w:rFonts w:ascii="宋体" w:hAnsi="宋体" w:cs="宋体" w:eastAsia="宋体" w:hint="default"/>
                <w:sz w:val="18"/>
                <w:szCs w:val="18"/>
              </w:rPr>
            </w:pPr>
            <w:r>
              <w:rPr>
                <w:rFonts w:ascii="宋体" w:hAnsi="宋体" w:cs="宋体" w:eastAsia="宋体" w:hint="default"/>
                <w:sz w:val="18"/>
                <w:szCs w:val="18"/>
              </w:rPr>
              <w:t>是否 有履 行期 限</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5" w:right="173"/>
              <w:jc w:val="both"/>
              <w:rPr>
                <w:rFonts w:ascii="宋体" w:hAnsi="宋体" w:cs="宋体" w:eastAsia="宋体" w:hint="default"/>
                <w:sz w:val="18"/>
                <w:szCs w:val="18"/>
              </w:rPr>
            </w:pPr>
            <w:r>
              <w:rPr>
                <w:rFonts w:ascii="宋体" w:hAnsi="宋体" w:cs="宋体" w:eastAsia="宋体" w:hint="default"/>
                <w:sz w:val="18"/>
                <w:szCs w:val="18"/>
              </w:rPr>
              <w:t>是否 及时 严格 履行</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9" w:right="0"/>
              <w:jc w:val="both"/>
              <w:rPr>
                <w:rFonts w:ascii="宋体" w:hAnsi="宋体" w:cs="宋体" w:eastAsia="宋体" w:hint="default"/>
                <w:sz w:val="18"/>
                <w:szCs w:val="18"/>
              </w:rPr>
            </w:pPr>
            <w:r>
              <w:rPr>
                <w:rFonts w:ascii="宋体" w:hAnsi="宋体" w:cs="宋体" w:eastAsia="宋体" w:hint="default"/>
                <w:sz w:val="18"/>
                <w:szCs w:val="18"/>
              </w:rPr>
              <w:t>如未能及</w:t>
            </w:r>
          </w:p>
          <w:p>
            <w:pPr>
              <w:pStyle w:val="TableParagraph"/>
              <w:spacing w:line="237" w:lineRule="auto"/>
              <w:ind w:left="139" w:right="137"/>
              <w:jc w:val="both"/>
              <w:rPr>
                <w:rFonts w:ascii="宋体" w:hAnsi="宋体" w:cs="宋体" w:eastAsia="宋体" w:hint="default"/>
                <w:sz w:val="18"/>
                <w:szCs w:val="18"/>
              </w:rPr>
            </w:pPr>
            <w:r>
              <w:rPr>
                <w:rFonts w:ascii="宋体" w:hAnsi="宋体" w:cs="宋体" w:eastAsia="宋体" w:hint="default"/>
                <w:sz w:val="18"/>
                <w:szCs w:val="18"/>
              </w:rPr>
              <w:t>时履行应 说明未完 成履行的 具体原因</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7" w:lineRule="auto"/>
              <w:ind w:left="105" w:right="106"/>
              <w:jc w:val="both"/>
              <w:rPr>
                <w:rFonts w:ascii="宋体" w:hAnsi="宋体" w:cs="宋体" w:eastAsia="宋体" w:hint="default"/>
                <w:sz w:val="18"/>
                <w:szCs w:val="18"/>
              </w:rPr>
            </w:pPr>
            <w:r>
              <w:rPr>
                <w:rFonts w:ascii="宋体" w:hAnsi="宋体" w:cs="宋体" w:eastAsia="宋体" w:hint="default"/>
                <w:sz w:val="18"/>
                <w:szCs w:val="18"/>
              </w:rPr>
              <w:t>如未能及时 履行应说明 下一步计划</w:t>
            </w:r>
          </w:p>
        </w:tc>
      </w:tr>
      <w:tr>
        <w:trPr>
          <w:trHeight w:val="478" w:hRule="exact"/>
        </w:trPr>
        <w:tc>
          <w:tcPr>
            <w:tcW w:w="1164" w:type="dxa"/>
            <w:vMerge w:val="restart"/>
            <w:tcBorders>
              <w:top w:val="single" w:sz="4" w:space="0" w:color="000000"/>
              <w:left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券监督管理委员会的最新监管意见不相符，将根据中国证监会的监管意见进行</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相应调整。”</w:t>
            </w:r>
          </w:p>
        </w:tc>
        <w:tc>
          <w:tcPr>
            <w:tcW w:w="11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r>
      <w:tr>
        <w:trPr>
          <w:trHeight w:val="1877" w:hRule="exact"/>
        </w:trPr>
        <w:tc>
          <w:tcPr>
            <w:tcW w:w="1164" w:type="dxa"/>
            <w:vMerge/>
            <w:tcBorders>
              <w:left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32" w:lineRule="exact"/>
              <w:ind w:left="167" w:right="167"/>
              <w:jc w:val="left"/>
              <w:rPr>
                <w:rFonts w:ascii="宋体" w:hAnsi="宋体" w:cs="宋体" w:eastAsia="宋体" w:hint="default"/>
                <w:sz w:val="18"/>
                <w:szCs w:val="18"/>
              </w:rPr>
            </w:pPr>
            <w:r>
              <w:rPr>
                <w:rFonts w:ascii="宋体" w:hAnsi="宋体" w:cs="宋体" w:eastAsia="宋体" w:hint="default"/>
                <w:sz w:val="18"/>
                <w:szCs w:val="18"/>
              </w:rPr>
              <w:t>股份 限售</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32" w:lineRule="exact"/>
              <w:ind w:left="391" w:right="119" w:hanging="272"/>
              <w:jc w:val="left"/>
              <w:rPr>
                <w:rFonts w:ascii="宋体" w:hAnsi="宋体" w:cs="宋体" w:eastAsia="宋体" w:hint="default"/>
                <w:sz w:val="18"/>
                <w:szCs w:val="18"/>
              </w:rPr>
            </w:pPr>
            <w:r>
              <w:rPr>
                <w:rFonts w:ascii="宋体" w:hAnsi="宋体" w:cs="宋体" w:eastAsia="宋体" w:hint="default"/>
                <w:sz w:val="18"/>
                <w:szCs w:val="18"/>
              </w:rPr>
              <w:t>金志峰、金 祖铭</w:t>
            </w:r>
          </w:p>
        </w:tc>
        <w:tc>
          <w:tcPr>
            <w:tcW w:w="63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、本人在本次重大资产重组之前所控制的上市公司股份，自本次重大资产重组</w:t>
            </w:r>
          </w:p>
          <w:p>
            <w:pPr>
              <w:pStyle w:val="TableParagraph"/>
              <w:spacing w:line="237" w:lineRule="auto" w:before="1"/>
              <w:ind w:left="103" w:right="15"/>
              <w:jc w:val="left"/>
              <w:rPr>
                <w:rFonts w:ascii="宋体" w:hAnsi="宋体" w:cs="宋体" w:eastAsia="宋体" w:hint="default"/>
                <w:sz w:val="18"/>
                <w:szCs w:val="18"/>
              </w:rPr>
            </w:pPr>
            <w:r>
              <w:rPr>
                <w:rFonts w:ascii="宋体" w:hAnsi="宋体" w:cs="宋体" w:eastAsia="宋体" w:hint="default"/>
                <w:sz w:val="18"/>
                <w:szCs w:val="18"/>
              </w:rPr>
              <w:t>完成后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个月内将不以任何方式进行转让，包括但不限于通过证券市场公开 转让或通过协议方式转让，也不委托他人管理本人控制的上市公司股份。 如果本次重大资产重组终止或未能实施，则自本次重大资产重组终止或确定不 予实施之日起，前述股份锁定承诺予以解除； </w:t>
            </w:r>
            <w:r>
              <w:rPr>
                <w:rFonts w:ascii="宋体" w:hAnsi="宋体" w:cs="宋体" w:eastAsia="宋体" w:hint="default"/>
                <w:spacing w:val="-3"/>
                <w:sz w:val="18"/>
                <w:szCs w:val="18"/>
              </w:rPr>
              <w:t>2</w:t>
            </w:r>
            <w:r>
              <w:rPr>
                <w:rFonts w:ascii="宋体" w:hAnsi="宋体" w:cs="宋体" w:eastAsia="宋体" w:hint="default"/>
                <w:spacing w:val="-3"/>
                <w:sz w:val="18"/>
                <w:szCs w:val="18"/>
              </w:rPr>
              <w:t>、股份锁定期限内，本人在本次重大资产重组之前所控制的上市公司股份因上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市公司发生送股、转增股本或配股等除权事项而增加的部分，亦遵守上述股份 </w:t>
            </w:r>
            <w:r>
              <w:rPr>
                <w:rFonts w:ascii="宋体" w:hAnsi="宋体" w:cs="宋体" w:eastAsia="宋体" w:hint="default"/>
                <w:spacing w:val="-3"/>
                <w:sz w:val="18"/>
                <w:szCs w:val="18"/>
              </w:rPr>
              <w:t>锁定承诺。如本人违反上述声明和承诺，本人愿意承担个别和连带的法律责任。</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33" w:lineRule="exact"/>
              <w:ind w:left="26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日</w:t>
            </w:r>
          </w:p>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914" w:hRule="exact"/>
        </w:trPr>
        <w:tc>
          <w:tcPr>
            <w:tcW w:w="1164" w:type="dxa"/>
            <w:vMerge/>
            <w:tcBorders>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37" w:lineRule="auto"/>
              <w:ind w:left="167" w:right="167"/>
              <w:jc w:val="both"/>
              <w:rPr>
                <w:rFonts w:ascii="宋体" w:hAnsi="宋体" w:cs="宋体" w:eastAsia="宋体" w:hint="default"/>
                <w:sz w:val="18"/>
                <w:szCs w:val="18"/>
              </w:rPr>
            </w:pPr>
            <w:r>
              <w:rPr>
                <w:rFonts w:ascii="宋体" w:hAnsi="宋体" w:cs="宋体" w:eastAsia="宋体" w:hint="default"/>
                <w:sz w:val="18"/>
                <w:szCs w:val="18"/>
              </w:rPr>
              <w:t>盈利 预测 及补 偿</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37" w:lineRule="auto"/>
              <w:ind w:left="119" w:right="119"/>
              <w:jc w:val="center"/>
              <w:rPr>
                <w:rFonts w:ascii="宋体" w:hAnsi="宋体" w:cs="宋体" w:eastAsia="宋体" w:hint="default"/>
                <w:sz w:val="18"/>
                <w:szCs w:val="18"/>
              </w:rPr>
            </w:pPr>
            <w:r>
              <w:rPr>
                <w:rFonts w:ascii="宋体" w:hAnsi="宋体" w:cs="宋体" w:eastAsia="宋体" w:hint="default"/>
                <w:sz w:val="18"/>
                <w:szCs w:val="18"/>
              </w:rPr>
              <w:t>天津奇信志 成科技有限 公式等</w:t>
            </w:r>
            <w:r>
              <w:rPr>
                <w:rFonts w:ascii="宋体" w:hAnsi="宋体" w:cs="宋体" w:eastAsia="宋体" w:hint="default"/>
                <w:spacing w:val="-45"/>
                <w:sz w:val="18"/>
                <w:szCs w:val="18"/>
              </w:rPr>
              <w:t> </w:t>
            </w:r>
            <w:r>
              <w:rPr>
                <w:rFonts w:ascii="宋体" w:hAnsi="宋体" w:cs="宋体" w:eastAsia="宋体" w:hint="default"/>
                <w:sz w:val="18"/>
                <w:szCs w:val="18"/>
              </w:rPr>
              <w:t>42</w:t>
            </w:r>
            <w:r>
              <w:rPr>
                <w:rFonts w:ascii="宋体" w:hAnsi="宋体" w:cs="宋体" w:eastAsia="宋体" w:hint="default"/>
                <w:spacing w:val="1"/>
                <w:sz w:val="18"/>
                <w:szCs w:val="18"/>
              </w:rPr>
              <w:t> </w:t>
            </w:r>
            <w:r>
              <w:rPr>
                <w:rFonts w:ascii="宋体" w:hAnsi="宋体" w:cs="宋体" w:eastAsia="宋体" w:hint="default"/>
                <w:sz w:val="18"/>
                <w:szCs w:val="18"/>
              </w:rPr>
              <w:t>名原三六零 科技股东</w:t>
            </w:r>
          </w:p>
        </w:tc>
        <w:tc>
          <w:tcPr>
            <w:tcW w:w="6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年和</w:t>
            </w:r>
            <w:r>
              <w:rPr>
                <w:rFonts w:ascii="宋体" w:hAnsi="宋体" w:cs="宋体" w:eastAsia="宋体" w:hint="default"/>
                <w:spacing w:val="-47"/>
                <w:sz w:val="18"/>
                <w:szCs w:val="18"/>
              </w:rPr>
              <w:t> </w:t>
            </w: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年四年内实现的净利润分别不低于</w:t>
            </w:r>
          </w:p>
          <w:p>
            <w:pPr>
              <w:pStyle w:val="TableParagraph"/>
              <w:spacing w:line="237" w:lineRule="auto" w:before="2"/>
              <w:ind w:left="103" w:right="11"/>
              <w:jc w:val="left"/>
              <w:rPr>
                <w:rFonts w:ascii="宋体" w:hAnsi="宋体" w:cs="宋体" w:eastAsia="宋体" w:hint="default"/>
                <w:sz w:val="18"/>
                <w:szCs w:val="18"/>
              </w:rPr>
            </w:pPr>
            <w:r>
              <w:rPr>
                <w:rFonts w:ascii="宋体" w:hAnsi="宋体" w:cs="宋体" w:eastAsia="宋体" w:hint="default"/>
                <w:sz w:val="18"/>
                <w:szCs w:val="18"/>
              </w:rPr>
              <w:t>220,000</w:t>
            </w:r>
            <w:r>
              <w:rPr>
                <w:rFonts w:ascii="宋体" w:hAnsi="宋体" w:cs="宋体" w:eastAsia="宋体" w:hint="default"/>
                <w:spacing w:val="-44"/>
                <w:sz w:val="18"/>
                <w:szCs w:val="18"/>
              </w:rPr>
              <w:t> </w:t>
            </w:r>
            <w:r>
              <w:rPr>
                <w:rFonts w:ascii="宋体" w:hAnsi="宋体" w:cs="宋体" w:eastAsia="宋体" w:hint="default"/>
                <w:sz w:val="18"/>
                <w:szCs w:val="18"/>
              </w:rPr>
              <w:t>万元、</w:t>
            </w:r>
            <w:r>
              <w:rPr>
                <w:rFonts w:ascii="宋体" w:hAnsi="宋体" w:cs="宋体" w:eastAsia="宋体" w:hint="default"/>
                <w:sz w:val="18"/>
                <w:szCs w:val="18"/>
              </w:rPr>
              <w:t>290,000</w:t>
            </w:r>
            <w:r>
              <w:rPr>
                <w:rFonts w:ascii="宋体" w:hAnsi="宋体" w:cs="宋体" w:eastAsia="宋体" w:hint="default"/>
                <w:spacing w:val="-44"/>
                <w:sz w:val="18"/>
                <w:szCs w:val="18"/>
              </w:rPr>
              <w:t> </w:t>
            </w:r>
            <w:r>
              <w:rPr>
                <w:rFonts w:ascii="宋体" w:hAnsi="宋体" w:cs="宋体" w:eastAsia="宋体" w:hint="default"/>
                <w:sz w:val="18"/>
                <w:szCs w:val="18"/>
              </w:rPr>
              <w:t>万元、</w:t>
            </w:r>
            <w:r>
              <w:rPr>
                <w:rFonts w:ascii="宋体" w:hAnsi="宋体" w:cs="宋体" w:eastAsia="宋体" w:hint="default"/>
                <w:sz w:val="18"/>
                <w:szCs w:val="18"/>
              </w:rPr>
              <w:t>380,000</w:t>
            </w:r>
            <w:r>
              <w:rPr>
                <w:rFonts w:ascii="宋体" w:hAnsi="宋体" w:cs="宋体" w:eastAsia="宋体" w:hint="default"/>
                <w:spacing w:val="-44"/>
                <w:sz w:val="18"/>
                <w:szCs w:val="18"/>
              </w:rPr>
              <w:t> </w:t>
            </w:r>
            <w:r>
              <w:rPr>
                <w:rFonts w:ascii="宋体" w:hAnsi="宋体" w:cs="宋体" w:eastAsia="宋体" w:hint="default"/>
                <w:sz w:val="18"/>
                <w:szCs w:val="18"/>
              </w:rPr>
              <w:t>万元和</w:t>
            </w:r>
            <w:r>
              <w:rPr>
                <w:rFonts w:ascii="宋体" w:hAnsi="宋体" w:cs="宋体" w:eastAsia="宋体" w:hint="default"/>
                <w:spacing w:val="-45"/>
                <w:sz w:val="18"/>
                <w:szCs w:val="18"/>
              </w:rPr>
              <w:t> </w:t>
            </w:r>
            <w:r>
              <w:rPr>
                <w:rFonts w:ascii="宋体" w:hAnsi="宋体" w:cs="宋体" w:eastAsia="宋体" w:hint="default"/>
                <w:sz w:val="18"/>
                <w:szCs w:val="18"/>
              </w:rPr>
              <w:t>415,000</w:t>
            </w:r>
            <w:r>
              <w:rPr>
                <w:rFonts w:ascii="宋体" w:hAnsi="宋体" w:cs="宋体" w:eastAsia="宋体" w:hint="default"/>
                <w:spacing w:val="-44"/>
                <w:sz w:val="18"/>
                <w:szCs w:val="18"/>
              </w:rPr>
              <w:t> </w:t>
            </w:r>
            <w:r>
              <w:rPr>
                <w:rFonts w:ascii="宋体" w:hAnsi="宋体" w:cs="宋体" w:eastAsia="宋体" w:hint="default"/>
                <w:sz w:val="18"/>
                <w:szCs w:val="18"/>
              </w:rPr>
              <w:t>万元。 根据会计师事务所出具的专项审核意见，公司</w:t>
            </w:r>
            <w:r>
              <w:rPr>
                <w:rFonts w:ascii="宋体" w:hAnsi="宋体" w:cs="宋体" w:eastAsia="宋体" w:hint="default"/>
                <w:spacing w:val="-49"/>
                <w:sz w:val="18"/>
                <w:szCs w:val="18"/>
              </w:rPr>
              <w:t> </w:t>
            </w: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pacing w:val="-6"/>
                <w:sz w:val="18"/>
                <w:szCs w:val="18"/>
              </w:rPr>
              <w:t>年、</w:t>
            </w:r>
            <w:r>
              <w:rPr>
                <w:rFonts w:ascii="宋体" w:hAnsi="宋体" w:cs="宋体" w:eastAsia="宋体" w:hint="default"/>
                <w:spacing w:val="-6"/>
                <w:sz w:val="18"/>
                <w:szCs w:val="18"/>
              </w:rPr>
              <w:t>2018</w:t>
            </w:r>
            <w:r>
              <w:rPr>
                <w:rFonts w:ascii="宋体" w:hAnsi="宋体" w:cs="宋体" w:eastAsia="宋体" w:hint="default"/>
                <w:spacing w:val="-51"/>
                <w:sz w:val="18"/>
                <w:szCs w:val="18"/>
              </w:rPr>
              <w:t> </w:t>
            </w:r>
            <w:r>
              <w:rPr>
                <w:rFonts w:ascii="宋体" w:hAnsi="宋体" w:cs="宋体" w:eastAsia="宋体" w:hint="default"/>
                <w:spacing w:val="-5"/>
                <w:sz w:val="18"/>
                <w:szCs w:val="18"/>
              </w:rPr>
              <w:t>年度、</w:t>
            </w:r>
            <w:r>
              <w:rPr>
                <w:rFonts w:ascii="宋体" w:hAnsi="宋体" w:cs="宋体" w:eastAsia="宋体" w:hint="default"/>
                <w:spacing w:val="-5"/>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年度、 </w:t>
            </w:r>
            <w:r>
              <w:rPr>
                <w:rFonts w:ascii="宋体" w:hAnsi="宋体" w:cs="宋体" w:eastAsia="宋体" w:hint="default"/>
                <w:sz w:val="18"/>
                <w:szCs w:val="18"/>
              </w:rPr>
              <w:t>2020</w:t>
            </w:r>
            <w:r>
              <w:rPr>
                <w:rFonts w:ascii="宋体" w:hAnsi="宋体" w:cs="宋体" w:eastAsia="宋体" w:hint="default"/>
                <w:spacing w:val="-57"/>
                <w:sz w:val="18"/>
                <w:szCs w:val="18"/>
              </w:rPr>
              <w:t> </w:t>
            </w:r>
            <w:r>
              <w:rPr>
                <w:rFonts w:ascii="宋体" w:hAnsi="宋体" w:cs="宋体" w:eastAsia="宋体" w:hint="default"/>
                <w:sz w:val="18"/>
                <w:szCs w:val="18"/>
              </w:rPr>
              <w:t>年度任一年内，截至当期期末累计实际实现净利润数低于截至当期期末累 计承诺净利润数的，原三六零科技股东应向公司进行补偿。原三六零科技股东 当期应补偿的金额的计算公式为： 当期补偿金额</w:t>
            </w:r>
            <w:r>
              <w:rPr>
                <w:rFonts w:ascii="宋体" w:hAnsi="宋体" w:cs="宋体" w:eastAsia="宋体" w:hint="default"/>
                <w:sz w:val="18"/>
                <w:szCs w:val="18"/>
              </w:rPr>
              <w:t>=(</w:t>
            </w:r>
            <w:r>
              <w:rPr>
                <w:rFonts w:ascii="宋体" w:hAnsi="宋体" w:cs="宋体" w:eastAsia="宋体" w:hint="default"/>
                <w:sz w:val="18"/>
                <w:szCs w:val="18"/>
              </w:rPr>
              <w:t>截至当期期末累积承诺净利润数－截至当期期末累积实现净利 润数</w:t>
            </w:r>
            <w:r>
              <w:rPr>
                <w:rFonts w:ascii="宋体" w:hAnsi="宋体" w:cs="宋体" w:eastAsia="宋体" w:hint="default"/>
                <w:sz w:val="18"/>
                <w:szCs w:val="18"/>
              </w:rPr>
              <w:t>)</w:t>
            </w:r>
            <w:r>
              <w:rPr>
                <w:rFonts w:ascii="宋体" w:hAnsi="宋体" w:cs="宋体" w:eastAsia="宋体" w:hint="default"/>
                <w:sz w:val="18"/>
                <w:szCs w:val="18"/>
              </w:rPr>
              <w:t>÷利润补偿期限内各年的承诺净利润数总和×公司本次交易作价－累积 已补偿金额。</w:t>
            </w:r>
          </w:p>
          <w:p>
            <w:pPr>
              <w:pStyle w:val="TableParagraph"/>
              <w:spacing w:line="237" w:lineRule="auto"/>
              <w:ind w:left="103" w:right="12"/>
              <w:jc w:val="left"/>
              <w:rPr>
                <w:rFonts w:ascii="宋体" w:hAnsi="宋体" w:cs="宋体" w:eastAsia="宋体" w:hint="default"/>
                <w:sz w:val="18"/>
                <w:szCs w:val="18"/>
              </w:rPr>
            </w:pPr>
            <w:r>
              <w:rPr>
                <w:rFonts w:ascii="宋体" w:hAnsi="宋体" w:cs="宋体" w:eastAsia="宋体" w:hint="default"/>
                <w:sz w:val="18"/>
                <w:szCs w:val="18"/>
              </w:rPr>
              <w:t>在上述公式运用中，应遵循：</w:t>
            </w:r>
            <w:r>
              <w:rPr>
                <w:rFonts w:ascii="宋体" w:hAnsi="宋体" w:cs="宋体" w:eastAsia="宋体" w:hint="default"/>
                <w:sz w:val="18"/>
                <w:szCs w:val="18"/>
              </w:rPr>
              <w:t>(1)</w:t>
            </w:r>
            <w:r>
              <w:rPr>
                <w:rFonts w:ascii="宋体" w:hAnsi="宋体" w:cs="宋体" w:eastAsia="宋体" w:hint="default"/>
                <w:sz w:val="18"/>
                <w:szCs w:val="18"/>
              </w:rPr>
              <w:t>“截至当期期末”指从</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年度起算，截至 当期期末的期间；</w:t>
            </w:r>
            <w:r>
              <w:rPr>
                <w:rFonts w:ascii="宋体" w:hAnsi="宋体" w:cs="宋体" w:eastAsia="宋体" w:hint="default"/>
                <w:sz w:val="18"/>
                <w:szCs w:val="18"/>
              </w:rPr>
              <w:t>(2)</w:t>
            </w:r>
            <w:r>
              <w:rPr>
                <w:rFonts w:ascii="宋体" w:hAnsi="宋体" w:cs="宋体" w:eastAsia="宋体" w:hint="default"/>
                <w:sz w:val="18"/>
                <w:szCs w:val="18"/>
              </w:rPr>
              <w:t>“承诺净利润数总和”指</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年度、</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年度、</w:t>
            </w:r>
            <w:r>
              <w:rPr>
                <w:rFonts w:ascii="宋体" w:hAnsi="宋体" w:cs="宋体" w:eastAsia="宋体" w:hint="default"/>
                <w:sz w:val="18"/>
                <w:szCs w:val="18"/>
              </w:rPr>
              <w:t>2019 </w:t>
            </w:r>
            <w:r>
              <w:rPr>
                <w:rFonts w:ascii="宋体" w:hAnsi="宋体" w:cs="宋体" w:eastAsia="宋体" w:hint="default"/>
                <w:sz w:val="18"/>
                <w:szCs w:val="18"/>
              </w:rPr>
              <w:t>年度、</w:t>
            </w: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年度承诺净利润下限之和，即</w:t>
            </w:r>
            <w:r>
              <w:rPr>
                <w:rFonts w:ascii="宋体" w:hAnsi="宋体" w:cs="宋体" w:eastAsia="宋体" w:hint="default"/>
                <w:spacing w:val="-46"/>
                <w:sz w:val="18"/>
                <w:szCs w:val="18"/>
              </w:rPr>
              <w:t> </w:t>
            </w:r>
            <w:r>
              <w:rPr>
                <w:rFonts w:ascii="宋体" w:hAnsi="宋体" w:cs="宋体" w:eastAsia="宋体" w:hint="default"/>
                <w:sz w:val="18"/>
                <w:szCs w:val="18"/>
              </w:rPr>
              <w:t>1,305,000</w:t>
            </w:r>
            <w:r>
              <w:rPr>
                <w:rFonts w:ascii="宋体" w:hAnsi="宋体" w:cs="宋体" w:eastAsia="宋体" w:hint="default"/>
                <w:spacing w:val="-44"/>
                <w:sz w:val="18"/>
                <w:szCs w:val="18"/>
              </w:rPr>
              <w:t> </w:t>
            </w:r>
            <w:r>
              <w:rPr>
                <w:rFonts w:ascii="宋体" w:hAnsi="宋体" w:cs="宋体" w:eastAsia="宋体" w:hint="default"/>
                <w:sz w:val="18"/>
                <w:szCs w:val="18"/>
              </w:rPr>
              <w:t>万元。 原三六零科技股东向公司支付的补偿额总计不超过原三六零科技股东从本次交 易中所获对价股份的总对价。在计算的应补偿金额少于或等于</w:t>
            </w:r>
            <w:r>
              <w:rPr>
                <w:rFonts w:ascii="宋体" w:hAnsi="宋体" w:cs="宋体" w:eastAsia="宋体" w:hint="default"/>
                <w:spacing w:val="-54"/>
                <w:sz w:val="18"/>
                <w:szCs w:val="18"/>
              </w:rPr>
              <w:t> </w:t>
            </w:r>
            <w:r>
              <w:rPr>
                <w:rFonts w:ascii="宋体" w:hAnsi="宋体" w:cs="宋体" w:eastAsia="宋体" w:hint="default"/>
                <w:sz w:val="18"/>
                <w:szCs w:val="18"/>
              </w:rPr>
              <w:t>0</w:t>
            </w:r>
            <w:r>
              <w:rPr>
                <w:rFonts w:ascii="宋体" w:hAnsi="宋体" w:cs="宋体" w:eastAsia="宋体" w:hint="default"/>
                <w:spacing w:val="-54"/>
                <w:sz w:val="18"/>
                <w:szCs w:val="18"/>
              </w:rPr>
              <w:t> </w:t>
            </w:r>
            <w:r>
              <w:rPr>
                <w:rFonts w:ascii="宋体" w:hAnsi="宋体" w:cs="宋体" w:eastAsia="宋体" w:hint="default"/>
                <w:spacing w:val="-15"/>
                <w:sz w:val="18"/>
                <w:szCs w:val="18"/>
              </w:rPr>
              <w:t>时，按</w:t>
            </w:r>
            <w:r>
              <w:rPr>
                <w:rFonts w:ascii="宋体" w:hAnsi="宋体" w:cs="宋体" w:eastAsia="宋体" w:hint="default"/>
                <w:spacing w:val="-57"/>
                <w:sz w:val="18"/>
                <w:szCs w:val="18"/>
              </w:rPr>
              <w:t> </w:t>
            </w:r>
            <w:r>
              <w:rPr>
                <w:rFonts w:ascii="宋体" w:hAnsi="宋体" w:cs="宋体" w:eastAsia="宋体" w:hint="default"/>
                <w:sz w:val="18"/>
                <w:szCs w:val="18"/>
              </w:rPr>
              <w:t>0</w:t>
            </w:r>
            <w:r>
              <w:rPr>
                <w:rFonts w:ascii="宋体" w:hAnsi="宋体" w:cs="宋体" w:eastAsia="宋体" w:hint="default"/>
                <w:spacing w:val="-54"/>
                <w:sz w:val="18"/>
                <w:szCs w:val="18"/>
              </w:rPr>
              <w:t> </w:t>
            </w:r>
            <w:r>
              <w:rPr>
                <w:rFonts w:ascii="宋体" w:hAnsi="宋体" w:cs="宋体" w:eastAsia="宋体" w:hint="default"/>
                <w:sz w:val="18"/>
                <w:szCs w:val="18"/>
              </w:rPr>
              <w:t>取值， 即已经补偿的金额或股份不冲回。 就原三六零科技股东向公司的补偿方式，各方同意，优先以原三六零科技股东 于本次交易中获得的股份进行补偿，适用股份进行补偿后仍不足的差额，应以 现金进行补偿。 </w:t>
            </w:r>
            <w:r>
              <w:rPr>
                <w:rFonts w:ascii="宋体" w:hAnsi="宋体" w:cs="宋体" w:eastAsia="宋体" w:hint="default"/>
                <w:spacing w:val="-3"/>
                <w:sz w:val="18"/>
                <w:szCs w:val="18"/>
              </w:rPr>
              <w:t>补偿的股份数量计算公示为：应补偿股份数量</w:t>
            </w:r>
            <w:r>
              <w:rPr>
                <w:rFonts w:ascii="宋体" w:hAnsi="宋体" w:cs="宋体" w:eastAsia="宋体" w:hint="default"/>
                <w:spacing w:val="-3"/>
                <w:sz w:val="18"/>
                <w:szCs w:val="18"/>
              </w:rPr>
              <w:t>=</w:t>
            </w:r>
            <w:r>
              <w:rPr>
                <w:rFonts w:ascii="宋体" w:hAnsi="宋体" w:cs="宋体" w:eastAsia="宋体" w:hint="default"/>
                <w:spacing w:val="-3"/>
                <w:sz w:val="18"/>
                <w:szCs w:val="18"/>
              </w:rPr>
              <w:t>应补偿金额÷本次交易发行股份</w:t>
            </w:r>
            <w:r>
              <w:rPr>
                <w:rFonts w:ascii="宋体" w:hAnsi="宋体" w:cs="宋体" w:eastAsia="宋体" w:hint="default"/>
                <w:spacing w:val="-69"/>
                <w:sz w:val="18"/>
                <w:szCs w:val="18"/>
              </w:rPr>
              <w:t> </w:t>
            </w:r>
            <w:r>
              <w:rPr>
                <w:rFonts w:ascii="宋体" w:hAnsi="宋体" w:cs="宋体" w:eastAsia="宋体" w:hint="default"/>
                <w:sz w:val="18"/>
                <w:szCs w:val="18"/>
              </w:rPr>
              <w:t>价格。计算补偿的股份数量并非整数时，按照四舍五入原则处理。 若股份补偿方式实施后仍不能完全补足原三六零科技股东当年应支付补偿额</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04"/>
              <w:ind w:left="172" w:right="0"/>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33" w:lineRule="exact"/>
              <w:ind w:left="127"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日签署</w:t>
            </w:r>
          </w:p>
          <w:p>
            <w:pPr>
              <w:pStyle w:val="TableParagraph"/>
              <w:spacing w:line="237" w:lineRule="auto"/>
              <w:ind w:left="127" w:right="130"/>
              <w:jc w:val="center"/>
              <w:rPr>
                <w:rFonts w:ascii="宋体" w:hAnsi="宋体" w:cs="宋体" w:eastAsia="宋体" w:hint="default"/>
                <w:sz w:val="18"/>
                <w:szCs w:val="18"/>
              </w:rPr>
            </w:pPr>
            <w:r>
              <w:rPr>
                <w:rFonts w:ascii="宋体" w:hAnsi="宋体" w:cs="宋体" w:eastAsia="宋体" w:hint="default"/>
                <w:sz w:val="18"/>
                <w:szCs w:val="18"/>
              </w:rPr>
              <w:t>《业绩承诺 及补偿协 议》，</w:t>
            </w: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35" w:lineRule="exact"/>
              <w:ind w:left="105" w:right="0"/>
              <w:jc w:val="both"/>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7" w:lineRule="auto" w:before="2"/>
              <w:ind w:left="127" w:right="99" w:hanging="27"/>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pacing w:val="-16"/>
                <w:sz w:val="18"/>
                <w:szCs w:val="18"/>
              </w:rPr>
              <w:t>日签署《业</w:t>
            </w:r>
            <w:r>
              <w:rPr>
                <w:rFonts w:ascii="宋体" w:hAnsi="宋体" w:cs="宋体" w:eastAsia="宋体" w:hint="default"/>
                <w:sz w:val="18"/>
                <w:szCs w:val="18"/>
              </w:rPr>
              <w:t> 绩承诺及补 充协议之补 充协议》</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6840" w:h="11910" w:orient="landscape"/>
          <w:pgMar w:header="857" w:footer="1218" w:top="1320" w:bottom="140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1164"/>
        <w:gridCol w:w="706"/>
        <w:gridCol w:w="1150"/>
        <w:gridCol w:w="6344"/>
        <w:gridCol w:w="1169"/>
        <w:gridCol w:w="720"/>
        <w:gridCol w:w="720"/>
        <w:gridCol w:w="1008"/>
        <w:gridCol w:w="1124"/>
      </w:tblGrid>
      <w:tr>
        <w:trPr>
          <w:trHeight w:val="1176"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15" w:right="0"/>
              <w:jc w:val="left"/>
              <w:rPr>
                <w:rFonts w:ascii="宋体" w:hAnsi="宋体" w:cs="宋体" w:eastAsia="宋体" w:hint="default"/>
                <w:sz w:val="18"/>
                <w:szCs w:val="18"/>
              </w:rPr>
            </w:pPr>
            <w:r>
              <w:rPr>
                <w:rFonts w:ascii="宋体" w:hAnsi="宋体" w:cs="宋体" w:eastAsia="宋体" w:hint="default"/>
                <w:sz w:val="18"/>
                <w:szCs w:val="18"/>
              </w:rPr>
              <w:t>承诺背景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67" w:right="167"/>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2986" w:right="2986"/>
              <w:jc w:val="center"/>
              <w:rPr>
                <w:rFonts w:ascii="宋体" w:hAnsi="宋体" w:cs="宋体" w:eastAsia="宋体" w:hint="default"/>
                <w:sz w:val="18"/>
                <w:szCs w:val="18"/>
              </w:rPr>
            </w:pPr>
            <w:r>
              <w:rPr>
                <w:rFonts w:ascii="宋体" w:hAnsi="宋体" w:cs="宋体" w:eastAsia="宋体" w:hint="default"/>
                <w:sz w:val="18"/>
                <w:szCs w:val="18"/>
              </w:rPr>
              <w:t>承诺 内容</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398" w:right="130" w:hanging="272"/>
              <w:jc w:val="left"/>
              <w:rPr>
                <w:rFonts w:ascii="宋体" w:hAnsi="宋体" w:cs="宋体" w:eastAsia="宋体" w:hint="default"/>
                <w:sz w:val="18"/>
                <w:szCs w:val="18"/>
              </w:rPr>
            </w:pPr>
            <w:r>
              <w:rPr>
                <w:rFonts w:ascii="宋体" w:hAnsi="宋体" w:cs="宋体" w:eastAsia="宋体" w:hint="default"/>
                <w:sz w:val="18"/>
                <w:szCs w:val="18"/>
              </w:rPr>
              <w:t>承诺时间及 期限</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5" w:right="173"/>
              <w:jc w:val="both"/>
              <w:rPr>
                <w:rFonts w:ascii="宋体" w:hAnsi="宋体" w:cs="宋体" w:eastAsia="宋体" w:hint="default"/>
                <w:sz w:val="18"/>
                <w:szCs w:val="18"/>
              </w:rPr>
            </w:pPr>
            <w:r>
              <w:rPr>
                <w:rFonts w:ascii="宋体" w:hAnsi="宋体" w:cs="宋体" w:eastAsia="宋体" w:hint="default"/>
                <w:sz w:val="18"/>
                <w:szCs w:val="18"/>
              </w:rPr>
              <w:t>是否 有履 行期 限</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5" w:right="173"/>
              <w:jc w:val="both"/>
              <w:rPr>
                <w:rFonts w:ascii="宋体" w:hAnsi="宋体" w:cs="宋体" w:eastAsia="宋体" w:hint="default"/>
                <w:sz w:val="18"/>
                <w:szCs w:val="18"/>
              </w:rPr>
            </w:pPr>
            <w:r>
              <w:rPr>
                <w:rFonts w:ascii="宋体" w:hAnsi="宋体" w:cs="宋体" w:eastAsia="宋体" w:hint="default"/>
                <w:sz w:val="18"/>
                <w:szCs w:val="18"/>
              </w:rPr>
              <w:t>是否 及时 严格 履行</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9" w:right="0"/>
              <w:jc w:val="both"/>
              <w:rPr>
                <w:rFonts w:ascii="宋体" w:hAnsi="宋体" w:cs="宋体" w:eastAsia="宋体" w:hint="default"/>
                <w:sz w:val="18"/>
                <w:szCs w:val="18"/>
              </w:rPr>
            </w:pPr>
            <w:r>
              <w:rPr>
                <w:rFonts w:ascii="宋体" w:hAnsi="宋体" w:cs="宋体" w:eastAsia="宋体" w:hint="default"/>
                <w:sz w:val="18"/>
                <w:szCs w:val="18"/>
              </w:rPr>
              <w:t>如未能及</w:t>
            </w:r>
          </w:p>
          <w:p>
            <w:pPr>
              <w:pStyle w:val="TableParagraph"/>
              <w:spacing w:line="237" w:lineRule="auto"/>
              <w:ind w:left="139" w:right="137"/>
              <w:jc w:val="both"/>
              <w:rPr>
                <w:rFonts w:ascii="宋体" w:hAnsi="宋体" w:cs="宋体" w:eastAsia="宋体" w:hint="default"/>
                <w:sz w:val="18"/>
                <w:szCs w:val="18"/>
              </w:rPr>
            </w:pPr>
            <w:r>
              <w:rPr>
                <w:rFonts w:ascii="宋体" w:hAnsi="宋体" w:cs="宋体" w:eastAsia="宋体" w:hint="default"/>
                <w:sz w:val="18"/>
                <w:szCs w:val="18"/>
              </w:rPr>
              <w:t>时履行应 说明未完 成履行的 具体原因</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7" w:lineRule="auto"/>
              <w:ind w:left="105" w:right="106"/>
              <w:jc w:val="both"/>
              <w:rPr>
                <w:rFonts w:ascii="宋体" w:hAnsi="宋体" w:cs="宋体" w:eastAsia="宋体" w:hint="default"/>
                <w:sz w:val="18"/>
                <w:szCs w:val="18"/>
              </w:rPr>
            </w:pPr>
            <w:r>
              <w:rPr>
                <w:rFonts w:ascii="宋体" w:hAnsi="宋体" w:cs="宋体" w:eastAsia="宋体" w:hint="default"/>
                <w:sz w:val="18"/>
                <w:szCs w:val="18"/>
              </w:rPr>
              <w:t>如未能及时 履行应说明 下一步计划</w:t>
            </w:r>
          </w:p>
        </w:tc>
      </w:tr>
      <w:tr>
        <w:trPr>
          <w:trHeight w:val="2113" w:hRule="exact"/>
        </w:trPr>
        <w:tc>
          <w:tcPr>
            <w:tcW w:w="116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的，则原三六零科技股东以现金方式进行补偿，具体补偿计算公式为：当年应</w:t>
            </w:r>
          </w:p>
          <w:p>
            <w:pPr>
              <w:pStyle w:val="TableParagraph"/>
              <w:spacing w:line="237" w:lineRule="auto" w:before="2"/>
              <w:ind w:left="103" w:right="101"/>
              <w:jc w:val="left"/>
              <w:rPr>
                <w:rFonts w:ascii="宋体" w:hAnsi="宋体" w:cs="宋体" w:eastAsia="宋体" w:hint="default"/>
                <w:sz w:val="18"/>
                <w:szCs w:val="18"/>
              </w:rPr>
            </w:pPr>
            <w:r>
              <w:rPr>
                <w:rFonts w:ascii="宋体" w:hAnsi="宋体" w:cs="宋体" w:eastAsia="宋体" w:hint="default"/>
                <w:spacing w:val="-3"/>
                <w:sz w:val="18"/>
                <w:szCs w:val="18"/>
              </w:rPr>
              <w:t>补偿现金数额</w:t>
            </w:r>
            <w:r>
              <w:rPr>
                <w:rFonts w:ascii="宋体" w:hAnsi="宋体" w:cs="宋体" w:eastAsia="宋体" w:hint="default"/>
                <w:spacing w:val="-3"/>
                <w:sz w:val="18"/>
                <w:szCs w:val="18"/>
              </w:rPr>
              <w:t>=</w:t>
            </w:r>
            <w:r>
              <w:rPr>
                <w:rFonts w:ascii="宋体" w:hAnsi="宋体" w:cs="宋体" w:eastAsia="宋体" w:hint="default"/>
                <w:spacing w:val="-3"/>
                <w:sz w:val="18"/>
                <w:szCs w:val="18"/>
              </w:rPr>
              <w:t>（应补偿股份总数</w:t>
            </w:r>
            <w:r>
              <w:rPr>
                <w:rFonts w:ascii="宋体" w:hAnsi="宋体" w:cs="宋体" w:eastAsia="宋体" w:hint="default"/>
                <w:spacing w:val="-3"/>
                <w:sz w:val="18"/>
                <w:szCs w:val="18"/>
              </w:rPr>
              <w:t>-</w:t>
            </w:r>
            <w:r>
              <w:rPr>
                <w:rFonts w:ascii="宋体" w:hAnsi="宋体" w:cs="宋体" w:eastAsia="宋体" w:hint="default"/>
                <w:spacing w:val="-3"/>
                <w:sz w:val="18"/>
                <w:szCs w:val="18"/>
              </w:rPr>
              <w:t>已补偿股份总数）×本次发行价格</w:t>
            </w:r>
            <w:r>
              <w:rPr>
                <w:rFonts w:ascii="宋体" w:hAnsi="宋体" w:cs="宋体" w:eastAsia="宋体" w:hint="default"/>
                <w:spacing w:val="-3"/>
                <w:sz w:val="18"/>
                <w:szCs w:val="18"/>
              </w:rPr>
              <w:t>-</w:t>
            </w:r>
            <w:r>
              <w:rPr>
                <w:rFonts w:ascii="宋体" w:hAnsi="宋体" w:cs="宋体" w:eastAsia="宋体" w:hint="default"/>
                <w:spacing w:val="-3"/>
                <w:sz w:val="18"/>
                <w:szCs w:val="18"/>
              </w:rPr>
              <w:t>已补偿现</w:t>
            </w:r>
            <w:r>
              <w:rPr>
                <w:rFonts w:ascii="宋体" w:hAnsi="宋体" w:cs="宋体" w:eastAsia="宋体" w:hint="default"/>
                <w:spacing w:val="-66"/>
                <w:sz w:val="18"/>
                <w:szCs w:val="18"/>
              </w:rPr>
              <w:t> </w:t>
            </w:r>
            <w:r>
              <w:rPr>
                <w:rFonts w:ascii="宋体" w:hAnsi="宋体" w:cs="宋体" w:eastAsia="宋体" w:hint="default"/>
                <w:sz w:val="18"/>
                <w:szCs w:val="18"/>
              </w:rPr>
              <w:t>金数额。 若公司在利润补偿期限内实施送股、资本公积转增股本或配股等除权除息事项 </w:t>
            </w:r>
            <w:r>
              <w:rPr>
                <w:rFonts w:ascii="宋体" w:hAnsi="宋体" w:cs="宋体" w:eastAsia="宋体" w:hint="default"/>
                <w:spacing w:val="-3"/>
                <w:sz w:val="18"/>
                <w:szCs w:val="18"/>
              </w:rPr>
              <w:t>的，则应补偿的股份数量相应调整为：应补偿股份数量（调整后）</w:t>
            </w:r>
            <w:r>
              <w:rPr>
                <w:rFonts w:ascii="宋体" w:hAnsi="宋体" w:cs="宋体" w:eastAsia="宋体" w:hint="default"/>
                <w:spacing w:val="-3"/>
                <w:sz w:val="18"/>
                <w:szCs w:val="18"/>
              </w:rPr>
              <w:t>=</w:t>
            </w:r>
            <w:r>
              <w:rPr>
                <w:rFonts w:ascii="宋体" w:hAnsi="宋体" w:cs="宋体" w:eastAsia="宋体" w:hint="default"/>
                <w:spacing w:val="-3"/>
                <w:sz w:val="18"/>
                <w:szCs w:val="18"/>
              </w:rPr>
              <w:t>应补偿股份</w:t>
            </w:r>
            <w:r>
              <w:rPr>
                <w:rFonts w:ascii="宋体" w:hAnsi="宋体" w:cs="宋体" w:eastAsia="宋体" w:hint="default"/>
                <w:spacing w:val="-71"/>
                <w:sz w:val="18"/>
                <w:szCs w:val="18"/>
              </w:rPr>
              <w:t> </w:t>
            </w:r>
            <w:r>
              <w:rPr>
                <w:rFonts w:ascii="宋体" w:hAnsi="宋体" w:cs="宋体" w:eastAsia="宋体" w:hint="default"/>
                <w:sz w:val="18"/>
                <w:szCs w:val="18"/>
              </w:rPr>
              <w:t>数量×（</w:t>
            </w:r>
            <w:r>
              <w:rPr>
                <w:rFonts w:ascii="宋体" w:hAnsi="宋体" w:cs="宋体" w:eastAsia="宋体" w:hint="default"/>
                <w:sz w:val="18"/>
                <w:szCs w:val="18"/>
              </w:rPr>
              <w:t>1+</w:t>
            </w:r>
            <w:r>
              <w:rPr>
                <w:rFonts w:ascii="宋体" w:hAnsi="宋体" w:cs="宋体" w:eastAsia="宋体" w:hint="default"/>
                <w:sz w:val="18"/>
                <w:szCs w:val="18"/>
              </w:rPr>
              <w:t>转增或送股比例）。 若甲方在利润补偿期限实施现金分红的，现金分红的部分应作相应返还，计算 </w:t>
            </w:r>
            <w:r>
              <w:rPr>
                <w:rFonts w:ascii="宋体" w:hAnsi="宋体" w:cs="宋体" w:eastAsia="宋体" w:hint="default"/>
                <w:spacing w:val="-8"/>
                <w:sz w:val="18"/>
                <w:szCs w:val="18"/>
              </w:rPr>
              <w:t>公式为：返还金额</w:t>
            </w:r>
            <w:r>
              <w:rPr>
                <w:rFonts w:ascii="宋体" w:hAnsi="宋体" w:cs="宋体" w:eastAsia="宋体" w:hint="default"/>
                <w:spacing w:val="-8"/>
                <w:sz w:val="18"/>
                <w:szCs w:val="18"/>
              </w:rPr>
              <w:t>=</w:t>
            </w:r>
            <w:r>
              <w:rPr>
                <w:rFonts w:ascii="宋体" w:hAnsi="宋体" w:cs="宋体" w:eastAsia="宋体" w:hint="default"/>
                <w:spacing w:val="-8"/>
                <w:sz w:val="18"/>
                <w:szCs w:val="18"/>
              </w:rPr>
              <w:t>收到的现金分配总额（税前）÷本次交易取得的股份数量（包</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含本次交易取得的股份以及转增、送股新增的部分）×补充股份数量。</w:t>
            </w:r>
          </w:p>
        </w:tc>
        <w:tc>
          <w:tcPr>
            <w:tcW w:w="11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11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32" w:lineRule="exact"/>
              <w:ind w:left="215" w:right="125" w:hanging="89"/>
              <w:jc w:val="left"/>
              <w:rPr>
                <w:rFonts w:ascii="宋体" w:hAnsi="宋体" w:cs="宋体" w:eastAsia="宋体" w:hint="default"/>
                <w:sz w:val="18"/>
                <w:szCs w:val="18"/>
              </w:rPr>
            </w:pPr>
            <w:r>
              <w:rPr>
                <w:rFonts w:ascii="宋体" w:hAnsi="宋体" w:cs="宋体" w:eastAsia="宋体" w:hint="default"/>
                <w:sz w:val="18"/>
                <w:szCs w:val="18"/>
              </w:rPr>
              <w:t>与再融资相 关的承诺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9" w:right="0"/>
              <w:jc w:val="both"/>
              <w:rPr>
                <w:rFonts w:ascii="宋体" w:hAnsi="宋体" w:cs="宋体" w:eastAsia="宋体" w:hint="default"/>
                <w:sz w:val="18"/>
                <w:szCs w:val="18"/>
              </w:rPr>
            </w:pPr>
            <w:r>
              <w:rPr>
                <w:rFonts w:ascii="宋体" w:hAnsi="宋体" w:cs="宋体" w:eastAsia="宋体" w:hint="default"/>
                <w:sz w:val="18"/>
                <w:szCs w:val="18"/>
              </w:rPr>
              <w:t>控股股东天</w:t>
            </w:r>
          </w:p>
          <w:p>
            <w:pPr>
              <w:pStyle w:val="TableParagraph"/>
              <w:spacing w:line="237" w:lineRule="auto"/>
              <w:ind w:left="119" w:right="119"/>
              <w:jc w:val="both"/>
              <w:rPr>
                <w:rFonts w:ascii="宋体" w:hAnsi="宋体" w:cs="宋体" w:eastAsia="宋体" w:hint="default"/>
                <w:sz w:val="18"/>
                <w:szCs w:val="18"/>
              </w:rPr>
            </w:pPr>
            <w:r>
              <w:rPr>
                <w:rFonts w:ascii="宋体" w:hAnsi="宋体" w:cs="宋体" w:eastAsia="宋体" w:hint="default"/>
                <w:sz w:val="18"/>
                <w:szCs w:val="18"/>
              </w:rPr>
              <w:t>津奇信志成 科技有限公 司及实际控 制人周鸿祎</w:t>
            </w:r>
          </w:p>
        </w:tc>
        <w:tc>
          <w:tcPr>
            <w:tcW w:w="6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7" w:lineRule="auto"/>
              <w:ind w:left="103" w:right="105"/>
              <w:jc w:val="left"/>
              <w:rPr>
                <w:rFonts w:ascii="宋体" w:hAnsi="宋体" w:cs="宋体" w:eastAsia="宋体" w:hint="default"/>
                <w:sz w:val="18"/>
                <w:szCs w:val="18"/>
              </w:rPr>
            </w:pPr>
            <w:r>
              <w:rPr>
                <w:rFonts w:ascii="宋体" w:hAnsi="宋体" w:cs="宋体" w:eastAsia="宋体" w:hint="default"/>
                <w:spacing w:val="-3"/>
                <w:sz w:val="18"/>
                <w:szCs w:val="18"/>
              </w:rPr>
              <w:t>本人</w:t>
            </w:r>
            <w:r>
              <w:rPr>
                <w:rFonts w:ascii="宋体" w:hAnsi="宋体" w:cs="宋体" w:eastAsia="宋体" w:hint="default"/>
                <w:spacing w:val="-3"/>
                <w:sz w:val="18"/>
                <w:szCs w:val="18"/>
              </w:rPr>
              <w:t>/</w:t>
            </w:r>
            <w:r>
              <w:rPr>
                <w:rFonts w:ascii="宋体" w:hAnsi="宋体" w:cs="宋体" w:eastAsia="宋体" w:hint="default"/>
                <w:spacing w:val="-3"/>
                <w:sz w:val="18"/>
                <w:szCs w:val="18"/>
              </w:rPr>
              <w:t>本企业将继续保证公司的独立性，不越权干预公司的经营管理活动，不侵</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占公司的利益。 如违反上述承诺对公司造成损失的，本人</w:t>
            </w:r>
            <w:r>
              <w:rPr>
                <w:rFonts w:ascii="宋体" w:hAnsi="宋体" w:cs="宋体" w:eastAsia="宋体" w:hint="default"/>
                <w:sz w:val="18"/>
                <w:szCs w:val="18"/>
              </w:rPr>
              <w:t>/</w:t>
            </w:r>
            <w:r>
              <w:rPr>
                <w:rFonts w:ascii="宋体" w:hAnsi="宋体" w:cs="宋体" w:eastAsia="宋体" w:hint="default"/>
                <w:sz w:val="18"/>
                <w:szCs w:val="18"/>
              </w:rPr>
              <w:t>本企业将依法承担相应责任。</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13"/>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980" w:hRule="exact"/>
        </w:trPr>
        <w:tc>
          <w:tcPr>
            <w:tcW w:w="1164" w:type="dxa"/>
            <w:vMerge/>
            <w:tcBorders>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57"/>
              <w:ind w:left="119" w:right="119"/>
              <w:jc w:val="center"/>
              <w:rPr>
                <w:rFonts w:ascii="宋体" w:hAnsi="宋体" w:cs="宋体" w:eastAsia="宋体" w:hint="default"/>
                <w:sz w:val="18"/>
                <w:szCs w:val="18"/>
              </w:rPr>
            </w:pPr>
            <w:r>
              <w:rPr>
                <w:rFonts w:ascii="宋体" w:hAnsi="宋体" w:cs="宋体" w:eastAsia="宋体" w:hint="default"/>
                <w:sz w:val="18"/>
                <w:szCs w:val="18"/>
              </w:rPr>
              <w:t>公司董事、 高级管理人 员</w:t>
            </w:r>
          </w:p>
        </w:tc>
        <w:tc>
          <w:tcPr>
            <w:tcW w:w="63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、本人承诺忠实、勤勉地履行职责，维护公司和全体股东的合法权益；</w:t>
            </w:r>
          </w:p>
          <w:p>
            <w:pPr>
              <w:pStyle w:val="TableParagraph"/>
              <w:spacing w:line="232" w:lineRule="exact" w:before="24"/>
              <w:ind w:left="103" w:right="104"/>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、本人承诺不无偿或以不公平条件向其他单位或者个人输送利益，也不采用其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他方式损害公司利益；</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、本人承诺对职务消费行为进行约束；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、本人承诺不动用公司资产从事与履行职责无关的投资、消费活动；</w:t>
            </w:r>
          </w:p>
          <w:p>
            <w:pPr>
              <w:pStyle w:val="TableParagraph"/>
              <w:spacing w:line="237" w:lineRule="auto"/>
              <w:ind w:left="103" w:right="105"/>
              <w:jc w:val="left"/>
              <w:rPr>
                <w:rFonts w:ascii="宋体" w:hAnsi="宋体" w:cs="宋体" w:eastAsia="宋体" w:hint="default"/>
                <w:sz w:val="18"/>
                <w:szCs w:val="18"/>
              </w:rPr>
            </w:pPr>
            <w:r>
              <w:rPr>
                <w:rFonts w:ascii="宋体" w:hAnsi="宋体" w:cs="宋体" w:eastAsia="宋体" w:hint="default"/>
                <w:spacing w:val="-3"/>
                <w:sz w:val="18"/>
                <w:szCs w:val="18"/>
              </w:rPr>
              <w:t>5</w:t>
            </w:r>
            <w:r>
              <w:rPr>
                <w:rFonts w:ascii="宋体" w:hAnsi="宋体" w:cs="宋体" w:eastAsia="宋体" w:hint="default"/>
                <w:spacing w:val="-3"/>
                <w:sz w:val="18"/>
                <w:szCs w:val="18"/>
              </w:rPr>
              <w:t>、本人承诺在自身职责和权限范围内，全力促使公司董事会或者提名与薪酬委</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员会制定的薪酬制度与公司填补回报措施的执行情况相挂钩，并对公司董事会 和股东大会审议的相关议案投赞成票（如有表决权）； </w:t>
            </w:r>
            <w:r>
              <w:rPr>
                <w:rFonts w:ascii="宋体" w:hAnsi="宋体" w:cs="宋体" w:eastAsia="宋体" w:hint="default"/>
                <w:spacing w:val="-3"/>
                <w:sz w:val="18"/>
                <w:szCs w:val="18"/>
              </w:rPr>
              <w:t>6</w:t>
            </w:r>
            <w:r>
              <w:rPr>
                <w:rFonts w:ascii="宋体" w:hAnsi="宋体" w:cs="宋体" w:eastAsia="宋体" w:hint="default"/>
                <w:spacing w:val="-3"/>
                <w:sz w:val="18"/>
                <w:szCs w:val="18"/>
              </w:rPr>
              <w:t>、如果公司拟实施股权激励，本人承诺在自身职责和权限范围内，全力促使公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司拟公布的股权激励的行权条件与公司填补回报措施的执行情况相挂钩，并对 公司董事会和股东大会审议的相关议案投赞成票（如有表决权）； </w:t>
            </w:r>
            <w:r>
              <w:rPr>
                <w:rFonts w:ascii="宋体" w:hAnsi="宋体" w:cs="宋体" w:eastAsia="宋体" w:hint="default"/>
                <w:spacing w:val="-3"/>
                <w:sz w:val="18"/>
                <w:szCs w:val="18"/>
              </w:rPr>
              <w:t>7</w:t>
            </w:r>
            <w:r>
              <w:rPr>
                <w:rFonts w:ascii="宋体" w:hAnsi="宋体" w:cs="宋体" w:eastAsia="宋体" w:hint="default"/>
                <w:spacing w:val="-3"/>
                <w:sz w:val="18"/>
                <w:szCs w:val="18"/>
              </w:rPr>
              <w:t>、本人承诺严格履行本人所作出的上述承诺事项，确保公司填补回报措施能够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得到切实履行。如果本人违反所作出的承诺或拒不履行承诺，本人将按照《关 于首发及再融资、重大资产重组摊薄即期回报有关事项的指导意见》等相关规 定履行解释、道歉等相应义务，并同意中国证券监督管理委员会和证券交易所 等证券监管机构按照其制定或发布的有关规定、规则，对本人作出相关处罚或 采取相关监管措施。若给公司或者股东造成损失的，本人愿意依法承担相应责</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6840" w:h="11910" w:orient="landscape"/>
          <w:pgMar w:header="857" w:footer="1218" w:top="1320" w:bottom="140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1164"/>
        <w:gridCol w:w="706"/>
        <w:gridCol w:w="1150"/>
        <w:gridCol w:w="6344"/>
        <w:gridCol w:w="1169"/>
        <w:gridCol w:w="720"/>
        <w:gridCol w:w="720"/>
        <w:gridCol w:w="1008"/>
        <w:gridCol w:w="1124"/>
      </w:tblGrid>
      <w:tr>
        <w:trPr>
          <w:trHeight w:val="1176"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15" w:right="0"/>
              <w:jc w:val="left"/>
              <w:rPr>
                <w:rFonts w:ascii="宋体" w:hAnsi="宋体" w:cs="宋体" w:eastAsia="宋体" w:hint="default"/>
                <w:sz w:val="18"/>
                <w:szCs w:val="18"/>
              </w:rPr>
            </w:pPr>
            <w:r>
              <w:rPr>
                <w:rFonts w:ascii="宋体" w:hAnsi="宋体" w:cs="宋体" w:eastAsia="宋体" w:hint="default"/>
                <w:sz w:val="18"/>
                <w:szCs w:val="18"/>
              </w:rPr>
              <w:t>承诺背景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67" w:right="167"/>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2986" w:right="2986"/>
              <w:jc w:val="center"/>
              <w:rPr>
                <w:rFonts w:ascii="宋体" w:hAnsi="宋体" w:cs="宋体" w:eastAsia="宋体" w:hint="default"/>
                <w:sz w:val="18"/>
                <w:szCs w:val="18"/>
              </w:rPr>
            </w:pPr>
            <w:r>
              <w:rPr>
                <w:rFonts w:ascii="宋体" w:hAnsi="宋体" w:cs="宋体" w:eastAsia="宋体" w:hint="default"/>
                <w:sz w:val="18"/>
                <w:szCs w:val="18"/>
              </w:rPr>
              <w:t>承诺 内容</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398" w:right="130" w:hanging="272"/>
              <w:jc w:val="left"/>
              <w:rPr>
                <w:rFonts w:ascii="宋体" w:hAnsi="宋体" w:cs="宋体" w:eastAsia="宋体" w:hint="default"/>
                <w:sz w:val="18"/>
                <w:szCs w:val="18"/>
              </w:rPr>
            </w:pPr>
            <w:r>
              <w:rPr>
                <w:rFonts w:ascii="宋体" w:hAnsi="宋体" w:cs="宋体" w:eastAsia="宋体" w:hint="default"/>
                <w:sz w:val="18"/>
                <w:szCs w:val="18"/>
              </w:rPr>
              <w:t>承诺时间及 期限</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5" w:right="173"/>
              <w:jc w:val="both"/>
              <w:rPr>
                <w:rFonts w:ascii="宋体" w:hAnsi="宋体" w:cs="宋体" w:eastAsia="宋体" w:hint="default"/>
                <w:sz w:val="18"/>
                <w:szCs w:val="18"/>
              </w:rPr>
            </w:pPr>
            <w:r>
              <w:rPr>
                <w:rFonts w:ascii="宋体" w:hAnsi="宋体" w:cs="宋体" w:eastAsia="宋体" w:hint="default"/>
                <w:sz w:val="18"/>
                <w:szCs w:val="18"/>
              </w:rPr>
              <w:t>是否 有履 行期 限</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5" w:right="173"/>
              <w:jc w:val="both"/>
              <w:rPr>
                <w:rFonts w:ascii="宋体" w:hAnsi="宋体" w:cs="宋体" w:eastAsia="宋体" w:hint="default"/>
                <w:sz w:val="18"/>
                <w:szCs w:val="18"/>
              </w:rPr>
            </w:pPr>
            <w:r>
              <w:rPr>
                <w:rFonts w:ascii="宋体" w:hAnsi="宋体" w:cs="宋体" w:eastAsia="宋体" w:hint="default"/>
                <w:sz w:val="18"/>
                <w:szCs w:val="18"/>
              </w:rPr>
              <w:t>是否 及时 严格 履行</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9" w:right="0"/>
              <w:jc w:val="both"/>
              <w:rPr>
                <w:rFonts w:ascii="宋体" w:hAnsi="宋体" w:cs="宋体" w:eastAsia="宋体" w:hint="default"/>
                <w:sz w:val="18"/>
                <w:szCs w:val="18"/>
              </w:rPr>
            </w:pPr>
            <w:r>
              <w:rPr>
                <w:rFonts w:ascii="宋体" w:hAnsi="宋体" w:cs="宋体" w:eastAsia="宋体" w:hint="default"/>
                <w:sz w:val="18"/>
                <w:szCs w:val="18"/>
              </w:rPr>
              <w:t>如未能及</w:t>
            </w:r>
          </w:p>
          <w:p>
            <w:pPr>
              <w:pStyle w:val="TableParagraph"/>
              <w:spacing w:line="237" w:lineRule="auto"/>
              <w:ind w:left="139" w:right="137"/>
              <w:jc w:val="both"/>
              <w:rPr>
                <w:rFonts w:ascii="宋体" w:hAnsi="宋体" w:cs="宋体" w:eastAsia="宋体" w:hint="default"/>
                <w:sz w:val="18"/>
                <w:szCs w:val="18"/>
              </w:rPr>
            </w:pPr>
            <w:r>
              <w:rPr>
                <w:rFonts w:ascii="宋体" w:hAnsi="宋体" w:cs="宋体" w:eastAsia="宋体" w:hint="default"/>
                <w:sz w:val="18"/>
                <w:szCs w:val="18"/>
              </w:rPr>
              <w:t>时履行应 说明未完 成履行的 具体原因</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7" w:lineRule="auto"/>
              <w:ind w:left="105" w:right="106"/>
              <w:jc w:val="both"/>
              <w:rPr>
                <w:rFonts w:ascii="宋体" w:hAnsi="宋体" w:cs="宋体" w:eastAsia="宋体" w:hint="default"/>
                <w:sz w:val="18"/>
                <w:szCs w:val="18"/>
              </w:rPr>
            </w:pPr>
            <w:r>
              <w:rPr>
                <w:rFonts w:ascii="宋体" w:hAnsi="宋体" w:cs="宋体" w:eastAsia="宋体" w:hint="default"/>
                <w:sz w:val="18"/>
                <w:szCs w:val="18"/>
              </w:rPr>
              <w:t>如未能及时 履行应说明 下一步计划</w:t>
            </w:r>
          </w:p>
        </w:tc>
      </w:tr>
      <w:tr>
        <w:trPr>
          <w:trHeight w:val="944" w:hRule="exact"/>
        </w:trPr>
        <w:tc>
          <w:tcPr>
            <w:tcW w:w="1164" w:type="dxa"/>
            <w:vMerge w:val="restart"/>
            <w:tcBorders>
              <w:top w:val="single" w:sz="4" w:space="0" w:color="000000"/>
              <w:left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任。</w:t>
            </w:r>
          </w:p>
          <w:p>
            <w:pPr>
              <w:pStyle w:val="TableParagraph"/>
              <w:spacing w:line="237" w:lineRule="auto" w:before="2"/>
              <w:ind w:left="103" w:right="13"/>
              <w:jc w:val="both"/>
              <w:rPr>
                <w:rFonts w:ascii="宋体" w:hAnsi="宋体" w:cs="宋体" w:eastAsia="宋体" w:hint="default"/>
                <w:sz w:val="18"/>
                <w:szCs w:val="18"/>
              </w:rPr>
            </w:pPr>
            <w:r>
              <w:rPr>
                <w:rFonts w:ascii="宋体" w:hAnsi="宋体" w:cs="宋体" w:eastAsia="宋体" w:hint="default"/>
                <w:spacing w:val="-3"/>
                <w:sz w:val="18"/>
                <w:szCs w:val="18"/>
              </w:rPr>
              <w:t>8</w:t>
            </w:r>
            <w:r>
              <w:rPr>
                <w:rFonts w:ascii="宋体" w:hAnsi="宋体" w:cs="宋体" w:eastAsia="宋体" w:hint="default"/>
                <w:spacing w:val="-3"/>
                <w:sz w:val="18"/>
                <w:szCs w:val="18"/>
              </w:rPr>
              <w:t>、自本承诺出具日至公司本次非公开发行股票实施完毕前，若中国证监会作出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关于填补回报措施及其承诺的其他新的监管规定的，且上述承诺不能满足中国 </w:t>
            </w:r>
            <w:r>
              <w:rPr>
                <w:rFonts w:ascii="宋体" w:hAnsi="宋体" w:cs="宋体" w:eastAsia="宋体" w:hint="default"/>
                <w:spacing w:val="-3"/>
                <w:sz w:val="18"/>
                <w:szCs w:val="18"/>
              </w:rPr>
              <w:t>证监会该等规定时，本人承诺届时将按照中国证监会的最新规定出具补充承诺。</w:t>
            </w:r>
          </w:p>
        </w:tc>
        <w:tc>
          <w:tcPr>
            <w:tcW w:w="11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64" w:type="dxa"/>
            <w:vMerge/>
            <w:tcBorders>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公司全体董</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事</w:t>
            </w:r>
          </w:p>
        </w:tc>
        <w:tc>
          <w:tcPr>
            <w:tcW w:w="63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公司全体董事承诺本次非公开发行股票相关申请文件中不存在虚假记载、误导</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性陈述或重大遗漏，并对其真实性、准确性和完整性承担个别和连带法律责任。</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6840" w:h="11910" w:orient="landscape"/>
          <w:pgMar w:header="857" w:footer="1218" w:top="1320" w:bottom="140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9"/>
          <w:szCs w:val="19"/>
        </w:rPr>
      </w:pPr>
    </w:p>
    <w:p>
      <w:pPr>
        <w:pStyle w:val="Heading2"/>
        <w:spacing w:line="312" w:lineRule="exact" w:before="56"/>
        <w:ind w:left="704" w:right="0" w:hanging="56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53"/>
        </w:rPr>
        <w:t> </w:t>
      </w:r>
      <w:r>
        <w:rPr>
          <w:spacing w:val="2"/>
        </w:rPr>
        <w:t>公司资产或项目存在盈利预测，且报告期仍处在盈利预测期间，公司就资产或</w:t>
      </w:r>
      <w:r>
        <w:rPr>
          <w:w w:val="99"/>
        </w:rPr>
        <w:t> </w:t>
      </w:r>
      <w:r>
        <w:rPr/>
        <w:t>项目</w:t>
      </w:r>
      <w:r>
        <w:rPr>
          <w:b w:val="0"/>
          <w:bCs w:val="0"/>
        </w:rPr>
      </w:r>
    </w:p>
    <w:p>
      <w:pPr>
        <w:pStyle w:val="Heading5"/>
        <w:spacing w:line="274" w:lineRule="exact" w:before="33"/>
        <w:ind w:left="138" w:right="0"/>
        <w:jc w:val="left"/>
        <w:rPr>
          <w:b w:val="0"/>
          <w:bCs w:val="0"/>
        </w:rPr>
      </w:pPr>
      <w:r>
        <w:rPr/>
        <w:t>是否达到原盈利预测及其原因作出说明</w:t>
      </w:r>
      <w:r>
        <w:rPr>
          <w:b w:val="0"/>
          <w:bCs w:val="0"/>
        </w:rPr>
      </w:r>
    </w:p>
    <w:p>
      <w:pPr>
        <w:pStyle w:val="BodyText"/>
        <w:spacing w:line="272" w:lineRule="exact" w:before="27"/>
        <w:ind w:left="558" w:right="0" w:hanging="420"/>
        <w:jc w:val="left"/>
      </w:pPr>
      <w:r>
        <w:rPr/>
        <w:t>√已达到</w:t>
      </w:r>
      <w:r>
        <w:rPr>
          <w:spacing w:val="-2"/>
        </w:rPr>
        <w:t> </w:t>
      </w:r>
      <w:r>
        <w:rPr/>
        <w:t>□未达到</w:t>
      </w:r>
      <w:r>
        <w:rPr>
          <w:spacing w:val="-2"/>
        </w:rPr>
        <w:t> </w:t>
      </w:r>
      <w:r>
        <w:rPr/>
        <w:t>□不适用</w:t>
      </w:r>
      <w:r>
        <w:rPr>
          <w:spacing w:val="-101"/>
        </w:rPr>
        <w:t> </w:t>
      </w:r>
      <w:r>
        <w:rPr>
          <w:spacing w:val="-101"/>
        </w:rPr>
      </w:r>
      <w:r>
        <w:rPr>
          <w:spacing w:val="-2"/>
        </w:rPr>
        <w:t>德勤华永会计师事务所（特殊普通合伙）为公司出具了《关于三六零科技有限公司实际盈利</w:t>
      </w:r>
    </w:p>
    <w:p>
      <w:pPr>
        <w:pStyle w:val="BodyText"/>
        <w:spacing w:line="357" w:lineRule="auto" w:before="108"/>
        <w:ind w:right="204"/>
        <w:jc w:val="left"/>
      </w:pPr>
      <w:r>
        <w:rPr>
          <w:w w:val="100"/>
        </w:rPr>
        <w:t>数与</w:t>
      </w:r>
      <w:r>
        <w:rPr>
          <w:spacing w:val="-3"/>
          <w:w w:val="100"/>
        </w:rPr>
        <w:t>承</w:t>
      </w:r>
      <w:r>
        <w:rPr>
          <w:w w:val="100"/>
        </w:rPr>
        <w:t>诺</w:t>
      </w:r>
      <w:r>
        <w:rPr>
          <w:spacing w:val="-3"/>
          <w:w w:val="100"/>
        </w:rPr>
        <w:t>净</w:t>
      </w:r>
      <w:r>
        <w:rPr>
          <w:w w:val="100"/>
        </w:rPr>
        <w:t>利</w:t>
      </w:r>
      <w:r>
        <w:rPr>
          <w:spacing w:val="-3"/>
          <w:w w:val="100"/>
        </w:rPr>
        <w:t>润</w:t>
      </w:r>
      <w:r>
        <w:rPr>
          <w:w w:val="100"/>
        </w:rPr>
        <w:t>差</w:t>
      </w:r>
      <w:r>
        <w:rPr>
          <w:spacing w:val="-3"/>
          <w:w w:val="100"/>
        </w:rPr>
        <w:t>异</w:t>
      </w:r>
      <w:r>
        <w:rPr>
          <w:w w:val="100"/>
        </w:rPr>
        <w:t>情</w:t>
      </w:r>
      <w:r>
        <w:rPr>
          <w:spacing w:val="-3"/>
          <w:w w:val="100"/>
        </w:rPr>
        <w:t>况</w:t>
      </w:r>
      <w:r>
        <w:rPr>
          <w:w w:val="100"/>
        </w:rPr>
        <w:t>说明</w:t>
      </w:r>
      <w:r>
        <w:rPr>
          <w:spacing w:val="-3"/>
          <w:w w:val="100"/>
        </w:rPr>
        <w:t>审</w:t>
      </w:r>
      <w:r>
        <w:rPr>
          <w:w w:val="100"/>
        </w:rPr>
        <w:t>核</w:t>
      </w:r>
      <w:r>
        <w:rPr>
          <w:spacing w:val="-3"/>
          <w:w w:val="100"/>
        </w:rPr>
        <w:t>报</w:t>
      </w:r>
      <w:r>
        <w:rPr>
          <w:w w:val="100"/>
        </w:rPr>
        <w:t>告</w:t>
      </w:r>
      <w:r>
        <w:rPr>
          <w:spacing w:val="-53"/>
        </w:rPr>
        <w:t> </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55"/>
        </w:rPr>
        <w:t> </w:t>
      </w:r>
      <w:r>
        <w:rPr>
          <w:w w:val="100"/>
        </w:rPr>
        <w:t>年度</w:t>
      </w:r>
      <w:r>
        <w:rPr>
          <w:spacing w:val="-104"/>
          <w:w w:val="100"/>
        </w:rPr>
        <w:t>》</w:t>
      </w:r>
      <w:r>
        <w:rPr>
          <w:w w:val="100"/>
        </w:rPr>
        <w:t>（德师</w:t>
      </w:r>
      <w:r>
        <w:rPr>
          <w:spacing w:val="-3"/>
          <w:w w:val="100"/>
        </w:rPr>
        <w:t>报</w:t>
      </w:r>
      <w:r>
        <w:rPr>
          <w:rFonts w:ascii="宋体" w:hAnsi="宋体" w:cs="宋体" w:eastAsia="宋体" w:hint="default"/>
          <w:w w:val="100"/>
        </w:rPr>
        <w:t>(</w:t>
      </w:r>
      <w:r>
        <w:rPr>
          <w:w w:val="100"/>
        </w:rPr>
        <w:t>核</w:t>
      </w:r>
      <w:r>
        <w:rPr>
          <w:rFonts w:ascii="宋体" w:hAnsi="宋体" w:cs="宋体" w:eastAsia="宋体" w:hint="default"/>
          <w:spacing w:val="-3"/>
          <w:w w:val="100"/>
        </w:rPr>
        <w:t>)</w:t>
      </w:r>
      <w:r>
        <w:rPr>
          <w:w w:val="100"/>
        </w:rPr>
        <w:t>字</w:t>
      </w:r>
      <w:r>
        <w:rPr>
          <w:rFonts w:ascii="宋体" w:hAnsi="宋体" w:cs="宋体" w:eastAsia="宋体" w:hint="default"/>
          <w:w w:val="100"/>
        </w:rPr>
        <w:t>(</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3"/>
          <w:w w:val="100"/>
        </w:rPr>
        <w:t>)</w:t>
      </w:r>
      <w:r>
        <w:rPr>
          <w:w w:val="100"/>
        </w:rPr>
        <w:t>第</w:t>
      </w:r>
      <w:r>
        <w:rPr>
          <w:spacing w:val="-53"/>
        </w:rPr>
        <w:t> </w:t>
      </w:r>
      <w:r>
        <w:rPr>
          <w:rFonts w:ascii="宋体" w:hAnsi="宋体" w:cs="宋体" w:eastAsia="宋体" w:hint="default"/>
          <w:w w:val="100"/>
        </w:rPr>
        <w:t>E0</w:t>
      </w:r>
      <w:r>
        <w:rPr>
          <w:rFonts w:ascii="宋体" w:hAnsi="宋体" w:cs="宋体" w:eastAsia="宋体" w:hint="default"/>
          <w:spacing w:val="-3"/>
          <w:w w:val="100"/>
        </w:rPr>
        <w:t>0</w:t>
      </w:r>
      <w:r>
        <w:rPr>
          <w:rFonts w:ascii="宋体" w:hAnsi="宋体" w:cs="宋体" w:eastAsia="宋体" w:hint="default"/>
          <w:w w:val="100"/>
        </w:rPr>
        <w:t>097</w:t>
      </w:r>
      <w:r>
        <w:rPr>
          <w:rFonts w:ascii="宋体" w:hAnsi="宋体" w:cs="宋体" w:eastAsia="宋体" w:hint="default"/>
          <w:spacing w:val="-52"/>
        </w:rPr>
        <w:t> </w:t>
      </w:r>
      <w:r>
        <w:rPr>
          <w:w w:val="100"/>
        </w:rPr>
        <w:t>号</w:t>
      </w:r>
      <w:r>
        <w:rPr>
          <w:spacing w:val="-51"/>
          <w:w w:val="100"/>
        </w:rPr>
        <w:t>）</w:t>
      </w:r>
      <w:r>
        <w:rPr>
          <w:spacing w:val="-53"/>
          <w:w w:val="100"/>
        </w:rPr>
        <w:t>。</w:t>
      </w:r>
      <w:r>
        <w:rPr>
          <w:w w:val="100"/>
        </w:rPr>
        <w:t>经</w:t>
      </w:r>
      <w:r>
        <w:rPr>
          <w:spacing w:val="-3"/>
          <w:w w:val="100"/>
        </w:rPr>
        <w:t>鉴证</w:t>
      </w:r>
      <w:r>
        <w:rPr>
          <w:w w:val="100"/>
        </w:rPr>
        <w:t>，</w:t>
      </w:r>
      <w:r>
        <w:rPr>
          <w:w w:val="100"/>
        </w:rPr>
        <w:t> 三六</w:t>
      </w:r>
      <w:r>
        <w:rPr>
          <w:spacing w:val="-3"/>
          <w:w w:val="100"/>
        </w:rPr>
        <w:t>零科</w:t>
      </w:r>
      <w:r>
        <w:rPr>
          <w:w w:val="100"/>
        </w:rPr>
        <w:t>技</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spacing w:val="-3"/>
          <w:w w:val="100"/>
        </w:rPr>
        <w:t>年</w:t>
      </w:r>
      <w:r>
        <w:rPr>
          <w:w w:val="100"/>
        </w:rPr>
        <w:t>度</w:t>
      </w:r>
      <w:r>
        <w:rPr>
          <w:spacing w:val="-3"/>
          <w:w w:val="100"/>
        </w:rPr>
        <w:t>实际</w:t>
      </w:r>
      <w:r>
        <w:rPr>
          <w:w w:val="100"/>
        </w:rPr>
        <w:t>盈利</w:t>
      </w:r>
      <w:r>
        <w:rPr>
          <w:spacing w:val="-3"/>
          <w:w w:val="100"/>
        </w:rPr>
        <w:t>数</w:t>
      </w:r>
      <w:r>
        <w:rPr>
          <w:w w:val="100"/>
        </w:rPr>
        <w:t>金</w:t>
      </w:r>
      <w:r>
        <w:rPr>
          <w:spacing w:val="-3"/>
          <w:w w:val="100"/>
        </w:rPr>
        <w:t>额</w:t>
      </w:r>
      <w:r>
        <w:rPr>
          <w:w w:val="100"/>
        </w:rPr>
        <w:t>为</w:t>
      </w:r>
      <w:r>
        <w:rPr>
          <w:spacing w:val="-3"/>
          <w:w w:val="100"/>
        </w:rPr>
        <w:t>人民</w:t>
      </w:r>
      <w:r>
        <w:rPr>
          <w:w w:val="100"/>
        </w:rPr>
        <w:t>币</w:t>
      </w:r>
      <w:r>
        <w:rPr>
          <w:spacing w:val="-53"/>
        </w:rPr>
        <w:t> </w:t>
      </w:r>
      <w:r>
        <w:rPr>
          <w:rFonts w:ascii="宋体" w:hAnsi="宋体" w:cs="宋体" w:eastAsia="宋体" w:hint="default"/>
          <w:w w:val="100"/>
        </w:rPr>
        <w:t>35</w:t>
      </w:r>
      <w:r>
        <w:rPr>
          <w:rFonts w:ascii="宋体" w:hAnsi="宋体" w:cs="宋体" w:eastAsia="宋体" w:hint="default"/>
          <w:spacing w:val="-3"/>
          <w:w w:val="100"/>
        </w:rPr>
        <w:t>6,</w:t>
      </w:r>
      <w:r>
        <w:rPr>
          <w:rFonts w:ascii="宋体" w:hAnsi="宋体" w:cs="宋体" w:eastAsia="宋体" w:hint="default"/>
          <w:w w:val="100"/>
        </w:rPr>
        <w:t>789</w:t>
      </w:r>
      <w:r>
        <w:rPr>
          <w:rFonts w:ascii="宋体" w:hAnsi="宋体" w:cs="宋体" w:eastAsia="宋体" w:hint="default"/>
          <w:spacing w:val="-52"/>
        </w:rPr>
        <w:t> </w:t>
      </w:r>
      <w:r>
        <w:rPr>
          <w:spacing w:val="-3"/>
          <w:w w:val="100"/>
        </w:rPr>
        <w:t>万元</w:t>
      </w:r>
      <w:r>
        <w:rPr>
          <w:spacing w:val="-92"/>
          <w:w w:val="100"/>
        </w:rPr>
        <w:t>，</w:t>
      </w:r>
      <w:r>
        <w:rPr>
          <w:spacing w:val="-3"/>
          <w:w w:val="100"/>
        </w:rPr>
        <w:t>高</w:t>
      </w:r>
      <w:r>
        <w:rPr>
          <w:w w:val="100"/>
        </w:rPr>
        <w:t>于</w:t>
      </w:r>
      <w:r>
        <w:rPr>
          <w:spacing w:val="-3"/>
          <w:w w:val="100"/>
        </w:rPr>
        <w:t>承</w:t>
      </w:r>
      <w:r>
        <w:rPr>
          <w:w w:val="100"/>
        </w:rPr>
        <w:t>诺</w:t>
      </w:r>
      <w:r>
        <w:rPr>
          <w:spacing w:val="-3"/>
          <w:w w:val="100"/>
        </w:rPr>
        <w:t>的</w:t>
      </w:r>
      <w:r>
        <w:rPr>
          <w:w w:val="100"/>
        </w:rPr>
        <w:t>扣</w:t>
      </w:r>
      <w:r>
        <w:rPr>
          <w:spacing w:val="-3"/>
          <w:w w:val="100"/>
        </w:rPr>
        <w:t>非</w:t>
      </w:r>
      <w:r>
        <w:rPr>
          <w:w w:val="100"/>
        </w:rPr>
        <w:t>后归</w:t>
      </w:r>
      <w:r>
        <w:rPr>
          <w:spacing w:val="-3"/>
          <w:w w:val="100"/>
        </w:rPr>
        <w:t>属</w:t>
      </w:r>
      <w:r>
        <w:rPr>
          <w:w w:val="100"/>
        </w:rPr>
        <w:t>于</w:t>
      </w:r>
      <w:r>
        <w:rPr>
          <w:spacing w:val="-3"/>
          <w:w w:val="100"/>
        </w:rPr>
        <w:t>母</w:t>
      </w:r>
      <w:r>
        <w:rPr>
          <w:w w:val="100"/>
        </w:rPr>
        <w:t>公</w:t>
      </w:r>
      <w:r>
        <w:rPr>
          <w:spacing w:val="-3"/>
          <w:w w:val="100"/>
        </w:rPr>
        <w:t>司</w:t>
      </w:r>
      <w:r>
        <w:rPr>
          <w:w w:val="100"/>
        </w:rPr>
        <w:t>净</w:t>
      </w:r>
    </w:p>
    <w:p>
      <w:pPr>
        <w:pStyle w:val="BodyText"/>
        <w:spacing w:line="357" w:lineRule="auto" w:before="30"/>
        <w:ind w:left="558" w:right="0" w:hanging="420"/>
        <w:jc w:val="left"/>
      </w:pPr>
      <w:r>
        <w:rPr/>
        <w:t>利润人民币</w:t>
      </w:r>
      <w:r>
        <w:rPr>
          <w:spacing w:val="-54"/>
        </w:rPr>
        <w:t> </w:t>
      </w:r>
      <w:r>
        <w:rPr>
          <w:rFonts w:ascii="宋体" w:hAnsi="宋体" w:cs="宋体" w:eastAsia="宋体" w:hint="default"/>
        </w:rPr>
        <w:t>290,000</w:t>
      </w:r>
      <w:r>
        <w:rPr>
          <w:rFonts w:ascii="宋体" w:hAnsi="宋体" w:cs="宋体" w:eastAsia="宋体" w:hint="default"/>
          <w:spacing w:val="-56"/>
        </w:rPr>
        <w:t> </w:t>
      </w:r>
      <w:r>
        <w:rPr/>
        <w:t>万元。</w:t>
      </w:r>
      <w:r>
        <w:rPr>
          <w:rFonts w:ascii="宋体" w:hAnsi="宋体" w:cs="宋体" w:eastAsia="宋体" w:hint="default"/>
        </w:rPr>
        <w:t>2017</w:t>
      </w:r>
      <w:r>
        <w:rPr>
          <w:rFonts w:ascii="宋体" w:hAnsi="宋体" w:cs="宋体" w:eastAsia="宋体" w:hint="default"/>
          <w:spacing w:val="-54"/>
        </w:rPr>
        <w:t> </w:t>
      </w:r>
      <w:r>
        <w:rPr/>
        <w:t>年及</w:t>
      </w:r>
      <w:r>
        <w:rPr>
          <w:spacing w:val="-54"/>
        </w:rPr>
        <w:t> </w:t>
      </w:r>
      <w:r>
        <w:rPr>
          <w:rFonts w:ascii="宋体" w:hAnsi="宋体" w:cs="宋体" w:eastAsia="宋体" w:hint="default"/>
        </w:rPr>
        <w:t>2018</w:t>
      </w:r>
      <w:r>
        <w:rPr>
          <w:rFonts w:ascii="宋体" w:hAnsi="宋体" w:cs="宋体" w:eastAsia="宋体" w:hint="default"/>
          <w:spacing w:val="-54"/>
        </w:rPr>
        <w:t> </w:t>
      </w:r>
      <w:r>
        <w:rPr/>
        <w:t>年累计超额完成盈利数为人民币</w:t>
      </w:r>
      <w:r>
        <w:rPr>
          <w:spacing w:val="-56"/>
        </w:rPr>
        <w:t> </w:t>
      </w:r>
      <w:r>
        <w:rPr>
          <w:rFonts w:ascii="宋体" w:hAnsi="宋体" w:cs="宋体" w:eastAsia="宋体" w:hint="default"/>
        </w:rPr>
        <w:t>121,977</w:t>
      </w:r>
      <w:r>
        <w:rPr>
          <w:rFonts w:ascii="宋体" w:hAnsi="宋体" w:cs="宋体" w:eastAsia="宋体" w:hint="default"/>
          <w:spacing w:val="-53"/>
        </w:rPr>
        <w:t> </w:t>
      </w:r>
      <w:r>
        <w:rPr/>
        <w:t>万元。</w:t>
      </w:r>
      <w:r>
        <w:rPr>
          <w:w w:val="100"/>
        </w:rPr>
        <w:t> </w:t>
      </w:r>
      <w:r>
        <w:rPr>
          <w:spacing w:val="-2"/>
        </w:rPr>
        <w:t>华泰联合证券有限责任公司对上述事项发表了核查意见，独立财务顾问认为：三六零重大资</w:t>
      </w:r>
    </w:p>
    <w:p>
      <w:pPr>
        <w:pStyle w:val="BodyText"/>
        <w:spacing w:line="240" w:lineRule="auto" w:before="30"/>
        <w:ind w:right="0"/>
        <w:jc w:val="left"/>
      </w:pPr>
      <w:r>
        <w:rPr/>
        <w:t>产出售、置换及发行股份购买资产暨关联交易</w:t>
      </w:r>
      <w:r>
        <w:rPr>
          <w:spacing w:val="-55"/>
        </w:rPr>
        <w:t> </w:t>
      </w:r>
      <w:r>
        <w:rPr>
          <w:rFonts w:ascii="宋体" w:hAnsi="宋体" w:cs="宋体" w:eastAsia="宋体" w:hint="default"/>
        </w:rPr>
        <w:t>2018</w:t>
      </w:r>
      <w:r>
        <w:rPr>
          <w:rFonts w:ascii="宋体" w:hAnsi="宋体" w:cs="宋体" w:eastAsia="宋体" w:hint="default"/>
          <w:spacing w:val="-57"/>
        </w:rPr>
        <w:t> </w:t>
      </w:r>
      <w:r>
        <w:rPr/>
        <w:t>年度的业绩承诺已经实现。</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2"/>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8"/>
        </w:rPr>
        <w:t> </w:t>
      </w:r>
      <w:r>
        <w:rPr/>
        <w:t>业绩承诺的完成情况及其对商誉减值测试的影响</w:t>
      </w:r>
      <w:r>
        <w:rPr>
          <w:b w:val="0"/>
          <w:bCs w:val="0"/>
        </w:rPr>
      </w:r>
    </w:p>
    <w:p>
      <w:pPr>
        <w:pStyle w:val="BodyText"/>
        <w:spacing w:line="240" w:lineRule="auto" w:before="33"/>
        <w:ind w:right="0"/>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left="138" w:right="0"/>
        <w:jc w:val="left"/>
        <w:rPr>
          <w:b w:val="0"/>
          <w:bCs w:val="0"/>
        </w:rPr>
      </w:pPr>
      <w:r>
        <w:rPr/>
        <w:t>三、报告期内资金被占用情况及清欠进展情况</w:t>
      </w:r>
      <w:r>
        <w:rPr>
          <w:b w:val="0"/>
          <w:bCs w:val="0"/>
        </w:rPr>
      </w:r>
    </w:p>
    <w:p>
      <w:pPr>
        <w:pStyle w:val="BodyText"/>
        <w:spacing w:line="240" w:lineRule="auto" w:before="61"/>
        <w:ind w:right="0"/>
        <w:jc w:val="left"/>
      </w:pPr>
      <w:r>
        <w:rPr/>
        <w:t>□适用</w:t>
      </w:r>
      <w:r>
        <w:rPr>
          <w:spacing w:val="-1"/>
        </w:rPr>
        <w:t> </w:t>
      </w:r>
      <w:r>
        <w:rPr/>
        <w:t>√不适用</w:t>
      </w:r>
    </w:p>
    <w:p>
      <w:pPr>
        <w:spacing w:line="240" w:lineRule="auto" w:before="9"/>
        <w:rPr>
          <w:rFonts w:ascii="宋体" w:hAnsi="宋体" w:cs="宋体" w:eastAsia="宋体" w:hint="default"/>
          <w:sz w:val="29"/>
          <w:szCs w:val="29"/>
        </w:rPr>
      </w:pPr>
    </w:p>
    <w:p>
      <w:pPr>
        <w:pStyle w:val="Heading2"/>
        <w:spacing w:line="240" w:lineRule="auto"/>
        <w:ind w:left="138" w:right="0"/>
        <w:jc w:val="left"/>
        <w:rPr>
          <w:b w:val="0"/>
          <w:bCs w:val="0"/>
        </w:rPr>
      </w:pPr>
      <w:r>
        <w:rPr/>
        <w:t>四、公司对会计师事务所“非标准意见审计报告”的说明</w:t>
      </w:r>
      <w:r>
        <w:rPr>
          <w:b w:val="0"/>
          <w:bCs w:val="0"/>
        </w:rPr>
      </w:r>
    </w:p>
    <w:p>
      <w:pPr>
        <w:pStyle w:val="BodyText"/>
        <w:spacing w:line="240" w:lineRule="auto" w:before="62"/>
        <w:ind w:right="0"/>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left="138" w:right="0"/>
        <w:jc w:val="left"/>
        <w:rPr>
          <w:b w:val="0"/>
          <w:bCs w:val="0"/>
        </w:rPr>
      </w:pPr>
      <w:r>
        <w:rPr/>
        <w:t>五、公司对会计政策、会计估计变更或重大会计差错更正原因和影响的分析说明</w:t>
      </w:r>
      <w:r>
        <w:rPr>
          <w:b w:val="0"/>
          <w:bCs w:val="0"/>
        </w:rPr>
      </w:r>
    </w:p>
    <w:p>
      <w:pPr>
        <w:pStyle w:val="Heading2"/>
        <w:spacing w:line="240" w:lineRule="auto" w:before="58"/>
        <w:ind w:left="138" w:right="0"/>
        <w:jc w:val="left"/>
        <w:rPr>
          <w:b w:val="0"/>
          <w:bCs w:val="0"/>
        </w:rPr>
      </w:pPr>
      <w:r>
        <w:rPr/>
        <w:t>（一）</w:t>
      </w:r>
      <w:r>
        <w:rPr>
          <w:spacing w:val="-8"/>
        </w:rPr>
        <w:t> </w:t>
      </w:r>
      <w:r>
        <w:rPr/>
        <w:t>公司对会计政策、会计估计变更原因及影响的分析说明</w:t>
      </w:r>
      <w:r>
        <w:rPr>
          <w:b w:val="0"/>
          <w:bCs w:val="0"/>
        </w:rPr>
      </w:r>
    </w:p>
    <w:p>
      <w:pPr>
        <w:pStyle w:val="BodyText"/>
        <w:tabs>
          <w:tab w:pos="980" w:val="left" w:leader="none"/>
        </w:tabs>
        <w:spacing w:line="272" w:lineRule="exact" w:before="92"/>
        <w:ind w:left="558" w:right="220" w:hanging="420"/>
        <w:jc w:val="left"/>
        <w:rPr>
          <w:rFonts w:ascii="宋体" w:hAnsi="宋体" w:cs="宋体" w:eastAsia="宋体" w:hint="default"/>
        </w:rPr>
      </w:pPr>
      <w:r>
        <w:rPr>
          <w:spacing w:val="-1"/>
        </w:rPr>
        <w:t>√适用</w:t>
        <w:tab/>
      </w:r>
      <w:r>
        <w:rPr>
          <w:spacing w:val="-2"/>
        </w:rPr>
        <w:t>□不适用</w:t>
      </w:r>
      <w:r>
        <w:rPr>
          <w:spacing w:val="-99"/>
        </w:rPr>
        <w:t> </w:t>
      </w:r>
      <w:r>
        <w:rPr>
          <w:spacing w:val="-99"/>
        </w:rPr>
      </w:r>
      <w:r>
        <w:rPr>
          <w:spacing w:val="-2"/>
        </w:rPr>
        <w:t>报告期内，公司根据财政部《关于修订印发一般企业财务报表格式的通知》（财会</w:t>
      </w:r>
      <w:r>
        <w:rPr>
          <w:rFonts w:ascii="宋体" w:hAnsi="宋体" w:cs="宋体" w:eastAsia="宋体" w:hint="default"/>
          <w:spacing w:val="-2"/>
        </w:rPr>
        <w:t>[2017]30</w:t>
      </w:r>
    </w:p>
    <w:p>
      <w:pPr>
        <w:pStyle w:val="BodyText"/>
        <w:spacing w:line="240" w:lineRule="auto" w:before="108"/>
        <w:ind w:right="0"/>
        <w:jc w:val="left"/>
      </w:pPr>
      <w:r>
        <w:rPr>
          <w:spacing w:val="-5"/>
        </w:rPr>
        <w:t>号）、《关于一般企业财务报表格式有关问题的解读》以及《关于修订印发 </w:t>
      </w:r>
      <w:r>
        <w:rPr>
          <w:rFonts w:ascii="宋体" w:hAnsi="宋体" w:cs="宋体" w:eastAsia="宋体" w:hint="default"/>
        </w:rPr>
        <w:t>2018</w:t>
      </w:r>
      <w:r>
        <w:rPr>
          <w:rFonts w:ascii="宋体" w:hAnsi="宋体" w:cs="宋体" w:eastAsia="宋体" w:hint="default"/>
          <w:spacing w:val="-37"/>
        </w:rPr>
        <w:t> </w:t>
      </w:r>
      <w:r>
        <w:rPr/>
        <w:t>年度一般企业财</w:t>
      </w:r>
    </w:p>
    <w:p>
      <w:pPr>
        <w:pStyle w:val="BodyText"/>
        <w:spacing w:line="355" w:lineRule="auto" w:before="135"/>
        <w:ind w:right="0"/>
        <w:jc w:val="left"/>
      </w:pPr>
      <w:r>
        <w:rPr/>
        <w:t>务报表格式的通知》（财会</w:t>
      </w:r>
      <w:r>
        <w:rPr>
          <w:rFonts w:ascii="宋体" w:hAnsi="宋体" w:cs="宋体" w:eastAsia="宋体" w:hint="default"/>
        </w:rPr>
        <w:t>[2018]15</w:t>
      </w:r>
      <w:r>
        <w:rPr>
          <w:rFonts w:ascii="宋体" w:hAnsi="宋体" w:cs="宋体" w:eastAsia="宋体" w:hint="default"/>
          <w:spacing w:val="-51"/>
        </w:rPr>
        <w:t> </w:t>
      </w:r>
      <w:r>
        <w:rPr>
          <w:spacing w:val="-4"/>
        </w:rPr>
        <w:t>号）通知，分别于</w:t>
      </w:r>
      <w:r>
        <w:rPr>
          <w:spacing w:val="-51"/>
        </w:rPr>
        <w:t> </w:t>
      </w:r>
      <w:r>
        <w:rPr>
          <w:rFonts w:ascii="宋体" w:hAnsi="宋体" w:cs="宋体" w:eastAsia="宋体" w:hint="default"/>
        </w:rPr>
        <w:t>2018</w:t>
      </w:r>
      <w:r>
        <w:rPr>
          <w:rFonts w:ascii="宋体" w:hAnsi="宋体" w:cs="宋体" w:eastAsia="宋体" w:hint="default"/>
          <w:spacing w:val="-53"/>
        </w:rPr>
        <w:t> </w:t>
      </w:r>
      <w:r>
        <w:rPr/>
        <w:t>年</w:t>
      </w:r>
      <w:r>
        <w:rPr>
          <w:spacing w:val="-51"/>
        </w:rPr>
        <w:t> </w:t>
      </w:r>
      <w:r>
        <w:rPr>
          <w:rFonts w:ascii="宋体" w:hAnsi="宋体" w:cs="宋体" w:eastAsia="宋体" w:hint="default"/>
        </w:rPr>
        <w:t>4</w:t>
      </w:r>
      <w:r>
        <w:rPr>
          <w:rFonts w:ascii="宋体" w:hAnsi="宋体" w:cs="宋体" w:eastAsia="宋体" w:hint="default"/>
          <w:spacing w:val="-53"/>
        </w:rPr>
        <w:t> </w:t>
      </w:r>
      <w:r>
        <w:rPr/>
        <w:t>月及</w:t>
      </w:r>
      <w:r>
        <w:rPr>
          <w:spacing w:val="-53"/>
        </w:rPr>
        <w:t> </w:t>
      </w:r>
      <w:r>
        <w:rPr>
          <w:rFonts w:ascii="宋体" w:hAnsi="宋体" w:cs="宋体" w:eastAsia="宋体" w:hint="default"/>
        </w:rPr>
        <w:t>10</w:t>
      </w:r>
      <w:r>
        <w:rPr>
          <w:rFonts w:ascii="宋体" w:hAnsi="宋体" w:cs="宋体" w:eastAsia="宋体" w:hint="default"/>
          <w:spacing w:val="-51"/>
        </w:rPr>
        <w:t> </w:t>
      </w:r>
      <w:r>
        <w:rPr>
          <w:spacing w:val="-3"/>
        </w:rPr>
        <w:t>月，召开了第五届董事</w:t>
      </w:r>
      <w:r>
        <w:rPr>
          <w:w w:val="100"/>
        </w:rPr>
        <w:t> </w:t>
      </w:r>
      <w:r>
        <w:rPr/>
        <w:t>会第二次会议及第五届董事会第七次会议，审议通过了《关于公司会计政策变更的议案》。</w:t>
      </w:r>
    </w:p>
    <w:p>
      <w:pPr>
        <w:pStyle w:val="BodyText"/>
        <w:spacing w:line="357" w:lineRule="auto" w:before="33"/>
        <w:ind w:right="0" w:firstLine="419"/>
        <w:jc w:val="left"/>
      </w:pPr>
      <w:r>
        <w:rPr>
          <w:spacing w:val="-4"/>
          <w:w w:val="100"/>
        </w:rPr>
        <w:t>上述会计政策变更均属于根据财政部新发布的会计准则要求，对公司会计政策进行相应变更，</w:t>
      </w:r>
      <w:r>
        <w:rPr>
          <w:w w:val="100"/>
        </w:rPr>
        <w:t> </w:t>
      </w:r>
      <w:r>
        <w:rPr/>
        <w:t>变更仅涉及财务报表项目列报调整，不涉及到公司损益变动，相关变更不会对公司财务报表产生</w:t>
      </w:r>
      <w:r>
        <w:rPr>
          <w:w w:val="100"/>
        </w:rPr>
        <w:t> </w:t>
      </w:r>
      <w:r>
        <w:rPr/>
        <w:t>影响。变更后的会计政策将更加客观、公允、真实地反映公司的财务状况和经营成果。</w:t>
      </w:r>
    </w:p>
    <w:p>
      <w:pPr>
        <w:pStyle w:val="BodyText"/>
        <w:spacing w:line="355" w:lineRule="auto" w:before="30"/>
        <w:ind w:right="270" w:firstLine="419"/>
        <w:jc w:val="left"/>
      </w:pPr>
      <w:r>
        <w:rPr/>
        <w:t>关于上述会计政策变更的具体情况，请参见公司临时公告（</w:t>
      </w:r>
      <w:r>
        <w:rPr>
          <w:rFonts w:ascii="宋体" w:hAnsi="宋体" w:cs="宋体" w:eastAsia="宋体" w:hint="default"/>
        </w:rPr>
        <w:t>2018-006</w:t>
      </w:r>
      <w:r>
        <w:rPr>
          <w:rFonts w:ascii="宋体" w:hAnsi="宋体" w:cs="宋体" w:eastAsia="宋体" w:hint="default"/>
          <w:spacing w:val="-57"/>
        </w:rPr>
        <w:t> </w:t>
      </w:r>
      <w:r>
        <w:rPr/>
        <w:t>号及</w:t>
      </w:r>
      <w:r>
        <w:rPr>
          <w:spacing w:val="-54"/>
        </w:rPr>
        <w:t> </w:t>
      </w:r>
      <w:r>
        <w:rPr>
          <w:rFonts w:ascii="宋体" w:hAnsi="宋体" w:cs="宋体" w:eastAsia="宋体" w:hint="default"/>
        </w:rPr>
        <w:t>2018-044</w:t>
      </w:r>
      <w:r>
        <w:rPr>
          <w:rFonts w:ascii="宋体" w:hAnsi="宋体" w:cs="宋体" w:eastAsia="宋体" w:hint="default"/>
          <w:spacing w:val="-55"/>
        </w:rPr>
        <w:t> </w:t>
      </w:r>
      <w:r>
        <w:rPr/>
        <w:t>号）中</w:t>
      </w:r>
      <w:r>
        <w:rPr>
          <w:w w:val="100"/>
        </w:rPr>
        <w:t> </w:t>
      </w:r>
      <w:r>
        <w:rPr/>
        <w:t>的相关内容。</w:t>
      </w:r>
    </w:p>
    <w:p>
      <w:pPr>
        <w:spacing w:line="240" w:lineRule="auto" w:before="6"/>
        <w:rPr>
          <w:rFonts w:ascii="宋体" w:hAnsi="宋体" w:cs="宋体" w:eastAsia="宋体" w:hint="default"/>
          <w:sz w:val="27"/>
          <w:szCs w:val="27"/>
        </w:rPr>
      </w:pPr>
    </w:p>
    <w:p>
      <w:pPr>
        <w:pStyle w:val="Heading2"/>
        <w:spacing w:line="240" w:lineRule="auto"/>
        <w:ind w:left="138" w:right="0"/>
        <w:jc w:val="left"/>
        <w:rPr>
          <w:b w:val="0"/>
          <w:bCs w:val="0"/>
        </w:rPr>
      </w:pPr>
      <w:r>
        <w:rPr/>
        <w:t>（二）</w:t>
      </w:r>
      <w:r>
        <w:rPr>
          <w:spacing w:val="-8"/>
        </w:rPr>
        <w:t> </w:t>
      </w:r>
      <w:r>
        <w:rPr/>
        <w:t>公司对重大会计差错更正原因及影响的分析说明</w:t>
      </w:r>
      <w:r>
        <w:rPr>
          <w:b w:val="0"/>
          <w:bCs w:val="0"/>
        </w:rPr>
      </w:r>
    </w:p>
    <w:p>
      <w:pPr>
        <w:pStyle w:val="BodyText"/>
        <w:tabs>
          <w:tab w:pos="980" w:val="left" w:leader="none"/>
        </w:tabs>
        <w:spacing w:line="240" w:lineRule="auto" w:before="61"/>
        <w:ind w:right="0"/>
        <w:jc w:val="left"/>
      </w:pPr>
      <w:r>
        <w:rPr>
          <w:spacing w:val="-1"/>
        </w:rPr>
        <w:t>□适用</w:t>
        <w:tab/>
      </w:r>
      <w:r>
        <w:rPr>
          <w:spacing w:val="-2"/>
        </w:rPr>
        <w:t>√不适用</w:t>
      </w:r>
    </w:p>
    <w:p>
      <w:pPr>
        <w:spacing w:after="0" w:line="240" w:lineRule="auto"/>
        <w:jc w:val="left"/>
        <w:sectPr>
          <w:headerReference w:type="default" r:id="rId29"/>
          <w:footerReference w:type="default" r:id="rId30"/>
          <w:pgSz w:w="11910" w:h="16840"/>
          <w:pgMar w:header="855" w:footer="1217" w:top="1320" w:bottom="1400" w:left="1660" w:right="1060"/>
          <w:pgNumType w:start="50"/>
        </w:sectPr>
      </w:pPr>
    </w:p>
    <w:p>
      <w:pPr>
        <w:spacing w:line="240" w:lineRule="auto" w:before="8"/>
        <w:rPr>
          <w:rFonts w:ascii="宋体" w:hAnsi="宋体" w:cs="宋体" w:eastAsia="宋体" w:hint="default"/>
          <w:sz w:val="9"/>
          <w:szCs w:val="9"/>
        </w:rPr>
      </w:pPr>
    </w:p>
    <w:p>
      <w:pPr>
        <w:pStyle w:val="Heading2"/>
        <w:spacing w:line="240" w:lineRule="auto" w:before="26"/>
        <w:ind w:left="138" w:right="0"/>
        <w:jc w:val="both"/>
        <w:rPr>
          <w:b w:val="0"/>
          <w:bCs w:val="0"/>
        </w:rPr>
      </w:pPr>
      <w:r>
        <w:rPr/>
        <w:t>（三）</w:t>
      </w:r>
      <w:r>
        <w:rPr>
          <w:spacing w:val="-8"/>
        </w:rPr>
        <w:t> </w:t>
      </w:r>
      <w:r>
        <w:rPr/>
        <w:t>与前任会计师事务所进行的沟通情况</w:t>
      </w:r>
      <w:r>
        <w:rPr>
          <w:b w:val="0"/>
          <w:bCs w:val="0"/>
        </w:rPr>
      </w:r>
    </w:p>
    <w:p>
      <w:pPr>
        <w:pStyle w:val="BodyText"/>
        <w:tabs>
          <w:tab w:pos="980" w:val="left" w:leader="none"/>
        </w:tabs>
        <w:spacing w:line="240" w:lineRule="auto" w:before="64"/>
        <w:ind w:left="558" w:right="102" w:hanging="420"/>
        <w:jc w:val="left"/>
      </w:pPr>
      <w:r>
        <w:rPr>
          <w:spacing w:val="-1"/>
        </w:rPr>
        <w:t>√适用</w:t>
        <w:tab/>
      </w:r>
      <w:r>
        <w:rPr>
          <w:spacing w:val="-2"/>
        </w:rPr>
        <w:t>□不适用</w:t>
      </w:r>
      <w:r>
        <w:rPr>
          <w:spacing w:val="-99"/>
        </w:rPr>
        <w:t> </w:t>
      </w:r>
      <w:r>
        <w:rPr>
          <w:spacing w:val="-99"/>
        </w:rPr>
      </w:r>
      <w:r>
        <w:rPr>
          <w:spacing w:val="-4"/>
          <w:w w:val="100"/>
        </w:rPr>
        <w:t>本公司通过重大资产出售、置换和发行股份购买资产的方式对三六零科技实施重大资产重组。</w:t>
      </w:r>
    </w:p>
    <w:p>
      <w:pPr>
        <w:pStyle w:val="BodyText"/>
        <w:spacing w:line="357" w:lineRule="auto" w:before="133"/>
        <w:ind w:right="208"/>
        <w:jc w:val="both"/>
      </w:pPr>
      <w:r>
        <w:rPr>
          <w:spacing w:val="-2"/>
        </w:rPr>
        <w:t>重组完成后，三六零科技成为本公司的全资子公司，为会计上的购买方。本公司后任注册会计师</w:t>
      </w:r>
      <w:r>
        <w:rPr>
          <w:spacing w:val="-25"/>
        </w:rPr>
        <w:t> </w:t>
      </w:r>
      <w:r>
        <w:rPr>
          <w:spacing w:val="-25"/>
        </w:rPr>
      </w:r>
      <w:r>
        <w:rPr>
          <w:spacing w:val="-2"/>
        </w:rPr>
        <w:t>德勤华永会计师事务所（特殊普通合伙）为购买方的原注册会计师，重大资产重组完成后，其继</w:t>
      </w:r>
      <w:r>
        <w:rPr>
          <w:spacing w:val="-25"/>
        </w:rPr>
        <w:t> </w:t>
      </w:r>
      <w:r>
        <w:rPr>
          <w:spacing w:val="-25"/>
        </w:rPr>
      </w:r>
      <w:r>
        <w:rPr>
          <w:spacing w:val="-5"/>
        </w:rPr>
        <w:t>续担任本公司的注册会计师。根据《中国注册会计师审计准则第</w:t>
      </w:r>
      <w:r>
        <w:rPr>
          <w:spacing w:val="-36"/>
        </w:rPr>
        <w:t> </w:t>
      </w:r>
      <w:r>
        <w:rPr>
          <w:rFonts w:ascii="宋体" w:hAnsi="宋体" w:cs="宋体" w:eastAsia="宋体" w:hint="default"/>
        </w:rPr>
        <w:t>1153</w:t>
      </w:r>
      <w:r>
        <w:rPr>
          <w:rFonts w:ascii="宋体" w:hAnsi="宋体" w:cs="宋体" w:eastAsia="宋体" w:hint="default"/>
          <w:spacing w:val="-36"/>
        </w:rPr>
        <w:t> </w:t>
      </w:r>
      <w:r>
        <w:rPr/>
        <w:t>号——前任注册会计师和后</w:t>
      </w:r>
      <w:r>
        <w:rPr>
          <w:spacing w:val="-99"/>
        </w:rPr>
        <w:t> </w:t>
      </w:r>
      <w:r>
        <w:rPr>
          <w:spacing w:val="-99"/>
        </w:rPr>
      </w:r>
      <w:r>
        <w:rPr>
          <w:spacing w:val="-2"/>
        </w:rPr>
        <w:t>任注册会计师的沟通》的要求，德勤华永会计师事务所（特殊普通合伙）与本公司前任注册会计</w:t>
      </w:r>
      <w:r>
        <w:rPr>
          <w:spacing w:val="-25"/>
        </w:rPr>
        <w:t> </w:t>
      </w:r>
      <w:r>
        <w:rPr>
          <w:spacing w:val="-25"/>
        </w:rPr>
      </w:r>
      <w:r>
        <w:rPr/>
        <w:t>师天衡会计师事务所（特殊普通合伙）进行了沟通，未识别出任何影响审计业务承接的事项。</w:t>
      </w:r>
    </w:p>
    <w:p>
      <w:pPr>
        <w:spacing w:after="0" w:line="357" w:lineRule="auto"/>
        <w:jc w:val="both"/>
        <w:sectPr>
          <w:pgSz w:w="11910" w:h="16840"/>
          <w:pgMar w:header="855" w:footer="1217" w:top="1320" w:bottom="140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before="26"/>
        <w:ind w:right="234"/>
        <w:jc w:val="left"/>
        <w:rPr>
          <w:b w:val="0"/>
          <w:bCs w:val="0"/>
        </w:rPr>
      </w:pPr>
      <w:r>
        <w:rPr/>
        <w:t>（四）</w:t>
      </w:r>
      <w:r>
        <w:rPr>
          <w:spacing w:val="-5"/>
        </w:rPr>
        <w:t> </w:t>
      </w:r>
      <w:r>
        <w:rPr/>
        <w:t>其他说明</w:t>
      </w:r>
      <w:r>
        <w:rPr>
          <w:b w:val="0"/>
          <w:bCs w:val="0"/>
        </w:rPr>
      </w:r>
    </w:p>
    <w:p>
      <w:pPr>
        <w:pStyle w:val="BodyText"/>
        <w:tabs>
          <w:tab w:pos="1060" w:val="left" w:leader="none"/>
        </w:tabs>
        <w:spacing w:line="240" w:lineRule="auto" w:before="64"/>
        <w:ind w:left="218" w:right="234"/>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pStyle w:val="Heading5"/>
        <w:spacing w:line="240" w:lineRule="auto" w:before="36"/>
        <w:ind w:right="234"/>
        <w:jc w:val="left"/>
        <w:rPr>
          <w:b w:val="0"/>
          <w:bCs w:val="0"/>
        </w:rPr>
      </w:pPr>
      <w:r>
        <w:rPr/>
        <w:t>六、聘任、解聘会计师事务所情况</w:t>
      </w:r>
      <w:r>
        <w:rPr>
          <w:b w:val="0"/>
          <w:bCs w:val="0"/>
        </w:rPr>
      </w:r>
    </w:p>
    <w:p>
      <w:pPr>
        <w:pStyle w:val="BodyText"/>
        <w:tabs>
          <w:tab w:pos="1262" w:val="left" w:leader="none"/>
        </w:tabs>
        <w:spacing w:line="240" w:lineRule="auto" w:before="56"/>
        <w:ind w:left="0" w:right="232"/>
        <w:jc w:val="right"/>
      </w:pPr>
      <w:r>
        <w:rPr>
          <w:spacing w:val="-1"/>
        </w:rPr>
        <w:t>单位：千元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3"/>
        <w:gridCol w:w="2837"/>
        <w:gridCol w:w="3269"/>
      </w:tblGrid>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原聘任</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天衡会计师事务所（特殊普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通合伙）</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德勤</w:t>
            </w:r>
            <w:r>
              <w:rPr>
                <w:rFonts w:ascii="宋体" w:hAnsi="宋体" w:cs="宋体" w:eastAsia="宋体" w:hint="default"/>
                <w:spacing w:val="-3"/>
                <w:w w:val="100"/>
                <w:sz w:val="21"/>
                <w:szCs w:val="21"/>
              </w:rPr>
              <w:t>华</w:t>
            </w:r>
            <w:r>
              <w:rPr>
                <w:rFonts w:ascii="宋体" w:hAnsi="宋体" w:cs="宋体" w:eastAsia="宋体" w:hint="default"/>
                <w:w w:val="100"/>
                <w:sz w:val="21"/>
                <w:szCs w:val="21"/>
              </w:rPr>
              <w:t>永</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师</w:t>
            </w:r>
            <w:r>
              <w:rPr>
                <w:rFonts w:ascii="宋体" w:hAnsi="宋体" w:cs="宋体" w:eastAsia="宋体" w:hint="default"/>
                <w:w w:val="100"/>
                <w:sz w:val="21"/>
                <w:szCs w:val="21"/>
              </w:rPr>
              <w:t>事</w:t>
            </w:r>
            <w:r>
              <w:rPr>
                <w:rFonts w:ascii="宋体" w:hAnsi="宋体" w:cs="宋体" w:eastAsia="宋体" w:hint="default"/>
                <w:spacing w:val="-3"/>
                <w:w w:val="100"/>
                <w:sz w:val="21"/>
                <w:szCs w:val="21"/>
              </w:rPr>
              <w:t>务</w:t>
            </w:r>
            <w:r>
              <w:rPr>
                <w:rFonts w:ascii="宋体" w:hAnsi="宋体" w:cs="宋体" w:eastAsia="宋体" w:hint="default"/>
                <w:spacing w:val="-97"/>
                <w:w w:val="100"/>
                <w:sz w:val="21"/>
                <w:szCs w:val="21"/>
              </w:rPr>
              <w:t>所</w:t>
            </w:r>
            <w:r>
              <w:rPr>
                <w:rFonts w:ascii="宋体" w:hAnsi="宋体" w:cs="宋体" w:eastAsia="宋体" w:hint="default"/>
                <w:spacing w:val="-3"/>
                <w:w w:val="100"/>
                <w:sz w:val="21"/>
                <w:szCs w:val="21"/>
              </w:rPr>
              <w:t>（特</w:t>
            </w:r>
            <w:r>
              <w:rPr>
                <w:rFonts w:ascii="宋体" w:hAnsi="宋体" w:cs="宋体" w:eastAsia="宋体" w:hint="default"/>
                <w:w w:val="100"/>
                <w:sz w:val="21"/>
                <w:szCs w:val="21"/>
              </w:rPr>
              <w:t>殊普通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800</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6,000</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10"/>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2943"/>
        <w:gridCol w:w="2837"/>
        <w:gridCol w:w="3269"/>
      </w:tblGrid>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8" w:right="0"/>
              <w:jc w:val="left"/>
              <w:rPr>
                <w:rFonts w:ascii="宋体" w:hAnsi="宋体" w:cs="宋体" w:eastAsia="宋体" w:hint="default"/>
                <w:sz w:val="21"/>
                <w:szCs w:val="21"/>
              </w:rPr>
            </w:pPr>
            <w:r>
              <w:rPr>
                <w:rFonts w:ascii="宋体" w:hAnsi="宋体" w:cs="宋体" w:eastAsia="宋体" w:hint="default"/>
                <w:sz w:val="21"/>
                <w:szCs w:val="21"/>
              </w:rPr>
              <w:t>报酬</w:t>
            </w: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德勤华永会计师事务所（特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殊普通合伙）</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5" w:right="0"/>
              <w:jc w:val="left"/>
              <w:rPr>
                <w:rFonts w:ascii="宋体" w:hAnsi="宋体" w:cs="宋体" w:eastAsia="宋体" w:hint="default"/>
                <w:sz w:val="21"/>
                <w:szCs w:val="21"/>
              </w:rPr>
            </w:pPr>
            <w:r>
              <w:rPr>
                <w:rFonts w:ascii="宋体"/>
                <w:sz w:val="21"/>
              </w:rPr>
              <w:t>1,500</w:t>
            </w:r>
          </w:p>
        </w:tc>
      </w:tr>
    </w:tbl>
    <w:p>
      <w:pPr>
        <w:spacing w:line="240" w:lineRule="auto" w:before="7"/>
        <w:rPr>
          <w:rFonts w:ascii="宋体" w:hAnsi="宋体" w:cs="宋体" w:eastAsia="宋体" w:hint="default"/>
          <w:sz w:val="15"/>
          <w:szCs w:val="15"/>
        </w:rPr>
      </w:pPr>
    </w:p>
    <w:p>
      <w:pPr>
        <w:pStyle w:val="BodyText"/>
        <w:spacing w:line="273" w:lineRule="exact" w:before="36"/>
        <w:ind w:left="218" w:right="0"/>
        <w:jc w:val="both"/>
      </w:pPr>
      <w:r>
        <w:rPr/>
        <w:t>聘任、解聘会计师事务所的情况说明</w:t>
      </w:r>
    </w:p>
    <w:p>
      <w:pPr>
        <w:pStyle w:val="BodyText"/>
        <w:spacing w:line="240" w:lineRule="auto"/>
        <w:ind w:left="638" w:right="234" w:hanging="420"/>
        <w:jc w:val="left"/>
      </w:pPr>
      <w:r>
        <w:rPr/>
        <w:t>√适用</w:t>
      </w:r>
      <w:r>
        <w:rPr>
          <w:spacing w:val="-2"/>
        </w:rPr>
        <w:t> </w:t>
      </w:r>
      <w:r>
        <w:rPr/>
        <w:t>□不适用</w:t>
      </w:r>
      <w:r>
        <w:rPr>
          <w:w w:val="100"/>
        </w:rPr>
        <w:t> </w:t>
      </w:r>
      <w:r>
        <w:rPr>
          <w:spacing w:val="-2"/>
        </w:rPr>
        <w:t>公司通过重大资产出售、置换和发行股份购买资产的方式对三六零科技实施重大资产重组。</w:t>
      </w:r>
    </w:p>
    <w:p>
      <w:pPr>
        <w:pStyle w:val="BodyText"/>
        <w:spacing w:line="357" w:lineRule="auto" w:before="133"/>
        <w:ind w:left="218" w:right="228"/>
        <w:jc w:val="both"/>
      </w:pPr>
      <w:r>
        <w:rPr>
          <w:spacing w:val="-6"/>
        </w:rPr>
        <w:t>重组完成后，三六零科技成为公司的全资子公司，为会计上的购买方。德勤华永会计师事务所（特</w:t>
      </w:r>
      <w:r>
        <w:rPr>
          <w:spacing w:val="-52"/>
        </w:rPr>
        <w:t> </w:t>
      </w:r>
      <w:r>
        <w:rPr>
          <w:spacing w:val="-52"/>
        </w:rPr>
      </w:r>
      <w:r>
        <w:rPr>
          <w:spacing w:val="-2"/>
        </w:rPr>
        <w:t>殊普通合伙）为购买方的原注册会计师，重大资产重组完成后，公司第五届董事会第三次会议及</w:t>
      </w:r>
      <w:r>
        <w:rPr>
          <w:spacing w:val="-26"/>
        </w:rPr>
        <w:t> </w:t>
      </w:r>
      <w:r>
        <w:rPr>
          <w:spacing w:val="-26"/>
        </w:rPr>
      </w:r>
      <w:r>
        <w:rPr>
          <w:rFonts w:ascii="宋体" w:hAnsi="宋体" w:cs="宋体" w:eastAsia="宋体" w:hint="default"/>
        </w:rPr>
        <w:t>2018</w:t>
      </w:r>
      <w:r>
        <w:rPr>
          <w:rFonts w:ascii="宋体" w:hAnsi="宋体" w:cs="宋体" w:eastAsia="宋体" w:hint="default"/>
          <w:spacing w:val="15"/>
        </w:rPr>
        <w:t> </w:t>
      </w:r>
      <w:r>
        <w:rPr>
          <w:spacing w:val="-3"/>
        </w:rPr>
        <w:t>年第一次临时股东大会审议通过了《关于聘任德勤华永会计师事务所（特殊普通合伙）为公</w:t>
      </w:r>
    </w:p>
    <w:p>
      <w:pPr>
        <w:pStyle w:val="BodyText"/>
        <w:spacing w:line="357" w:lineRule="auto" w:before="30"/>
        <w:ind w:left="218" w:right="228"/>
        <w:jc w:val="both"/>
      </w:pPr>
      <w:r>
        <w:rPr/>
        <w:t>司</w:t>
      </w:r>
      <w:r>
        <w:rPr>
          <w:spacing w:val="-30"/>
        </w:rPr>
        <w:t> </w:t>
      </w:r>
      <w:r>
        <w:rPr>
          <w:rFonts w:ascii="宋体" w:hAnsi="宋体" w:cs="宋体" w:eastAsia="宋体" w:hint="default"/>
        </w:rPr>
        <w:t>2018</w:t>
      </w:r>
      <w:r>
        <w:rPr>
          <w:rFonts w:ascii="宋体" w:hAnsi="宋体" w:cs="宋体" w:eastAsia="宋体" w:hint="default"/>
          <w:spacing w:val="-30"/>
        </w:rPr>
        <w:t> </w:t>
      </w:r>
      <w:r>
        <w:rPr>
          <w:spacing w:val="-4"/>
        </w:rPr>
        <w:t>年度审计机构的议案》，公司独立董事对相关事项出具了独立意见。公司认为德勤华永会</w:t>
      </w:r>
      <w:r>
        <w:rPr>
          <w:spacing w:val="-97"/>
        </w:rPr>
        <w:t> </w:t>
      </w:r>
      <w:r>
        <w:rPr>
          <w:spacing w:val="-97"/>
        </w:rPr>
      </w:r>
      <w:r>
        <w:rPr>
          <w:spacing w:val="-2"/>
        </w:rPr>
        <w:t>计师事务所（特殊普通合伙）具备证券、期货业务执业资格，拥有优秀的人力资源团队和良好的</w:t>
      </w:r>
      <w:r>
        <w:rPr>
          <w:spacing w:val="-25"/>
        </w:rPr>
        <w:t> </w:t>
      </w:r>
      <w:r>
        <w:rPr>
          <w:spacing w:val="-25"/>
        </w:rPr>
      </w:r>
      <w:r>
        <w:rPr>
          <w:spacing w:val="-2"/>
        </w:rPr>
        <w:t>会计、审计职业素质和水平，对本公司生产经营及财务状况有清晰认识，能够满足公司的审计要</w:t>
      </w:r>
      <w:r>
        <w:rPr>
          <w:spacing w:val="-26"/>
        </w:rPr>
        <w:t> </w:t>
      </w:r>
      <w:r>
        <w:rPr>
          <w:spacing w:val="-26"/>
        </w:rPr>
      </w:r>
      <w:r>
        <w:rPr/>
        <w:t>求，同意聘任德勤华永会计师事务所（特殊普通合伙）为公司</w:t>
      </w:r>
      <w:r>
        <w:rPr>
          <w:spacing w:val="-56"/>
        </w:rPr>
        <w:t> </w:t>
      </w:r>
      <w:r>
        <w:rPr>
          <w:rFonts w:ascii="宋体" w:hAnsi="宋体" w:cs="宋体" w:eastAsia="宋体" w:hint="default"/>
        </w:rPr>
        <w:t>2018</w:t>
      </w:r>
      <w:r>
        <w:rPr>
          <w:rFonts w:ascii="宋体" w:hAnsi="宋体" w:cs="宋体" w:eastAsia="宋体" w:hint="default"/>
          <w:spacing w:val="-57"/>
        </w:rPr>
        <w:t> </w:t>
      </w:r>
      <w:r>
        <w:rPr/>
        <w:t>年度审计机构。</w:t>
      </w:r>
    </w:p>
    <w:p>
      <w:pPr>
        <w:spacing w:line="240" w:lineRule="auto" w:before="2"/>
        <w:rPr>
          <w:rFonts w:ascii="宋体" w:hAnsi="宋体" w:cs="宋体" w:eastAsia="宋体" w:hint="default"/>
          <w:sz w:val="26"/>
          <w:szCs w:val="26"/>
        </w:rPr>
      </w:pPr>
    </w:p>
    <w:p>
      <w:pPr>
        <w:pStyle w:val="BodyText"/>
        <w:spacing w:line="273" w:lineRule="exact"/>
        <w:ind w:left="218" w:right="0"/>
        <w:jc w:val="both"/>
      </w:pPr>
      <w:r>
        <w:rPr/>
        <w:t>审计期间改聘会计师事务所的情况说明</w:t>
      </w:r>
    </w:p>
    <w:p>
      <w:pPr>
        <w:pStyle w:val="BodyText"/>
        <w:spacing w:line="273" w:lineRule="exact"/>
        <w:ind w:left="218" w:right="0"/>
        <w:jc w:val="both"/>
      </w:pPr>
      <w:r>
        <w:rPr/>
        <w:t>□适用</w:t>
      </w:r>
      <w:r>
        <w:rPr>
          <w:spacing w:val="104"/>
        </w:rPr>
        <w:t> </w:t>
      </w:r>
      <w:r>
        <w:rPr/>
        <w:t>√不适用</w:t>
      </w:r>
    </w:p>
    <w:p>
      <w:pPr>
        <w:spacing w:line="240" w:lineRule="auto" w:before="5"/>
        <w:rPr>
          <w:rFonts w:ascii="宋体" w:hAnsi="宋体" w:cs="宋体" w:eastAsia="宋体" w:hint="default"/>
          <w:sz w:val="28"/>
          <w:szCs w:val="28"/>
        </w:rPr>
      </w:pPr>
    </w:p>
    <w:p>
      <w:pPr>
        <w:pStyle w:val="Heading5"/>
        <w:tabs>
          <w:tab w:pos="1057" w:val="left" w:leader="none"/>
        </w:tabs>
        <w:spacing w:line="290" w:lineRule="auto"/>
        <w:ind w:right="63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spacing w:line="240" w:lineRule="auto" w:before="14"/>
        <w:ind w:left="218" w:right="0"/>
        <w:jc w:val="both"/>
      </w:pPr>
      <w:r>
        <w:rPr/>
        <w:t>□适用</w:t>
      </w:r>
      <w:r>
        <w:rPr>
          <w:spacing w:val="104"/>
        </w:rPr>
        <w:t> </w:t>
      </w:r>
      <w:r>
        <w:rPr/>
        <w:t>√不适用</w:t>
      </w:r>
    </w:p>
    <w:p>
      <w:pPr>
        <w:spacing w:line="240" w:lineRule="auto" w:before="2"/>
        <w:rPr>
          <w:rFonts w:ascii="宋体" w:hAnsi="宋体" w:cs="宋体" w:eastAsia="宋体" w:hint="default"/>
          <w:sz w:val="28"/>
          <w:szCs w:val="28"/>
        </w:rPr>
      </w:pPr>
    </w:p>
    <w:p>
      <w:pPr>
        <w:pStyle w:val="Heading5"/>
        <w:spacing w:line="240" w:lineRule="auto"/>
        <w:ind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99"/>
        </w:rPr>
        <w:t> </w:t>
      </w:r>
      <w:r>
        <w:rPr/>
        <w:t>公司拟采取的应对措施</w:t>
      </w:r>
      <w:r>
        <w:rPr>
          <w:b w:val="0"/>
          <w:bCs w:val="0"/>
        </w:rPr>
      </w:r>
    </w:p>
    <w:p>
      <w:pPr>
        <w:pStyle w:val="BodyText"/>
        <w:spacing w:line="240" w:lineRule="auto" w:before="56"/>
        <w:ind w:left="218" w:right="0"/>
        <w:jc w:val="both"/>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5"/>
        <w:spacing w:line="240" w:lineRule="auto"/>
        <w:ind w:right="0"/>
        <w:jc w:val="both"/>
        <w:rPr>
          <w:b w:val="0"/>
          <w:bCs w:val="0"/>
        </w:rPr>
      </w:pPr>
      <w:r>
        <w:rPr/>
        <w:t>八、面临终止上市的情况和原因</w:t>
      </w:r>
      <w:r>
        <w:rPr>
          <w:b w:val="0"/>
          <w:bCs w:val="0"/>
        </w:rPr>
      </w:r>
    </w:p>
    <w:p>
      <w:pPr>
        <w:pStyle w:val="BodyText"/>
        <w:spacing w:line="240" w:lineRule="auto" w:before="58"/>
        <w:ind w:left="218" w:right="0"/>
        <w:jc w:val="both"/>
      </w:pPr>
      <w:r>
        <w:rPr/>
        <w:t>□适用</w:t>
      </w:r>
      <w:r>
        <w:rPr>
          <w:spacing w:val="104"/>
        </w:rPr>
        <w:t> </w:t>
      </w:r>
      <w:r>
        <w:rPr/>
        <w:t>√不适用</w:t>
      </w:r>
    </w:p>
    <w:p>
      <w:pPr>
        <w:spacing w:line="240" w:lineRule="auto" w:before="2"/>
        <w:rPr>
          <w:rFonts w:ascii="宋体" w:hAnsi="宋体" w:cs="宋体" w:eastAsia="宋体" w:hint="default"/>
          <w:sz w:val="28"/>
          <w:szCs w:val="28"/>
        </w:rPr>
      </w:pPr>
    </w:p>
    <w:p>
      <w:pPr>
        <w:pStyle w:val="Heading5"/>
        <w:spacing w:line="240" w:lineRule="auto"/>
        <w:ind w:right="0"/>
        <w:jc w:val="both"/>
        <w:rPr>
          <w:b w:val="0"/>
          <w:bCs w:val="0"/>
        </w:rPr>
      </w:pPr>
      <w:r>
        <w:rPr/>
        <w:t>九、破产重整相关事项</w:t>
      </w:r>
      <w:r>
        <w:rPr>
          <w:b w:val="0"/>
          <w:bCs w:val="0"/>
        </w:rPr>
      </w:r>
    </w:p>
    <w:p>
      <w:pPr>
        <w:pStyle w:val="BodyText"/>
        <w:spacing w:line="240" w:lineRule="auto" w:before="56"/>
        <w:ind w:left="218" w:right="0"/>
        <w:jc w:val="both"/>
      </w:pPr>
      <w:r>
        <w:rPr/>
        <w:t>□适用</w:t>
      </w:r>
      <w:r>
        <w:rPr>
          <w:spacing w:val="-1"/>
        </w:rPr>
        <w:t> </w:t>
      </w:r>
      <w:r>
        <w:rPr/>
        <w:t>√不适用</w:t>
      </w:r>
    </w:p>
    <w:p>
      <w:pPr>
        <w:spacing w:after="0" w:line="240" w:lineRule="auto"/>
        <w:jc w:val="both"/>
        <w:sectPr>
          <w:pgSz w:w="11910" w:h="16840"/>
          <w:pgMar w:header="855" w:footer="1217" w:top="1320" w:bottom="140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5"/>
        <w:spacing w:line="240" w:lineRule="auto" w:before="36"/>
        <w:ind w:left="138" w:right="0"/>
        <w:jc w:val="left"/>
        <w:rPr>
          <w:b w:val="0"/>
          <w:bCs w:val="0"/>
        </w:rPr>
      </w:pPr>
      <w:r>
        <w:rPr/>
        <w:t>十、重大诉讼、仲裁事项</w:t>
      </w:r>
      <w:r>
        <w:rPr>
          <w:b w:val="0"/>
          <w:bCs w:val="0"/>
        </w:rPr>
      </w:r>
    </w:p>
    <w:p>
      <w:pPr>
        <w:pStyle w:val="BodyText"/>
        <w:spacing w:line="240" w:lineRule="auto" w:before="58"/>
        <w:ind w:right="0"/>
        <w:jc w:val="left"/>
      </w:pPr>
      <w:r>
        <w:rPr/>
        <w:t>√本年度公司有重大诉讼、仲裁事项</w:t>
      </w:r>
      <w:r>
        <w:rPr>
          <w:spacing w:val="-7"/>
        </w:rPr>
        <w:t> </w:t>
      </w:r>
      <w:r>
        <w:rPr/>
        <w:t>□本年度公司无重大诉讼、仲裁事项</w:t>
      </w:r>
    </w:p>
    <w:p>
      <w:pPr>
        <w:pStyle w:val="Heading5"/>
        <w:spacing w:line="240" w:lineRule="auto" w:before="56"/>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pStyle w:val="BodyText"/>
        <w:spacing w:line="240" w:lineRule="auto" w:before="32"/>
        <w:ind w:right="0"/>
        <w:jc w:val="left"/>
      </w:pPr>
      <w:r>
        <w:rPr/>
        <w:t>□适用</w:t>
      </w:r>
      <w:r>
        <w:rPr>
          <w:spacing w:val="-1"/>
        </w:rPr>
        <w:t> </w:t>
      </w:r>
      <w:r>
        <w:rPr/>
        <w:t>√不适用</w:t>
      </w:r>
    </w:p>
    <w:p>
      <w:pPr>
        <w:spacing w:after="0" w:line="240" w:lineRule="auto"/>
        <w:jc w:val="left"/>
        <w:sectPr>
          <w:pgSz w:w="11910" w:h="16840"/>
          <w:pgMar w:header="855" w:footer="1217" w:top="1320" w:bottom="1400" w:left="166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31"/>
          <w:footerReference w:type="default" r:id="rId32"/>
          <w:pgSz w:w="16840" w:h="11910" w:orient="landscape"/>
          <w:pgMar w:header="855" w:footer="1218" w:top="1320" w:bottom="1400" w:left="1220" w:right="1380"/>
          <w:pgNumType w:start="54"/>
        </w:sectPr>
      </w:pPr>
    </w:p>
    <w:p>
      <w:pPr>
        <w:pStyle w:val="Heading5"/>
        <w:spacing w:line="240" w:lineRule="auto" w:before="36"/>
        <w:ind w:left="220" w:right="-1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40" w:lineRule="auto" w:before="29"/>
        <w:ind w:left="220" w:right="-16"/>
        <w:jc w:val="left"/>
      </w:pPr>
      <w:r>
        <w:rPr/>
        <w:t>√适用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7"/>
        <w:rPr>
          <w:rFonts w:ascii="宋体" w:hAnsi="宋体" w:cs="宋体" w:eastAsia="宋体" w:hint="default"/>
          <w:sz w:val="24"/>
          <w:szCs w:val="24"/>
        </w:rPr>
      </w:pPr>
    </w:p>
    <w:p>
      <w:pPr>
        <w:pStyle w:val="Heading3"/>
        <w:tabs>
          <w:tab w:pos="1539" w:val="left" w:leader="none"/>
        </w:tabs>
        <w:spacing w:line="240" w:lineRule="auto"/>
        <w:ind w:left="220" w:right="0"/>
        <w:jc w:val="left"/>
      </w:pPr>
      <w:r>
        <w:rPr/>
        <w:t>单位</w:t>
      </w:r>
      <w:r>
        <w:rPr>
          <w:rFonts w:ascii="宋体" w:hAnsi="宋体" w:cs="宋体" w:eastAsia="宋体" w:hint="default"/>
        </w:rPr>
        <w:t>:</w:t>
      </w:r>
      <w:r>
        <w:rPr/>
        <w:t>千元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320" w:bottom="1400" w:left="1220" w:right="1380"/>
          <w:cols w:num="2" w:equalWidth="0">
            <w:col w:w="5069" w:space="6165"/>
            <w:col w:w="3006"/>
          </w:cols>
        </w:sectPr>
      </w:pPr>
    </w:p>
    <w:p>
      <w:pPr>
        <w:spacing w:line="240" w:lineRule="auto" w:before="10"/>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960"/>
        <w:gridCol w:w="1416"/>
        <w:gridCol w:w="852"/>
        <w:gridCol w:w="709"/>
        <w:gridCol w:w="5103"/>
        <w:gridCol w:w="1561"/>
        <w:gridCol w:w="991"/>
        <w:gridCol w:w="852"/>
        <w:gridCol w:w="850"/>
        <w:gridCol w:w="708"/>
      </w:tblGrid>
      <w:tr>
        <w:trPr>
          <w:trHeight w:val="283" w:hRule="exact"/>
        </w:trPr>
        <w:tc>
          <w:tcPr>
            <w:tcW w:w="1400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sz w:val="21"/>
                <w:szCs w:val="21"/>
              </w:rPr>
              <w:t>:</w:t>
            </w:r>
          </w:p>
        </w:tc>
      </w:tr>
      <w:tr>
        <w:trPr>
          <w:trHeight w:val="164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11" w:right="103" w:hanging="104"/>
              <w:jc w:val="left"/>
              <w:rPr>
                <w:rFonts w:ascii="宋体" w:hAnsi="宋体" w:cs="宋体" w:eastAsia="宋体" w:hint="default"/>
                <w:sz w:val="21"/>
                <w:szCs w:val="21"/>
              </w:rPr>
            </w:pPr>
            <w:r>
              <w:rPr>
                <w:rFonts w:ascii="宋体" w:hAnsi="宋体" w:cs="宋体" w:eastAsia="宋体" w:hint="default"/>
                <w:sz w:val="21"/>
                <w:szCs w:val="21"/>
              </w:rPr>
              <w:t>起诉</w:t>
            </w:r>
            <w:r>
              <w:rPr>
                <w:rFonts w:ascii="宋体" w:hAnsi="宋体" w:cs="宋体" w:eastAsia="宋体" w:hint="default"/>
                <w:sz w:val="21"/>
                <w:szCs w:val="21"/>
              </w:rPr>
              <w:t>(</w:t>
            </w:r>
            <w:r>
              <w:rPr>
                <w:rFonts w:ascii="宋体" w:hAnsi="宋体" w:cs="宋体" w:eastAsia="宋体" w:hint="default"/>
                <w:sz w:val="21"/>
                <w:szCs w:val="21"/>
              </w:rPr>
              <w:t>申</w:t>
            </w:r>
            <w:r>
              <w:rPr>
                <w:rFonts w:ascii="宋体" w:hAnsi="宋体" w:cs="宋体" w:eastAsia="宋体" w:hint="default"/>
                <w:w w:val="100"/>
                <w:sz w:val="21"/>
                <w:szCs w:val="21"/>
              </w:rPr>
              <w:t> </w:t>
            </w:r>
            <w:r>
              <w:rPr>
                <w:rFonts w:ascii="宋体" w:hAnsi="宋体" w:cs="宋体" w:eastAsia="宋体" w:hint="default"/>
                <w:sz w:val="21"/>
                <w:szCs w:val="21"/>
              </w:rPr>
              <w:t>请</w:t>
            </w:r>
            <w:r>
              <w:rPr>
                <w:rFonts w:ascii="宋体" w:hAnsi="宋体" w:cs="宋体" w:eastAsia="宋体" w:hint="default"/>
                <w:sz w:val="21"/>
                <w:szCs w:val="21"/>
              </w:rPr>
              <w:t>)</w:t>
            </w:r>
            <w:r>
              <w:rPr>
                <w:rFonts w:ascii="宋体" w:hAnsi="宋体" w:cs="宋体" w:eastAsia="宋体" w:hint="default"/>
                <w:sz w:val="21"/>
                <w:szCs w:val="21"/>
              </w:rPr>
              <w:t>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439" w:right="227" w:hanging="209"/>
              <w:jc w:val="left"/>
              <w:rPr>
                <w:rFonts w:ascii="宋体" w:hAnsi="宋体" w:cs="宋体" w:eastAsia="宋体" w:hint="default"/>
                <w:sz w:val="21"/>
                <w:szCs w:val="21"/>
              </w:rPr>
            </w:pPr>
            <w:r>
              <w:rPr>
                <w:rFonts w:ascii="宋体" w:hAnsi="宋体" w:cs="宋体" w:eastAsia="宋体" w:hint="default"/>
                <w:sz w:val="21"/>
                <w:szCs w:val="21"/>
              </w:rPr>
              <w:t>应诉</w:t>
            </w:r>
            <w:r>
              <w:rPr>
                <w:rFonts w:ascii="宋体" w:hAnsi="宋体" w:cs="宋体" w:eastAsia="宋体" w:hint="default"/>
                <w:sz w:val="21"/>
                <w:szCs w:val="21"/>
              </w:rPr>
              <w:t>(</w:t>
            </w:r>
            <w:r>
              <w:rPr>
                <w:rFonts w:ascii="宋体" w:hAnsi="宋体" w:cs="宋体" w:eastAsia="宋体" w:hint="default"/>
                <w:sz w:val="21"/>
                <w:szCs w:val="21"/>
              </w:rPr>
              <w:t>被申</w:t>
            </w:r>
            <w:r>
              <w:rPr>
                <w:rFonts w:ascii="宋体" w:hAnsi="宋体" w:cs="宋体" w:eastAsia="宋体" w:hint="default"/>
                <w:spacing w:val="-103"/>
                <w:sz w:val="21"/>
                <w:szCs w:val="21"/>
              </w:rPr>
              <w:t> </w:t>
            </w:r>
            <w:r>
              <w:rPr>
                <w:rFonts w:ascii="宋体" w:hAnsi="宋体" w:cs="宋体" w:eastAsia="宋体" w:hint="default"/>
                <w:sz w:val="21"/>
                <w:szCs w:val="21"/>
              </w:rPr>
              <w:t>请</w:t>
            </w:r>
            <w:r>
              <w:rPr>
                <w:rFonts w:ascii="宋体" w:hAnsi="宋体" w:cs="宋体" w:eastAsia="宋体" w:hint="default"/>
                <w:sz w:val="21"/>
                <w:szCs w:val="21"/>
              </w:rPr>
              <w:t>)</w:t>
            </w:r>
            <w:r>
              <w:rPr>
                <w:rFonts w:ascii="宋体" w:hAnsi="宋体" w:cs="宋体" w:eastAsia="宋体" w:hint="default"/>
                <w:sz w:val="21"/>
                <w:szCs w:val="21"/>
              </w:rPr>
              <w:t>方</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37" w:lineRule="auto"/>
              <w:ind w:left="105" w:right="101"/>
              <w:jc w:val="center"/>
              <w:rPr>
                <w:rFonts w:ascii="宋体" w:hAnsi="宋体" w:cs="宋体" w:eastAsia="宋体" w:hint="default"/>
                <w:sz w:val="21"/>
                <w:szCs w:val="21"/>
              </w:rPr>
            </w:pPr>
            <w:r>
              <w:rPr>
                <w:rFonts w:ascii="宋体" w:hAnsi="宋体" w:cs="宋体" w:eastAsia="宋体" w:hint="default"/>
                <w:sz w:val="21"/>
                <w:szCs w:val="21"/>
              </w:rPr>
              <w:t>承担连</w:t>
            </w:r>
            <w:r>
              <w:rPr>
                <w:rFonts w:ascii="宋体" w:hAnsi="宋体" w:cs="宋体" w:eastAsia="宋体" w:hint="default"/>
                <w:w w:val="100"/>
                <w:sz w:val="21"/>
                <w:szCs w:val="21"/>
              </w:rPr>
              <w:t> </w:t>
            </w:r>
            <w:r>
              <w:rPr>
                <w:rFonts w:ascii="宋体" w:hAnsi="宋体" w:cs="宋体" w:eastAsia="宋体" w:hint="default"/>
                <w:sz w:val="21"/>
                <w:szCs w:val="21"/>
              </w:rPr>
              <w:t>带责任</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37" w:lineRule="auto"/>
              <w:ind w:left="139" w:right="135"/>
              <w:jc w:val="both"/>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pacing w:val="-103"/>
                <w:sz w:val="21"/>
                <w:szCs w:val="21"/>
              </w:rPr>
              <w:t> </w:t>
            </w:r>
            <w:r>
              <w:rPr>
                <w:rFonts w:ascii="宋体" w:hAnsi="宋体" w:cs="宋体" w:eastAsia="宋体" w:hint="default"/>
                <w:sz w:val="21"/>
                <w:szCs w:val="21"/>
              </w:rPr>
              <w:t>仲裁</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600" w:right="0"/>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z w:val="21"/>
                <w:szCs w:val="21"/>
              </w:rPr>
              <w:t>基本情况</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458" w:right="143" w:hanging="315"/>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z w:val="21"/>
                <w:szCs w:val="21"/>
              </w:rPr>
              <w:t>涉</w:t>
            </w:r>
            <w:r>
              <w:rPr>
                <w:rFonts w:ascii="宋体" w:hAnsi="宋体" w:cs="宋体" w:eastAsia="宋体" w:hint="default"/>
                <w:w w:val="100"/>
                <w:sz w:val="21"/>
                <w:szCs w:val="21"/>
              </w:rPr>
              <w:t> </w:t>
            </w:r>
            <w:r>
              <w:rPr>
                <w:rFonts w:ascii="宋体" w:hAnsi="宋体" w:cs="宋体" w:eastAsia="宋体" w:hint="default"/>
                <w:sz w:val="21"/>
                <w:szCs w:val="21"/>
              </w:rPr>
              <w:t>及金额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2" w:right="120"/>
              <w:jc w:val="both"/>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w:t>
            </w:r>
            <w:r>
              <w:rPr>
                <w:rFonts w:ascii="宋体" w:hAnsi="宋体" w:cs="宋体" w:eastAsia="宋体" w:hint="default"/>
                <w:w w:val="100"/>
                <w:sz w:val="21"/>
                <w:szCs w:val="21"/>
              </w:rPr>
              <w:t> </w:t>
            </w:r>
            <w:r>
              <w:rPr>
                <w:rFonts w:ascii="宋体" w:hAnsi="宋体" w:cs="宋体" w:eastAsia="宋体" w:hint="default"/>
                <w:sz w:val="21"/>
                <w:szCs w:val="21"/>
              </w:rPr>
              <w:t>裁</w:t>
            </w:r>
            <w:r>
              <w:rPr>
                <w:rFonts w:ascii="宋体" w:hAnsi="宋体" w:cs="宋体" w:eastAsia="宋体" w:hint="default"/>
                <w:sz w:val="21"/>
                <w:szCs w:val="21"/>
              </w:rPr>
              <w:t>)</w:t>
            </w:r>
            <w:r>
              <w:rPr>
                <w:rFonts w:ascii="宋体" w:hAnsi="宋体" w:cs="宋体" w:eastAsia="宋体" w:hint="default"/>
                <w:sz w:val="21"/>
                <w:szCs w:val="21"/>
              </w:rPr>
              <w:t>是否</w:t>
            </w:r>
            <w:r>
              <w:rPr>
                <w:rFonts w:ascii="宋体" w:hAnsi="宋体" w:cs="宋体" w:eastAsia="宋体" w:hint="default"/>
                <w:spacing w:val="-3"/>
                <w:w w:val="100"/>
                <w:sz w:val="21"/>
                <w:szCs w:val="21"/>
              </w:rPr>
              <w:t> </w:t>
            </w:r>
            <w:r>
              <w:rPr>
                <w:rFonts w:ascii="宋体" w:hAnsi="宋体" w:cs="宋体" w:eastAsia="宋体" w:hint="default"/>
                <w:sz w:val="21"/>
                <w:szCs w:val="21"/>
              </w:rPr>
              <w:t>形成预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计负债</w:t>
            </w:r>
            <w:r>
              <w:rPr>
                <w:rFonts w:ascii="宋体" w:hAnsi="宋体" w:cs="宋体" w:eastAsia="宋体" w:hint="default"/>
                <w:spacing w:val="-102"/>
                <w:sz w:val="21"/>
                <w:szCs w:val="21"/>
              </w:rPr>
              <w:t> </w:t>
            </w:r>
            <w:r>
              <w:rPr>
                <w:rFonts w:ascii="宋体" w:hAnsi="宋体" w:cs="宋体" w:eastAsia="宋体" w:hint="default"/>
                <w:sz w:val="21"/>
                <w:szCs w:val="21"/>
              </w:rPr>
              <w:t>及金额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5" w:right="101"/>
              <w:jc w:val="center"/>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进展情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1"/>
              <w:jc w:val="center"/>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审理结</w:t>
            </w:r>
            <w:r>
              <w:rPr>
                <w:rFonts w:ascii="宋体" w:hAnsi="宋体" w:cs="宋体" w:eastAsia="宋体" w:hint="default"/>
                <w:w w:val="100"/>
                <w:sz w:val="21"/>
                <w:szCs w:val="21"/>
              </w:rPr>
              <w:t> </w:t>
            </w:r>
            <w:r>
              <w:rPr>
                <w:rFonts w:ascii="宋体" w:hAnsi="宋体" w:cs="宋体" w:eastAsia="宋体" w:hint="default"/>
                <w:sz w:val="21"/>
                <w:szCs w:val="21"/>
              </w:rPr>
              <w:t>果及影</w:t>
            </w:r>
            <w:r>
              <w:rPr>
                <w:rFonts w:ascii="宋体" w:hAnsi="宋体" w:cs="宋体" w:eastAsia="宋体" w:hint="default"/>
                <w:w w:val="100"/>
                <w:sz w:val="21"/>
                <w:szCs w:val="21"/>
              </w:rPr>
              <w:t> </w:t>
            </w:r>
            <w:r>
              <w:rPr>
                <w:rFonts w:ascii="宋体" w:hAnsi="宋体" w:cs="宋体" w:eastAsia="宋体" w:hint="default"/>
                <w:sz w:val="21"/>
                <w:szCs w:val="21"/>
              </w:rPr>
              <w:t>响</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2" w:right="0" w:hanging="53"/>
              <w:jc w:val="both"/>
              <w:rPr>
                <w:rFonts w:ascii="宋体" w:hAnsi="宋体" w:cs="宋体" w:eastAsia="宋体" w:hint="default"/>
                <w:sz w:val="21"/>
                <w:szCs w:val="21"/>
              </w:rPr>
            </w:pPr>
            <w:r>
              <w:rPr>
                <w:rFonts w:ascii="宋体" w:hAnsi="宋体" w:cs="宋体" w:eastAsia="宋体" w:hint="default"/>
                <w:sz w:val="21"/>
                <w:szCs w:val="21"/>
              </w:rPr>
              <w:t>诉讼</w:t>
            </w:r>
          </w:p>
          <w:p>
            <w:pPr>
              <w:pStyle w:val="TableParagraph"/>
              <w:spacing w:line="273" w:lineRule="exact"/>
              <w:ind w:left="192"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仲</w:t>
            </w:r>
          </w:p>
          <w:p>
            <w:pPr>
              <w:pStyle w:val="TableParagraph"/>
              <w:spacing w:line="237" w:lineRule="auto" w:before="2"/>
              <w:ind w:left="139" w:right="134" w:firstLine="52"/>
              <w:jc w:val="both"/>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判决</w:t>
            </w:r>
            <w:r>
              <w:rPr>
                <w:rFonts w:ascii="宋体" w:hAnsi="宋体" w:cs="宋体" w:eastAsia="宋体" w:hint="default"/>
                <w:spacing w:val="-103"/>
                <w:sz w:val="21"/>
                <w:szCs w:val="21"/>
              </w:rPr>
              <w:t> </w:t>
            </w:r>
            <w:r>
              <w:rPr>
                <w:rFonts w:ascii="宋体" w:hAnsi="宋体" w:cs="宋体" w:eastAsia="宋体" w:hint="default"/>
                <w:sz w:val="21"/>
                <w:szCs w:val="21"/>
              </w:rPr>
              <w:t>执行</w:t>
            </w:r>
            <w:r>
              <w:rPr>
                <w:rFonts w:ascii="宋体" w:hAnsi="宋体" w:cs="宋体" w:eastAsia="宋体" w:hint="default"/>
                <w:spacing w:val="-103"/>
                <w:sz w:val="21"/>
                <w:szCs w:val="21"/>
              </w:rPr>
              <w:t> </w:t>
            </w:r>
            <w:r>
              <w:rPr>
                <w:rFonts w:ascii="宋体" w:hAnsi="宋体" w:cs="宋体" w:eastAsia="宋体" w:hint="default"/>
                <w:sz w:val="21"/>
                <w:szCs w:val="21"/>
              </w:rPr>
              <w:t>情况</w:t>
            </w:r>
          </w:p>
        </w:tc>
      </w:tr>
      <w:tr>
        <w:trPr>
          <w:trHeight w:val="436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sz w:val="21"/>
              </w:rPr>
              <w:t>Red  </w:t>
            </w:r>
            <w:r>
              <w:rPr>
                <w:rFonts w:ascii="宋体"/>
                <w:spacing w:val="10"/>
                <w:sz w:val="21"/>
              </w:rPr>
              <w:t> </w:t>
            </w:r>
            <w:r>
              <w:rPr>
                <w:rFonts w:ascii="宋体"/>
                <w:sz w:val="21"/>
              </w:rPr>
              <w:t>5</w:t>
            </w:r>
          </w:p>
          <w:p>
            <w:pPr>
              <w:pStyle w:val="TableParagraph"/>
              <w:spacing w:line="272" w:lineRule="exact" w:before="27"/>
              <w:ind w:left="103" w:right="99"/>
              <w:jc w:val="both"/>
              <w:rPr>
                <w:rFonts w:ascii="宋体" w:hAnsi="宋体" w:cs="宋体" w:eastAsia="宋体" w:hint="default"/>
                <w:sz w:val="21"/>
                <w:szCs w:val="21"/>
              </w:rPr>
            </w:pPr>
            <w:r>
              <w:rPr>
                <w:rFonts w:ascii="宋体"/>
                <w:sz w:val="21"/>
              </w:rPr>
              <w:t>Singapo</w:t>
            </w:r>
            <w:r>
              <w:rPr>
                <w:rFonts w:ascii="宋体"/>
                <w:w w:val="100"/>
                <w:sz w:val="21"/>
              </w:rPr>
              <w:t> </w:t>
            </w:r>
            <w:r>
              <w:rPr>
                <w:rFonts w:ascii="宋体"/>
                <w:sz w:val="21"/>
              </w:rPr>
              <w:t>re</w:t>
            </w:r>
            <w:r>
              <w:rPr>
                <w:rFonts w:ascii="宋体"/>
                <w:spacing w:val="10"/>
                <w:sz w:val="21"/>
              </w:rPr>
              <w:t> </w:t>
            </w:r>
            <w:r>
              <w:rPr>
                <w:rFonts w:ascii="宋体"/>
                <w:sz w:val="21"/>
              </w:rPr>
              <w:t>Pte.</w:t>
            </w:r>
            <w:r>
              <w:rPr>
                <w:rFonts w:ascii="宋体"/>
                <w:w w:val="100"/>
                <w:sz w:val="21"/>
              </w:rPr>
              <w:t> </w:t>
            </w:r>
            <w:r>
              <w:rPr>
                <w:rFonts w:ascii="宋体"/>
                <w:sz w:val="21"/>
              </w:rPr>
              <w:t>Ltd.</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System</w:t>
            </w:r>
            <w:r>
              <w:rPr>
                <w:rFonts w:ascii="宋体"/>
                <w:spacing w:val="46"/>
                <w:sz w:val="21"/>
              </w:rPr>
              <w:t> </w:t>
            </w:r>
            <w:r>
              <w:rPr>
                <w:rFonts w:ascii="宋体"/>
                <w:sz w:val="21"/>
              </w:rPr>
              <w:t>Link</w:t>
            </w:r>
          </w:p>
          <w:p>
            <w:pPr>
              <w:pStyle w:val="TableParagraph"/>
              <w:tabs>
                <w:tab w:pos="1094" w:val="left" w:leader="none"/>
              </w:tabs>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Corporation</w:t>
            </w:r>
            <w:r>
              <w:rPr>
                <w:rFonts w:ascii="宋体" w:hAnsi="宋体" w:cs="宋体" w:eastAsia="宋体" w:hint="default"/>
                <w:w w:val="100"/>
                <w:sz w:val="21"/>
                <w:szCs w:val="21"/>
              </w:rPr>
              <w:t> </w:t>
            </w:r>
            <w:r>
              <w:rPr>
                <w:rFonts w:ascii="宋体" w:hAnsi="宋体" w:cs="宋体" w:eastAsia="宋体" w:hint="default"/>
                <w:spacing w:val="-1"/>
                <w:sz w:val="21"/>
                <w:szCs w:val="21"/>
              </w:rPr>
              <w:t>Limited</w:t>
              <w:tab/>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Qifei</w:t>
            </w:r>
            <w:r>
              <w:rPr>
                <w:rFonts w:ascii="宋体" w:hAnsi="宋体" w:cs="宋体" w:eastAsia="宋体" w:hint="default"/>
                <w:spacing w:val="-102"/>
                <w:sz w:val="21"/>
                <w:szCs w:val="21"/>
              </w:rPr>
              <w:t> </w:t>
            </w:r>
            <w:r>
              <w:rPr>
                <w:rFonts w:ascii="宋体" w:hAnsi="宋体" w:cs="宋体" w:eastAsia="宋体" w:hint="default"/>
                <w:sz w:val="21"/>
                <w:szCs w:val="21"/>
              </w:rPr>
              <w:t>Internation</w:t>
            </w:r>
            <w:r>
              <w:rPr>
                <w:rFonts w:ascii="宋体" w:hAnsi="宋体" w:cs="宋体" w:eastAsia="宋体" w:hint="default"/>
                <w:w w:val="100"/>
                <w:sz w:val="21"/>
                <w:szCs w:val="21"/>
              </w:rPr>
              <w:t> </w:t>
            </w:r>
            <w:r>
              <w:rPr>
                <w:rFonts w:ascii="宋体" w:hAnsi="宋体" w:cs="宋体" w:eastAsia="宋体" w:hint="default"/>
                <w:sz w:val="21"/>
                <w:szCs w:val="21"/>
              </w:rPr>
              <w:t>al</w:t>
            </w:r>
            <w:r>
              <w:rPr>
                <w:rFonts w:ascii="宋体" w:hAnsi="宋体" w:cs="宋体" w:eastAsia="宋体" w:hint="default"/>
                <w:w w:val="100"/>
                <w:sz w:val="21"/>
                <w:szCs w:val="21"/>
              </w:rPr>
              <w:t> </w:t>
            </w:r>
            <w:r>
              <w:rPr>
                <w:rFonts w:ascii="宋体" w:hAnsi="宋体" w:cs="宋体" w:eastAsia="宋体" w:hint="default"/>
                <w:sz w:val="21"/>
                <w:szCs w:val="21"/>
              </w:rPr>
              <w:t>Development</w:t>
            </w:r>
            <w:r>
              <w:rPr>
                <w:rFonts w:ascii="宋体" w:hAnsi="宋体" w:cs="宋体" w:eastAsia="宋体" w:hint="default"/>
                <w:w w:val="100"/>
                <w:sz w:val="21"/>
                <w:szCs w:val="21"/>
              </w:rPr>
              <w:t> </w:t>
            </w:r>
            <w:r>
              <w:rPr>
                <w:rFonts w:ascii="宋体" w:hAnsi="宋体" w:cs="宋体" w:eastAsia="宋体" w:hint="default"/>
                <w:sz w:val="21"/>
                <w:szCs w:val="21"/>
              </w:rPr>
              <w:t>Co.</w:t>
            </w:r>
          </w:p>
          <w:p>
            <w:pPr>
              <w:pStyle w:val="TableParagraph"/>
              <w:tabs>
                <w:tab w:pos="1094"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Limited</w:t>
              <w:tab/>
            </w:r>
            <w:r>
              <w:rPr>
                <w:rFonts w:ascii="宋体" w:hAnsi="宋体" w:cs="宋体" w:eastAsia="宋体" w:hint="default"/>
                <w:sz w:val="21"/>
                <w:szCs w:val="21"/>
              </w:rPr>
              <w:t>、</w:t>
            </w:r>
          </w:p>
          <w:p>
            <w:pPr>
              <w:pStyle w:val="TableParagraph"/>
              <w:tabs>
                <w:tab w:pos="991" w:val="left" w:leader="none"/>
              </w:tabs>
              <w:spacing w:line="237" w:lineRule="auto"/>
              <w:ind w:left="103" w:right="98"/>
              <w:jc w:val="left"/>
              <w:rPr>
                <w:rFonts w:ascii="宋体" w:hAnsi="宋体" w:cs="宋体" w:eastAsia="宋体" w:hint="default"/>
                <w:sz w:val="21"/>
                <w:szCs w:val="21"/>
              </w:rPr>
            </w:pPr>
            <w:r>
              <w:rPr>
                <w:rFonts w:ascii="宋体"/>
                <w:sz w:val="21"/>
              </w:rPr>
              <w:t>Qihoo</w:t>
              <w:tab/>
              <w:t>360</w:t>
            </w:r>
            <w:r>
              <w:rPr>
                <w:rFonts w:ascii="宋体"/>
                <w:w w:val="100"/>
                <w:sz w:val="21"/>
              </w:rPr>
              <w:t> </w:t>
            </w:r>
            <w:r>
              <w:rPr>
                <w:rFonts w:ascii="宋体"/>
                <w:sz w:val="21"/>
              </w:rPr>
              <w:t>Technology</w:t>
            </w:r>
            <w:r>
              <w:rPr>
                <w:rFonts w:ascii="宋体"/>
                <w:spacing w:val="-102"/>
                <w:sz w:val="21"/>
              </w:rPr>
              <w:t> </w:t>
            </w:r>
            <w:r>
              <w:rPr>
                <w:rFonts w:ascii="宋体"/>
                <w:spacing w:val="-102"/>
                <w:sz w:val="21"/>
              </w:rPr>
            </w:r>
            <w:r>
              <w:rPr>
                <w:rFonts w:ascii="宋体"/>
                <w:sz w:val="21"/>
              </w:rPr>
              <w:t>Co.</w:t>
            </w:r>
            <w:r>
              <w:rPr>
                <w:rFonts w:ascii="宋体"/>
                <w:spacing w:val="1"/>
                <w:sz w:val="21"/>
              </w:rPr>
              <w:t> </w:t>
            </w:r>
            <w:r>
              <w:rPr>
                <w:rFonts w:ascii="宋体"/>
                <w:sz w:val="21"/>
              </w:rPr>
              <w:t>Ltd..</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sz w:val="21"/>
              </w:rPr>
              <w:t>Qihoo</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360</w:t>
            </w:r>
            <w:r>
              <w:rPr>
                <w:rFonts w:ascii="宋体" w:hAnsi="宋体" w:cs="宋体" w:eastAsia="宋体" w:hint="default"/>
                <w:spacing w:val="-101"/>
                <w:w w:val="100"/>
                <w:sz w:val="21"/>
                <w:szCs w:val="21"/>
              </w:rPr>
              <w:t>、三</w:t>
            </w:r>
            <w:r>
              <w:rPr>
                <w:rFonts w:ascii="宋体" w:hAnsi="宋体" w:cs="宋体" w:eastAsia="宋体" w:hint="default"/>
                <w:w w:val="100"/>
                <w:sz w:val="21"/>
                <w:szCs w:val="21"/>
              </w:rPr>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六零科</w:t>
            </w:r>
            <w:r>
              <w:rPr>
                <w:rFonts w:ascii="宋体" w:hAnsi="宋体" w:cs="宋体" w:eastAsia="宋体" w:hint="default"/>
                <w:spacing w:val="-102"/>
                <w:sz w:val="21"/>
                <w:szCs w:val="21"/>
              </w:rPr>
              <w:t> </w:t>
            </w:r>
            <w:r>
              <w:rPr>
                <w:rFonts w:ascii="宋体" w:hAnsi="宋体" w:cs="宋体" w:eastAsia="宋体" w:hint="default"/>
                <w:spacing w:val="2"/>
                <w:sz w:val="21"/>
                <w:szCs w:val="21"/>
              </w:rPr>
              <w:t>技有限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诉讼</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Red</w:t>
            </w:r>
            <w:r>
              <w:rPr>
                <w:rFonts w:ascii="宋体" w:hAnsi="宋体" w:cs="宋体" w:eastAsia="宋体" w:hint="default"/>
                <w:spacing w:val="-2"/>
                <w:sz w:val="21"/>
                <w:szCs w:val="21"/>
              </w:rPr>
              <w:t> </w:t>
            </w:r>
            <w:r>
              <w:rPr>
                <w:rFonts w:ascii="宋体" w:hAnsi="宋体" w:cs="宋体" w:eastAsia="宋体" w:hint="default"/>
                <w:sz w:val="21"/>
                <w:szCs w:val="21"/>
              </w:rPr>
              <w:t>5 Singapore</w:t>
            </w:r>
            <w:r>
              <w:rPr>
                <w:rFonts w:ascii="宋体" w:hAnsi="宋体" w:cs="宋体" w:eastAsia="宋体" w:hint="default"/>
                <w:spacing w:val="-2"/>
                <w:sz w:val="21"/>
                <w:szCs w:val="21"/>
              </w:rPr>
              <w:t> </w:t>
            </w:r>
            <w:r>
              <w:rPr>
                <w:rFonts w:ascii="宋体" w:hAnsi="宋体" w:cs="宋体" w:eastAsia="宋体" w:hint="default"/>
                <w:sz w:val="21"/>
                <w:szCs w:val="21"/>
              </w:rPr>
              <w:t>Pte. Ltd.</w:t>
            </w:r>
            <w:r>
              <w:rPr>
                <w:rFonts w:ascii="宋体" w:hAnsi="宋体" w:cs="宋体" w:eastAsia="宋体" w:hint="default"/>
                <w:sz w:val="21"/>
                <w:szCs w:val="21"/>
              </w:rPr>
              <w:t>作为原告</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起诉被告一</w:t>
            </w:r>
            <w:r>
              <w:rPr>
                <w:rFonts w:ascii="宋体" w:hAnsi="宋体" w:cs="宋体" w:eastAsia="宋体" w:hint="default"/>
                <w:spacing w:val="-53"/>
                <w:sz w:val="21"/>
                <w:szCs w:val="21"/>
              </w:rPr>
              <w:t> </w:t>
            </w:r>
            <w:r>
              <w:rPr>
                <w:rFonts w:ascii="宋体" w:hAnsi="宋体" w:cs="宋体" w:eastAsia="宋体" w:hint="default"/>
                <w:sz w:val="21"/>
                <w:szCs w:val="21"/>
              </w:rPr>
              <w:t>System</w:t>
            </w:r>
            <w:r>
              <w:rPr>
                <w:rFonts w:ascii="宋体" w:hAnsi="宋体" w:cs="宋体" w:eastAsia="宋体" w:hint="default"/>
                <w:spacing w:val="-36"/>
                <w:sz w:val="21"/>
                <w:szCs w:val="21"/>
              </w:rPr>
              <w:t> </w:t>
            </w:r>
            <w:r>
              <w:rPr>
                <w:rFonts w:ascii="宋体" w:hAnsi="宋体" w:cs="宋体" w:eastAsia="宋体" w:hint="default"/>
                <w:sz w:val="21"/>
                <w:szCs w:val="21"/>
              </w:rPr>
              <w:t>Link</w:t>
            </w:r>
            <w:r>
              <w:rPr>
                <w:rFonts w:ascii="宋体" w:hAnsi="宋体" w:cs="宋体" w:eastAsia="宋体" w:hint="default"/>
                <w:spacing w:val="-36"/>
                <w:sz w:val="21"/>
                <w:szCs w:val="21"/>
              </w:rPr>
              <w:t> </w:t>
            </w:r>
            <w:r>
              <w:rPr>
                <w:rFonts w:ascii="宋体" w:hAnsi="宋体" w:cs="宋体" w:eastAsia="宋体" w:hint="default"/>
                <w:sz w:val="21"/>
                <w:szCs w:val="21"/>
              </w:rPr>
              <w:t>Corporation</w:t>
            </w:r>
            <w:r>
              <w:rPr>
                <w:rFonts w:ascii="宋体" w:hAnsi="宋体" w:cs="宋体" w:eastAsia="宋体" w:hint="default"/>
                <w:spacing w:val="-36"/>
                <w:sz w:val="21"/>
                <w:szCs w:val="21"/>
              </w:rPr>
              <w:t> </w:t>
            </w:r>
            <w:r>
              <w:rPr>
                <w:rFonts w:ascii="宋体" w:hAnsi="宋体" w:cs="宋体" w:eastAsia="宋体" w:hint="default"/>
                <w:sz w:val="21"/>
                <w:szCs w:val="21"/>
              </w:rPr>
              <w:t>Limited</w:t>
            </w:r>
            <w:r>
              <w:rPr>
                <w:rFonts w:ascii="宋体" w:hAnsi="宋体" w:cs="宋体" w:eastAsia="宋体" w:hint="default"/>
                <w:sz w:val="21"/>
                <w:szCs w:val="21"/>
              </w:rPr>
              <w:t>、被告</w:t>
            </w:r>
            <w:r>
              <w:rPr>
                <w:rFonts w:ascii="宋体" w:hAnsi="宋体" w:cs="宋体" w:eastAsia="宋体" w:hint="default"/>
                <w:w w:val="100"/>
                <w:sz w:val="21"/>
                <w:szCs w:val="21"/>
              </w:rPr>
              <w:t> </w:t>
            </w:r>
            <w:r>
              <w:rPr>
                <w:rFonts w:ascii="宋体" w:hAnsi="宋体" w:cs="宋体" w:eastAsia="宋体" w:hint="default"/>
                <w:sz w:val="21"/>
                <w:szCs w:val="21"/>
              </w:rPr>
              <w:t>二</w:t>
            </w:r>
            <w:r>
              <w:rPr>
                <w:rFonts w:ascii="宋体" w:hAnsi="宋体" w:cs="宋体" w:eastAsia="宋体" w:hint="default"/>
                <w:spacing w:val="-54"/>
                <w:sz w:val="21"/>
                <w:szCs w:val="21"/>
              </w:rPr>
              <w:t> </w:t>
            </w:r>
            <w:r>
              <w:rPr>
                <w:rFonts w:ascii="宋体" w:hAnsi="宋体" w:cs="宋体" w:eastAsia="宋体" w:hint="default"/>
                <w:sz w:val="21"/>
                <w:szCs w:val="21"/>
              </w:rPr>
              <w:t>Qifei</w:t>
            </w:r>
            <w:r>
              <w:rPr>
                <w:rFonts w:ascii="宋体" w:hAnsi="宋体" w:cs="宋体" w:eastAsia="宋体" w:hint="default"/>
                <w:spacing w:val="-51"/>
                <w:sz w:val="21"/>
                <w:szCs w:val="21"/>
              </w:rPr>
              <w:t> </w:t>
            </w:r>
            <w:r>
              <w:rPr>
                <w:rFonts w:ascii="宋体" w:hAnsi="宋体" w:cs="宋体" w:eastAsia="宋体" w:hint="default"/>
                <w:sz w:val="21"/>
                <w:szCs w:val="21"/>
              </w:rPr>
              <w:t>International</w:t>
            </w:r>
            <w:r>
              <w:rPr>
                <w:rFonts w:ascii="宋体" w:hAnsi="宋体" w:cs="宋体" w:eastAsia="宋体" w:hint="default"/>
                <w:spacing w:val="-56"/>
                <w:sz w:val="21"/>
                <w:szCs w:val="21"/>
              </w:rPr>
              <w:t> </w:t>
            </w:r>
            <w:r>
              <w:rPr>
                <w:rFonts w:ascii="宋体" w:hAnsi="宋体" w:cs="宋体" w:eastAsia="宋体" w:hint="default"/>
                <w:sz w:val="21"/>
                <w:szCs w:val="21"/>
              </w:rPr>
              <w:t>和被告三</w:t>
            </w:r>
            <w:r>
              <w:rPr>
                <w:rFonts w:ascii="宋体" w:hAnsi="宋体" w:cs="宋体" w:eastAsia="宋体" w:hint="default"/>
                <w:spacing w:val="-53"/>
                <w:sz w:val="21"/>
                <w:szCs w:val="21"/>
              </w:rPr>
              <w:t> </w:t>
            </w:r>
            <w:r>
              <w:rPr>
                <w:rFonts w:ascii="宋体" w:hAnsi="宋体" w:cs="宋体" w:eastAsia="宋体" w:hint="default"/>
                <w:sz w:val="21"/>
                <w:szCs w:val="21"/>
              </w:rPr>
              <w:t>Qihoo</w:t>
            </w:r>
            <w:r>
              <w:rPr>
                <w:rFonts w:ascii="宋体" w:hAnsi="宋体" w:cs="宋体" w:eastAsia="宋体" w:hint="default"/>
                <w:spacing w:val="-54"/>
                <w:sz w:val="21"/>
                <w:szCs w:val="21"/>
              </w:rPr>
              <w:t> </w:t>
            </w:r>
            <w:r>
              <w:rPr>
                <w:rFonts w:ascii="宋体" w:hAnsi="宋体" w:cs="宋体" w:eastAsia="宋体" w:hint="default"/>
                <w:sz w:val="21"/>
                <w:szCs w:val="21"/>
              </w:rPr>
              <w:t>360</w:t>
            </w:r>
            <w:r>
              <w:rPr>
                <w:rFonts w:ascii="宋体" w:hAnsi="宋体" w:cs="宋体" w:eastAsia="宋体" w:hint="default"/>
                <w:sz w:val="21"/>
                <w:szCs w:val="21"/>
              </w:rPr>
              <w:t>，并随后</w:t>
            </w:r>
            <w:r>
              <w:rPr>
                <w:rFonts w:ascii="宋体" w:hAnsi="宋体" w:cs="宋体" w:eastAsia="宋体" w:hint="default"/>
                <w:w w:val="100"/>
                <w:sz w:val="21"/>
                <w:szCs w:val="21"/>
              </w:rPr>
              <w:t> </w:t>
            </w:r>
            <w:r>
              <w:rPr>
                <w:rFonts w:ascii="宋体" w:hAnsi="宋体" w:cs="宋体" w:eastAsia="宋体" w:hint="default"/>
                <w:spacing w:val="4"/>
                <w:sz w:val="21"/>
                <w:szCs w:val="21"/>
              </w:rPr>
              <w:t>申请追加三六零科技股份有限公司</w:t>
            </w:r>
            <w:r>
              <w:rPr>
                <w:rFonts w:ascii="宋体" w:hAnsi="宋体" w:cs="宋体" w:eastAsia="宋体" w:hint="default"/>
                <w:spacing w:val="4"/>
                <w:sz w:val="21"/>
                <w:szCs w:val="21"/>
              </w:rPr>
              <w:t>(</w:t>
            </w:r>
            <w:r>
              <w:rPr>
                <w:rFonts w:ascii="宋体" w:hAnsi="宋体" w:cs="宋体" w:eastAsia="宋体" w:hint="default"/>
                <w:spacing w:val="4"/>
                <w:sz w:val="21"/>
                <w:szCs w:val="21"/>
              </w:rPr>
              <w:t>后更名为三六零</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4"/>
                <w:sz w:val="21"/>
                <w:szCs w:val="21"/>
              </w:rPr>
              <w:t>科技有限公司</w:t>
            </w:r>
            <w:r>
              <w:rPr>
                <w:rFonts w:ascii="宋体" w:hAnsi="宋体" w:cs="宋体" w:eastAsia="宋体" w:hint="default"/>
                <w:spacing w:val="-4"/>
                <w:sz w:val="21"/>
                <w:szCs w:val="21"/>
              </w:rPr>
              <w:t>)</w:t>
            </w:r>
            <w:r>
              <w:rPr>
                <w:rFonts w:ascii="宋体" w:hAnsi="宋体" w:cs="宋体" w:eastAsia="宋体" w:hint="default"/>
                <w:spacing w:val="-4"/>
                <w:sz w:val="21"/>
                <w:szCs w:val="21"/>
              </w:rPr>
              <w:t>为被告四，认为被告二和被告三损害了</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被告一的债务履行能力，进而严重损害作为被告一债</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权人的原告的利益，使原告无法收取其与被告一签订</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的《许可及发行协议》项下被告一承诺支付的合作游</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戏“Firefall”保底分成；另外由于通过私有化交易</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及重组安排，被告四已成为被告三的真正控制及经营</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4"/>
                <w:sz w:val="21"/>
                <w:szCs w:val="21"/>
              </w:rPr>
              <w:t>实体，故追加被告四为共同被告。请求：</w:t>
            </w:r>
            <w:r>
              <w:rPr>
                <w:rFonts w:ascii="宋体" w:hAnsi="宋体" w:cs="宋体" w:eastAsia="宋体" w:hint="default"/>
                <w:spacing w:val="-4"/>
                <w:sz w:val="21"/>
                <w:szCs w:val="21"/>
              </w:rPr>
              <w:t>(1)</w:t>
            </w:r>
            <w:r>
              <w:rPr>
                <w:rFonts w:ascii="宋体" w:hAnsi="宋体" w:cs="宋体" w:eastAsia="宋体" w:hint="default"/>
                <w:spacing w:val="-4"/>
                <w:sz w:val="21"/>
                <w:szCs w:val="21"/>
              </w:rPr>
              <w:t>判令被告</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一向原告支付全部保底分成 </w:t>
            </w:r>
            <w:r>
              <w:rPr>
                <w:rFonts w:ascii="宋体" w:hAnsi="宋体" w:cs="宋体" w:eastAsia="宋体" w:hint="default"/>
                <w:sz w:val="21"/>
                <w:szCs w:val="21"/>
              </w:rPr>
              <w:t>150,000,000</w:t>
            </w:r>
            <w:r>
              <w:rPr>
                <w:rFonts w:ascii="宋体" w:hAnsi="宋体" w:cs="宋体" w:eastAsia="宋体" w:hint="default"/>
                <w:spacing w:val="51"/>
                <w:sz w:val="21"/>
                <w:szCs w:val="21"/>
              </w:rPr>
              <w:t> </w:t>
            </w:r>
            <w:r>
              <w:rPr>
                <w:rFonts w:ascii="宋体" w:hAnsi="宋体" w:cs="宋体" w:eastAsia="宋体" w:hint="default"/>
                <w:sz w:val="21"/>
                <w:szCs w:val="21"/>
              </w:rPr>
              <w:t>美元</w:t>
            </w:r>
            <w:r>
              <w:rPr>
                <w:rFonts w:ascii="宋体" w:hAnsi="宋体" w:cs="宋体" w:eastAsia="宋体" w:hint="default"/>
                <w:sz w:val="21"/>
                <w:szCs w:val="21"/>
              </w:rPr>
              <w:t>(</w:t>
            </w:r>
            <w:r>
              <w:rPr>
                <w:rFonts w:ascii="宋体" w:hAnsi="宋体" w:cs="宋体" w:eastAsia="宋体" w:hint="default"/>
                <w:sz w:val="21"/>
                <w:szCs w:val="21"/>
              </w:rPr>
              <w:t>根据</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31"/>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11</w:t>
            </w:r>
            <w:r>
              <w:rPr>
                <w:rFonts w:ascii="宋体" w:hAnsi="宋体" w:cs="宋体" w:eastAsia="宋体" w:hint="default"/>
                <w:spacing w:val="-31"/>
                <w:sz w:val="21"/>
                <w:szCs w:val="21"/>
              </w:rPr>
              <w:t> </w:t>
            </w:r>
            <w:r>
              <w:rPr>
                <w:rFonts w:ascii="宋体" w:hAnsi="宋体" w:cs="宋体" w:eastAsia="宋体" w:hint="default"/>
                <w:sz w:val="21"/>
                <w:szCs w:val="21"/>
              </w:rPr>
              <w:t>月</w:t>
            </w:r>
            <w:r>
              <w:rPr>
                <w:rFonts w:ascii="宋体" w:hAnsi="宋体" w:cs="宋体" w:eastAsia="宋体" w:hint="default"/>
                <w:spacing w:val="-33"/>
                <w:sz w:val="21"/>
                <w:szCs w:val="21"/>
              </w:rPr>
              <w:t> </w:t>
            </w:r>
            <w:r>
              <w:rPr>
                <w:rFonts w:ascii="宋体" w:hAnsi="宋体" w:cs="宋体" w:eastAsia="宋体" w:hint="default"/>
                <w:sz w:val="21"/>
                <w:szCs w:val="21"/>
              </w:rPr>
              <w:t>7</w:t>
            </w:r>
            <w:r>
              <w:rPr>
                <w:rFonts w:ascii="宋体" w:hAnsi="宋体" w:cs="宋体" w:eastAsia="宋体" w:hint="default"/>
                <w:spacing w:val="-31"/>
                <w:sz w:val="21"/>
                <w:szCs w:val="21"/>
              </w:rPr>
              <w:t> </w:t>
            </w:r>
            <w:r>
              <w:rPr>
                <w:rFonts w:ascii="宋体" w:hAnsi="宋体" w:cs="宋体" w:eastAsia="宋体" w:hint="default"/>
                <w:sz w:val="21"/>
                <w:szCs w:val="21"/>
              </w:rPr>
              <w:t>日中国人民银行人民币汇率中间价公</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告，按 </w:t>
            </w:r>
            <w:r>
              <w:rPr>
                <w:rFonts w:ascii="宋体" w:hAnsi="宋体" w:cs="宋体" w:eastAsia="宋体" w:hint="default"/>
                <w:sz w:val="21"/>
                <w:szCs w:val="21"/>
              </w:rPr>
              <w:t>1 </w:t>
            </w:r>
            <w:r>
              <w:rPr>
                <w:rFonts w:ascii="宋体" w:hAnsi="宋体" w:cs="宋体" w:eastAsia="宋体" w:hint="default"/>
                <w:spacing w:val="4"/>
                <w:sz w:val="21"/>
                <w:szCs w:val="21"/>
              </w:rPr>
              <w:t>美元对人民币 </w:t>
            </w:r>
            <w:r>
              <w:rPr>
                <w:rFonts w:ascii="宋体" w:hAnsi="宋体" w:cs="宋体" w:eastAsia="宋体" w:hint="default"/>
                <w:sz w:val="21"/>
                <w:szCs w:val="21"/>
              </w:rPr>
              <w:t>6.7725</w:t>
            </w:r>
            <w:r>
              <w:rPr>
                <w:rFonts w:ascii="宋体" w:hAnsi="宋体" w:cs="宋体" w:eastAsia="宋体" w:hint="default"/>
                <w:spacing w:val="65"/>
                <w:sz w:val="21"/>
                <w:szCs w:val="21"/>
              </w:rPr>
              <w:t> </w:t>
            </w:r>
            <w:r>
              <w:rPr>
                <w:rFonts w:ascii="宋体" w:hAnsi="宋体" w:cs="宋体" w:eastAsia="宋体" w:hint="default"/>
                <w:spacing w:val="5"/>
                <w:sz w:val="21"/>
                <w:szCs w:val="21"/>
              </w:rPr>
              <w:t>元计算，为人民币</w:t>
            </w:r>
          </w:p>
          <w:p>
            <w:pPr>
              <w:pStyle w:val="TableParagraph"/>
              <w:spacing w:line="272" w:lineRule="exact" w:before="27"/>
              <w:ind w:left="103" w:right="98"/>
              <w:jc w:val="both"/>
              <w:rPr>
                <w:rFonts w:ascii="宋体" w:hAnsi="宋体" w:cs="宋体" w:eastAsia="宋体" w:hint="default"/>
                <w:sz w:val="21"/>
                <w:szCs w:val="21"/>
              </w:rPr>
            </w:pPr>
            <w:r>
              <w:rPr>
                <w:rFonts w:ascii="宋体" w:hAnsi="宋体" w:cs="宋体" w:eastAsia="宋体" w:hint="default"/>
                <w:sz w:val="21"/>
                <w:szCs w:val="21"/>
              </w:rPr>
              <w:t>1,015,875,000</w:t>
            </w:r>
            <w:r>
              <w:rPr>
                <w:rFonts w:ascii="宋体" w:hAnsi="宋体" w:cs="宋体" w:eastAsia="宋体" w:hint="default"/>
                <w:spacing w:val="-33"/>
                <w:sz w:val="21"/>
                <w:szCs w:val="21"/>
              </w:rPr>
              <w:t> </w:t>
            </w:r>
            <w:r>
              <w:rPr>
                <w:rFonts w:ascii="宋体" w:hAnsi="宋体" w:cs="宋体" w:eastAsia="宋体" w:hint="default"/>
                <w:spacing w:val="-7"/>
                <w:sz w:val="21"/>
                <w:szCs w:val="21"/>
              </w:rPr>
              <w:t>元</w:t>
            </w:r>
            <w:r>
              <w:rPr>
                <w:rFonts w:ascii="宋体" w:hAnsi="宋体" w:cs="宋体" w:eastAsia="宋体" w:hint="default"/>
                <w:spacing w:val="-7"/>
                <w:sz w:val="21"/>
                <w:szCs w:val="21"/>
              </w:rPr>
              <w:t>)</w:t>
            </w:r>
            <w:r>
              <w:rPr>
                <w:rFonts w:ascii="宋体" w:hAnsi="宋体" w:cs="宋体" w:eastAsia="宋体" w:hint="default"/>
                <w:spacing w:val="-7"/>
                <w:sz w:val="21"/>
                <w:szCs w:val="21"/>
              </w:rPr>
              <w:t>；</w:t>
            </w:r>
            <w:r>
              <w:rPr>
                <w:rFonts w:ascii="宋体" w:hAnsi="宋体" w:cs="宋体" w:eastAsia="宋体" w:hint="default"/>
                <w:spacing w:val="-7"/>
                <w:sz w:val="21"/>
                <w:szCs w:val="21"/>
              </w:rPr>
              <w:t>(2)</w:t>
            </w:r>
            <w:r>
              <w:rPr>
                <w:rFonts w:ascii="宋体" w:hAnsi="宋体" w:cs="宋体" w:eastAsia="宋体" w:hint="default"/>
                <w:spacing w:val="-7"/>
                <w:sz w:val="21"/>
                <w:szCs w:val="21"/>
              </w:rPr>
              <w:t>判令被告二、被告三、被告四</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承担连带付款责任。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1,015,875</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tabs>
                <w:tab w:pos="530"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已</w:t>
              <w:tab/>
              <w:t>开</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2"/>
                <w:sz w:val="21"/>
                <w:szCs w:val="21"/>
              </w:rPr>
              <w:t>庭，尚</w:t>
            </w:r>
            <w:r>
              <w:rPr>
                <w:rFonts w:ascii="宋体" w:hAnsi="宋体" w:cs="宋体" w:eastAsia="宋体" w:hint="default"/>
                <w:spacing w:val="-102"/>
                <w:sz w:val="21"/>
                <w:szCs w:val="21"/>
              </w:rPr>
              <w:t> </w:t>
            </w:r>
            <w:r>
              <w:rPr>
                <w:rFonts w:ascii="宋体" w:hAnsi="宋体" w:cs="宋体" w:eastAsia="宋体" w:hint="default"/>
                <w:sz w:val="21"/>
                <w:szCs w:val="21"/>
              </w:rPr>
              <w:t>未判决</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City</w:t>
            </w:r>
          </w:p>
          <w:p>
            <w:pPr>
              <w:pStyle w:val="TableParagraph"/>
              <w:spacing w:line="273" w:lineRule="exact"/>
              <w:ind w:left="103" w:right="0"/>
              <w:jc w:val="left"/>
              <w:rPr>
                <w:rFonts w:ascii="宋体" w:hAnsi="宋体" w:cs="宋体" w:eastAsia="宋体" w:hint="default"/>
                <w:sz w:val="21"/>
                <w:szCs w:val="21"/>
              </w:rPr>
            </w:pPr>
            <w:r>
              <w:rPr>
                <w:rFonts w:ascii="宋体"/>
                <w:sz w:val="21"/>
              </w:rPr>
              <w:t>Channel</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Qifei</w:t>
            </w:r>
          </w:p>
          <w:p>
            <w:pPr>
              <w:pStyle w:val="TableParagraph"/>
              <w:spacing w:line="240" w:lineRule="auto"/>
              <w:ind w:left="103" w:right="144"/>
              <w:jc w:val="left"/>
              <w:rPr>
                <w:rFonts w:ascii="宋体" w:hAnsi="宋体" w:cs="宋体" w:eastAsia="宋体" w:hint="default"/>
                <w:sz w:val="21"/>
                <w:szCs w:val="21"/>
              </w:rPr>
            </w:pPr>
            <w:r>
              <w:rPr>
                <w:rFonts w:ascii="宋体"/>
                <w:sz w:val="21"/>
              </w:rPr>
              <w:t>Internation</w:t>
            </w:r>
            <w:r>
              <w:rPr>
                <w:rFonts w:ascii="宋体"/>
                <w:w w:val="100"/>
                <w:sz w:val="21"/>
              </w:rPr>
              <w:t> </w:t>
            </w:r>
            <w:r>
              <w:rPr>
                <w:rFonts w:ascii="宋体"/>
                <w:sz w:val="21"/>
              </w:rPr>
              <w:t>al</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仲裁</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12</w:t>
            </w:r>
            <w:r>
              <w:rPr>
                <w:rFonts w:ascii="宋体" w:hAnsi="宋体" w:cs="宋体" w:eastAsia="宋体" w:hint="default"/>
                <w:spacing w:val="-39"/>
                <w:sz w:val="21"/>
                <w:szCs w:val="21"/>
              </w:rPr>
              <w:t> </w:t>
            </w:r>
            <w:r>
              <w:rPr>
                <w:rFonts w:ascii="宋体" w:hAnsi="宋体" w:cs="宋体" w:eastAsia="宋体" w:hint="default"/>
                <w:sz w:val="21"/>
                <w:szCs w:val="21"/>
              </w:rPr>
              <w:t>月，</w:t>
            </w:r>
            <w:r>
              <w:rPr>
                <w:rFonts w:ascii="宋体" w:hAnsi="宋体" w:cs="宋体" w:eastAsia="宋体" w:hint="default"/>
                <w:sz w:val="21"/>
                <w:szCs w:val="21"/>
              </w:rPr>
              <w:t>City</w:t>
            </w:r>
            <w:r>
              <w:rPr>
                <w:rFonts w:ascii="宋体" w:hAnsi="宋体" w:cs="宋体" w:eastAsia="宋体" w:hint="default"/>
                <w:spacing w:val="-2"/>
                <w:sz w:val="21"/>
                <w:szCs w:val="21"/>
              </w:rPr>
              <w:t> </w:t>
            </w:r>
            <w:r>
              <w:rPr>
                <w:rFonts w:ascii="宋体" w:hAnsi="宋体" w:cs="宋体" w:eastAsia="宋体" w:hint="default"/>
                <w:sz w:val="21"/>
                <w:szCs w:val="21"/>
              </w:rPr>
              <w:t>Channel</w:t>
            </w:r>
            <w:r>
              <w:rPr>
                <w:rFonts w:ascii="宋体" w:hAnsi="宋体" w:cs="宋体" w:eastAsia="宋体" w:hint="default"/>
                <w:spacing w:val="-2"/>
                <w:sz w:val="21"/>
                <w:szCs w:val="21"/>
              </w:rPr>
              <w:t> </w:t>
            </w:r>
            <w:r>
              <w:rPr>
                <w:rFonts w:ascii="宋体" w:hAnsi="宋体" w:cs="宋体" w:eastAsia="宋体" w:hint="default"/>
                <w:sz w:val="21"/>
                <w:szCs w:val="21"/>
              </w:rPr>
              <w:t>Limited</w:t>
            </w:r>
            <w:r>
              <w:rPr>
                <w:rFonts w:ascii="宋体" w:hAnsi="宋体" w:cs="宋体" w:eastAsia="宋体" w:hint="default"/>
                <w:spacing w:val="-39"/>
                <w:sz w:val="21"/>
                <w:szCs w:val="21"/>
              </w:rPr>
              <w:t> </w:t>
            </w:r>
            <w:r>
              <w:rPr>
                <w:rFonts w:ascii="宋体" w:hAnsi="宋体" w:cs="宋体" w:eastAsia="宋体" w:hint="default"/>
                <w:sz w:val="21"/>
                <w:szCs w:val="21"/>
              </w:rPr>
              <w:t>作为申请人，</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以 </w:t>
            </w:r>
            <w:r>
              <w:rPr>
                <w:rFonts w:ascii="宋体" w:hAnsi="宋体" w:cs="宋体" w:eastAsia="宋体" w:hint="default"/>
                <w:sz w:val="21"/>
                <w:szCs w:val="21"/>
              </w:rPr>
              <w:t>Qifei International</w:t>
            </w:r>
            <w:r>
              <w:rPr>
                <w:rFonts w:ascii="宋体" w:hAnsi="宋体" w:cs="宋体" w:eastAsia="宋体" w:hint="default"/>
                <w:spacing w:val="-55"/>
                <w:sz w:val="21"/>
                <w:szCs w:val="21"/>
              </w:rPr>
              <w:t> </w:t>
            </w:r>
            <w:r>
              <w:rPr>
                <w:rFonts w:ascii="宋体" w:hAnsi="宋体" w:cs="宋体" w:eastAsia="宋体" w:hint="default"/>
                <w:sz w:val="21"/>
                <w:szCs w:val="21"/>
              </w:rPr>
              <w:t>作为被申请人，向香港国际</w:t>
            </w:r>
            <w:r>
              <w:rPr>
                <w:rFonts w:ascii="宋体" w:hAnsi="宋体" w:cs="宋体" w:eastAsia="宋体" w:hint="default"/>
                <w:w w:val="100"/>
                <w:sz w:val="21"/>
                <w:szCs w:val="21"/>
              </w:rPr>
              <w:t> </w:t>
            </w:r>
            <w:r>
              <w:rPr>
                <w:rFonts w:ascii="宋体" w:hAnsi="宋体" w:cs="宋体" w:eastAsia="宋体" w:hint="default"/>
                <w:spacing w:val="-4"/>
                <w:sz w:val="21"/>
                <w:szCs w:val="21"/>
              </w:rPr>
              <w:t>仲裁中心申请仲裁，认为被申请人不履行和</w:t>
            </w:r>
            <w:r>
              <w:rPr>
                <w:rFonts w:ascii="宋体" w:hAnsi="宋体" w:cs="宋体" w:eastAsia="宋体" w:hint="default"/>
                <w:spacing w:val="-4"/>
                <w:sz w:val="21"/>
                <w:szCs w:val="21"/>
              </w:rPr>
              <w:t>/</w:t>
            </w:r>
            <w:r>
              <w:rPr>
                <w:rFonts w:ascii="宋体" w:hAnsi="宋体" w:cs="宋体" w:eastAsia="宋体" w:hint="default"/>
                <w:spacing w:val="-4"/>
                <w:sz w:val="21"/>
                <w:szCs w:val="21"/>
              </w:rPr>
              <w:t>或拒绝履</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行其与申请人签订的《合资协议》项下的义务，给申</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2,230,971.01</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香港国</w:t>
            </w:r>
            <w:r>
              <w:rPr>
                <w:rFonts w:ascii="宋体" w:hAnsi="宋体" w:cs="宋体" w:eastAsia="宋体" w:hint="default"/>
                <w:sz w:val="21"/>
                <w:szCs w:val="21"/>
              </w:rPr>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际仲裁</w:t>
            </w:r>
            <w:r>
              <w:rPr>
                <w:rFonts w:ascii="宋体" w:hAnsi="宋体" w:cs="宋体" w:eastAsia="宋体" w:hint="default"/>
                <w:spacing w:val="-102"/>
                <w:sz w:val="21"/>
                <w:szCs w:val="21"/>
              </w:rPr>
              <w:t> </w:t>
            </w:r>
            <w:r>
              <w:rPr>
                <w:rFonts w:ascii="宋体" w:hAnsi="宋体" w:cs="宋体" w:eastAsia="宋体" w:hint="default"/>
                <w:spacing w:val="2"/>
                <w:sz w:val="21"/>
                <w:szCs w:val="21"/>
              </w:rPr>
              <w:t>中心已</w:t>
            </w:r>
            <w:r>
              <w:rPr>
                <w:rFonts w:ascii="宋体" w:hAnsi="宋体" w:cs="宋体" w:eastAsia="宋体" w:hint="default"/>
                <w:spacing w:val="-102"/>
                <w:sz w:val="21"/>
                <w:szCs w:val="21"/>
              </w:rPr>
              <w:t> </w:t>
            </w:r>
            <w:r>
              <w:rPr>
                <w:rFonts w:ascii="宋体" w:hAnsi="宋体" w:cs="宋体" w:eastAsia="宋体" w:hint="default"/>
                <w:spacing w:val="2"/>
                <w:sz w:val="21"/>
                <w:szCs w:val="21"/>
              </w:rPr>
              <w:t>受理该</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320" w:bottom="1400" w:left="1220" w:right="13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960"/>
        <w:gridCol w:w="1416"/>
        <w:gridCol w:w="852"/>
        <w:gridCol w:w="709"/>
        <w:gridCol w:w="5103"/>
        <w:gridCol w:w="1561"/>
        <w:gridCol w:w="991"/>
        <w:gridCol w:w="852"/>
        <w:gridCol w:w="850"/>
        <w:gridCol w:w="708"/>
      </w:tblGrid>
      <w:tr>
        <w:trPr>
          <w:trHeight w:val="2189"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请人造成损失，请求：</w:t>
            </w:r>
            <w:r>
              <w:rPr>
                <w:rFonts w:ascii="宋体" w:hAnsi="宋体" w:cs="宋体" w:eastAsia="宋体" w:hint="default"/>
                <w:spacing w:val="-4"/>
                <w:sz w:val="21"/>
                <w:szCs w:val="21"/>
              </w:rPr>
              <w:t>(1)</w:t>
            </w:r>
            <w:r>
              <w:rPr>
                <w:rFonts w:ascii="宋体" w:hAnsi="宋体" w:cs="宋体" w:eastAsia="宋体" w:hint="default"/>
                <w:spacing w:val="-4"/>
                <w:sz w:val="21"/>
                <w:szCs w:val="21"/>
              </w:rPr>
              <w:t>被申请人立即向申请人支付</w:t>
            </w:r>
          </w:p>
          <w:p>
            <w:pPr>
              <w:pStyle w:val="TableParagraph"/>
              <w:spacing w:line="237" w:lineRule="auto"/>
              <w:ind w:left="103" w:right="50"/>
              <w:jc w:val="both"/>
              <w:rPr>
                <w:rFonts w:ascii="宋体" w:hAnsi="宋体" w:cs="宋体" w:eastAsia="宋体" w:hint="default"/>
                <w:sz w:val="21"/>
                <w:szCs w:val="21"/>
              </w:rPr>
            </w:pPr>
            <w:r>
              <w:rPr>
                <w:rFonts w:ascii="宋体" w:hAnsi="宋体" w:cs="宋体" w:eastAsia="宋体" w:hint="default"/>
                <w:sz w:val="21"/>
                <w:szCs w:val="21"/>
              </w:rPr>
              <w:t>“Firefall”火瀑项目利润损失</w:t>
            </w:r>
            <w:r>
              <w:rPr>
                <w:rFonts w:ascii="宋体" w:hAnsi="宋体" w:cs="宋体" w:eastAsia="宋体" w:hint="default"/>
                <w:spacing w:val="-78"/>
                <w:sz w:val="21"/>
                <w:szCs w:val="21"/>
              </w:rPr>
              <w:t> </w:t>
            </w:r>
            <w:r>
              <w:rPr>
                <w:rFonts w:ascii="宋体" w:hAnsi="宋体" w:cs="宋体" w:eastAsia="宋体" w:hint="default"/>
                <w:sz w:val="21"/>
                <w:szCs w:val="21"/>
              </w:rPr>
              <w:t>2,230,971,014.50</w:t>
            </w:r>
            <w:r>
              <w:rPr>
                <w:rFonts w:ascii="宋体" w:hAnsi="宋体" w:cs="宋体" w:eastAsia="宋体" w:hint="default"/>
                <w:spacing w:val="-80"/>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pacing w:val="-4"/>
                <w:sz w:val="21"/>
                <w:szCs w:val="21"/>
              </w:rPr>
              <w:t>或仲裁庭认为适当的金额；</w:t>
            </w:r>
            <w:r>
              <w:rPr>
                <w:rFonts w:ascii="宋体" w:hAnsi="宋体" w:cs="宋体" w:eastAsia="宋体" w:hint="default"/>
                <w:spacing w:val="-4"/>
                <w:sz w:val="21"/>
                <w:szCs w:val="21"/>
              </w:rPr>
              <w:t>(2)</w:t>
            </w:r>
            <w:r>
              <w:rPr>
                <w:rFonts w:ascii="宋体" w:hAnsi="宋体" w:cs="宋体" w:eastAsia="宋体" w:hint="default"/>
                <w:spacing w:val="-4"/>
                <w:sz w:val="21"/>
                <w:szCs w:val="21"/>
              </w:rPr>
              <w:t>其他由于被申请人不履</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4"/>
                <w:sz w:val="21"/>
                <w:szCs w:val="21"/>
              </w:rPr>
              <w:t>行合资项下义务的所应支付的损害赔偿；</w:t>
            </w:r>
            <w:r>
              <w:rPr>
                <w:rFonts w:ascii="宋体" w:hAnsi="宋体" w:cs="宋体" w:eastAsia="宋体" w:hint="default"/>
                <w:spacing w:val="-4"/>
                <w:sz w:val="21"/>
                <w:szCs w:val="21"/>
              </w:rPr>
              <w:t>(3)</w:t>
            </w:r>
            <w:r>
              <w:rPr>
                <w:rFonts w:ascii="宋体" w:hAnsi="宋体" w:cs="宋体" w:eastAsia="宋体" w:hint="default"/>
                <w:spacing w:val="-4"/>
                <w:sz w:val="21"/>
                <w:szCs w:val="21"/>
              </w:rPr>
              <w:t>所有合资</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项下应付金额的利息</w:t>
            </w:r>
            <w:r>
              <w:rPr>
                <w:rFonts w:ascii="宋体" w:hAnsi="宋体" w:cs="宋体" w:eastAsia="宋体" w:hint="default"/>
                <w:spacing w:val="-2"/>
                <w:sz w:val="21"/>
                <w:szCs w:val="21"/>
              </w:rPr>
              <w:t>(</w:t>
            </w:r>
            <w:r>
              <w:rPr>
                <w:rFonts w:ascii="宋体" w:hAnsi="宋体" w:cs="宋体" w:eastAsia="宋体" w:hint="default"/>
                <w:spacing w:val="-2"/>
                <w:sz w:val="21"/>
                <w:szCs w:val="21"/>
              </w:rPr>
              <w:t>包括适当的复利</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2"/>
                <w:sz w:val="21"/>
                <w:szCs w:val="21"/>
              </w:rPr>
              <w:t>(4)</w:t>
            </w:r>
            <w:r>
              <w:rPr>
                <w:rFonts w:ascii="宋体" w:hAnsi="宋体" w:cs="宋体" w:eastAsia="宋体" w:hint="default"/>
                <w:spacing w:val="-2"/>
                <w:sz w:val="21"/>
                <w:szCs w:val="21"/>
              </w:rPr>
              <w:t>仲裁费，</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包括但不限于申请人与该仲裁相关的全部专家费或其</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4"/>
                <w:sz w:val="21"/>
                <w:szCs w:val="21"/>
              </w:rPr>
              <w:t>他费用</w:t>
            </w:r>
            <w:r>
              <w:rPr>
                <w:rFonts w:ascii="宋体" w:hAnsi="宋体" w:cs="宋体" w:eastAsia="宋体" w:hint="default"/>
                <w:spacing w:val="-4"/>
                <w:sz w:val="21"/>
                <w:szCs w:val="21"/>
              </w:rPr>
              <w:t>(</w:t>
            </w:r>
            <w:r>
              <w:rPr>
                <w:rFonts w:ascii="宋体" w:hAnsi="宋体" w:cs="宋体" w:eastAsia="宋体" w:hint="default"/>
                <w:spacing w:val="-4"/>
                <w:sz w:val="21"/>
                <w:szCs w:val="21"/>
              </w:rPr>
              <w:t>包括律师费</w:t>
            </w:r>
            <w:r>
              <w:rPr>
                <w:rFonts w:ascii="宋体" w:hAnsi="宋体" w:cs="宋体" w:eastAsia="宋体" w:hint="default"/>
                <w:spacing w:val="-4"/>
                <w:sz w:val="21"/>
                <w:szCs w:val="21"/>
              </w:rPr>
              <w:t>)</w:t>
            </w:r>
            <w:r>
              <w:rPr>
                <w:rFonts w:ascii="宋体" w:hAnsi="宋体" w:cs="宋体" w:eastAsia="宋体" w:hint="default"/>
                <w:spacing w:val="-4"/>
                <w:sz w:val="21"/>
                <w:szCs w:val="21"/>
              </w:rPr>
              <w:t>和支出；以及</w:t>
            </w:r>
            <w:r>
              <w:rPr>
                <w:rFonts w:ascii="宋体" w:hAnsi="宋体" w:cs="宋体" w:eastAsia="宋体" w:hint="default"/>
                <w:spacing w:val="-4"/>
                <w:sz w:val="21"/>
                <w:szCs w:val="21"/>
              </w:rPr>
              <w:t>(5)</w:t>
            </w:r>
            <w:r>
              <w:rPr>
                <w:rFonts w:ascii="宋体" w:hAnsi="宋体" w:cs="宋体" w:eastAsia="宋体" w:hint="default"/>
                <w:spacing w:val="-4"/>
                <w:sz w:val="21"/>
                <w:szCs w:val="21"/>
              </w:rPr>
              <w:t>任何其他仲裁庭</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认为适当的救济或赔偿。</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案</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640" w:right="0"/>
        <w:jc w:val="left"/>
      </w:pPr>
      <w:r>
        <w:rPr/>
        <w:t>除上述诉讼、仲裁外，报告期内尚存多个独立且金额较小未达到《上海证券交易所股票上市规则》披露标准的事项，不会对公司财务状况和持续经</w:t>
      </w:r>
    </w:p>
    <w:p>
      <w:pPr>
        <w:pStyle w:val="BodyText"/>
        <w:spacing w:line="240" w:lineRule="auto" w:before="133"/>
        <w:ind w:left="220" w:right="0"/>
        <w:jc w:val="left"/>
      </w:pPr>
      <w:r>
        <w:rPr/>
        <w:t>营能力构成重大不利影响。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5"/>
        <w:spacing w:line="240" w:lineRule="auto"/>
        <w:ind w:left="220"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其他说明</w:t>
      </w:r>
      <w:r>
        <w:rPr>
          <w:b w:val="0"/>
          <w:bCs w:val="0"/>
        </w:rPr>
      </w:r>
    </w:p>
    <w:p>
      <w:pPr>
        <w:pStyle w:val="BodyText"/>
        <w:tabs>
          <w:tab w:pos="1062" w:val="left" w:leader="none"/>
        </w:tabs>
        <w:spacing w:line="240" w:lineRule="auto" w:before="29"/>
        <w:ind w:left="220" w:right="0"/>
        <w:jc w:val="left"/>
      </w:pPr>
      <w:r>
        <w:rPr/>
        <w:t>□适用</w:t>
        <w:tab/>
        <w:t>√不适用</w:t>
      </w:r>
    </w:p>
    <w:p>
      <w:pPr>
        <w:spacing w:after="0" w:line="240" w:lineRule="auto"/>
        <w:jc w:val="left"/>
        <w:sectPr>
          <w:pgSz w:w="16840" w:h="11910" w:orient="landscape"/>
          <w:pgMar w:header="855" w:footer="1218" w:top="1320" w:bottom="1400" w:left="1220" w:right="13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5"/>
        <w:spacing w:line="240" w:lineRule="auto" w:before="36"/>
        <w:ind w:left="558" w:right="0"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5"/>
        <w:spacing w:line="240" w:lineRule="auto"/>
        <w:ind w:left="138" w:right="0"/>
        <w:jc w:val="both"/>
        <w:rPr>
          <w:b w:val="0"/>
          <w:bCs w:val="0"/>
        </w:rPr>
      </w:pPr>
      <w:r>
        <w:rPr/>
        <w:t>十二、报告期内公司及其控股股东、实际控制人诚信状况的说明</w:t>
      </w:r>
      <w:r>
        <w:rPr>
          <w:b w:val="0"/>
          <w:bCs w:val="0"/>
        </w:rPr>
      </w:r>
    </w:p>
    <w:p>
      <w:pPr>
        <w:pStyle w:val="BodyText"/>
        <w:spacing w:line="240" w:lineRule="auto" w:before="58"/>
        <w:ind w:right="0"/>
        <w:jc w:val="both"/>
      </w:pPr>
      <w:r>
        <w:rPr/>
        <w:t>□适用</w:t>
      </w:r>
      <w:r>
        <w:rPr>
          <w:spacing w:val="104"/>
        </w:rPr>
        <w:t> </w:t>
      </w:r>
      <w:r>
        <w:rPr/>
        <w:t>√不适用</w:t>
      </w:r>
    </w:p>
    <w:p>
      <w:pPr>
        <w:spacing w:line="240" w:lineRule="auto" w:before="2"/>
        <w:rPr>
          <w:rFonts w:ascii="宋体" w:hAnsi="宋体" w:cs="宋体" w:eastAsia="宋体" w:hint="default"/>
          <w:sz w:val="28"/>
          <w:szCs w:val="28"/>
        </w:rPr>
      </w:pPr>
    </w:p>
    <w:p>
      <w:pPr>
        <w:pStyle w:val="Heading5"/>
        <w:spacing w:line="290" w:lineRule="auto"/>
        <w:ind w:left="138" w:right="1577"/>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5"/>
        <w:ind w:right="0"/>
        <w:jc w:val="both"/>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5"/>
        <w:spacing w:line="240" w:lineRule="auto"/>
        <w:ind w:left="138" w:right="0"/>
        <w:jc w:val="both"/>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7"/>
        </w:rPr>
        <w:t> </w:t>
      </w:r>
      <w:r>
        <w:rPr/>
        <w:t>临时公告未披露或有后续进展的激励情况</w:t>
      </w:r>
      <w:r>
        <w:rPr>
          <w:b w:val="0"/>
          <w:bCs w:val="0"/>
        </w:rPr>
      </w:r>
    </w:p>
    <w:p>
      <w:pPr>
        <w:pStyle w:val="Heading3"/>
        <w:spacing w:line="240" w:lineRule="auto" w:before="52"/>
        <w:ind w:left="138" w:right="0"/>
        <w:jc w:val="both"/>
      </w:pPr>
      <w:r>
        <w:rPr/>
        <w:t>股权激励情况</w:t>
      </w:r>
    </w:p>
    <w:p>
      <w:pPr>
        <w:pStyle w:val="BodyText"/>
        <w:spacing w:line="240" w:lineRule="auto" w:before="1"/>
        <w:ind w:right="0"/>
        <w:jc w:val="both"/>
      </w:pPr>
      <w:r>
        <w:rPr/>
        <w:t>□适用</w:t>
      </w:r>
      <w:r>
        <w:rPr>
          <w:spacing w:val="-1"/>
        </w:rPr>
        <w:t> </w:t>
      </w:r>
      <w:r>
        <w:rPr/>
        <w:t>√不适用</w:t>
      </w:r>
    </w:p>
    <w:p>
      <w:pPr>
        <w:spacing w:line="240" w:lineRule="auto" w:before="1"/>
        <w:rPr>
          <w:rFonts w:ascii="宋体" w:hAnsi="宋体" w:cs="宋体" w:eastAsia="宋体" w:hint="default"/>
          <w:sz w:val="23"/>
          <w:szCs w:val="23"/>
        </w:rPr>
      </w:pPr>
    </w:p>
    <w:p>
      <w:pPr>
        <w:pStyle w:val="Heading3"/>
        <w:spacing w:line="240" w:lineRule="auto"/>
        <w:ind w:left="138" w:right="0"/>
        <w:jc w:val="both"/>
      </w:pPr>
      <w:r>
        <w:rPr/>
        <w:t>其他说明</w:t>
      </w:r>
    </w:p>
    <w:p>
      <w:pPr>
        <w:pStyle w:val="BodyText"/>
        <w:spacing w:line="240" w:lineRule="auto" w:before="4"/>
        <w:ind w:right="0"/>
        <w:jc w:val="both"/>
      </w:pPr>
      <w:r>
        <w:rPr/>
        <w:t>□适用</w:t>
      </w:r>
      <w:r>
        <w:rPr>
          <w:spacing w:val="104"/>
        </w:rPr>
        <w:t> </w:t>
      </w:r>
      <w:r>
        <w:rPr/>
        <w:t>√不适用</w:t>
      </w:r>
    </w:p>
    <w:p>
      <w:pPr>
        <w:spacing w:line="240" w:lineRule="auto" w:before="7"/>
        <w:rPr>
          <w:rFonts w:ascii="宋体" w:hAnsi="宋体" w:cs="宋体" w:eastAsia="宋体" w:hint="default"/>
          <w:sz w:val="23"/>
          <w:szCs w:val="23"/>
        </w:rPr>
      </w:pPr>
    </w:p>
    <w:p>
      <w:pPr>
        <w:pStyle w:val="BodyText"/>
        <w:spacing w:line="274" w:lineRule="exact"/>
        <w:ind w:right="0"/>
        <w:jc w:val="both"/>
      </w:pPr>
      <w:r>
        <w:rPr/>
        <w:t>员工持股计划情况</w:t>
      </w:r>
    </w:p>
    <w:p>
      <w:pPr>
        <w:pStyle w:val="BodyText"/>
        <w:spacing w:line="274" w:lineRule="exact"/>
        <w:ind w:right="0"/>
        <w:jc w:val="both"/>
      </w:pPr>
      <w:r>
        <w:rPr/>
        <w:t>□适用</w:t>
      </w:r>
      <w:r>
        <w:rPr>
          <w:spacing w:val="104"/>
        </w:rPr>
        <w:t> </w:t>
      </w:r>
      <w:r>
        <w:rPr/>
        <w:t>√不适用</w:t>
      </w:r>
    </w:p>
    <w:p>
      <w:pPr>
        <w:spacing w:line="240" w:lineRule="auto" w:before="8"/>
        <w:rPr>
          <w:rFonts w:ascii="宋体" w:hAnsi="宋体" w:cs="宋体" w:eastAsia="宋体" w:hint="default"/>
          <w:sz w:val="23"/>
          <w:szCs w:val="23"/>
        </w:rPr>
      </w:pPr>
    </w:p>
    <w:p>
      <w:pPr>
        <w:pStyle w:val="BodyText"/>
        <w:spacing w:line="273" w:lineRule="exact"/>
        <w:ind w:right="0"/>
        <w:jc w:val="both"/>
      </w:pPr>
      <w:r>
        <w:rPr/>
        <w:t>其他激励措施</w:t>
      </w:r>
    </w:p>
    <w:p>
      <w:pPr>
        <w:pStyle w:val="BodyText"/>
        <w:spacing w:line="273" w:lineRule="exact"/>
        <w:ind w:right="0"/>
        <w:jc w:val="both"/>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5"/>
        <w:spacing w:line="240" w:lineRule="auto"/>
        <w:ind w:left="138" w:right="0"/>
        <w:jc w:val="both"/>
        <w:rPr>
          <w:b w:val="0"/>
          <w:bCs w:val="0"/>
        </w:rPr>
      </w:pPr>
      <w:r>
        <w:rPr/>
        <w:t>十四、重大关联交易</w:t>
      </w:r>
      <w:r>
        <w:rPr>
          <w:b w:val="0"/>
          <w:bCs w:val="0"/>
        </w:rPr>
      </w:r>
    </w:p>
    <w:p>
      <w:pPr>
        <w:pStyle w:val="Heading5"/>
        <w:spacing w:line="240" w:lineRule="auto" w:before="56"/>
        <w:ind w:left="13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5"/>
        <w:spacing w:line="240" w:lineRule="auto" w:before="32"/>
        <w:ind w:left="138" w:right="0"/>
        <w:jc w:val="both"/>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0"/>
        <w:jc w:val="both"/>
      </w:pPr>
      <w:r>
        <w:rPr/>
        <w:t>已在临时公告披露，但有后续实施的进展或变化的事项</w:t>
      </w:r>
    </w:p>
    <w:p>
      <w:pPr>
        <w:pStyle w:val="BodyText"/>
        <w:spacing w:line="273" w:lineRule="exact"/>
        <w:ind w:right="0"/>
        <w:jc w:val="both"/>
      </w:pPr>
      <w:r>
        <w:rPr/>
        <w:t>√适用</w:t>
      </w:r>
      <w:r>
        <w:rPr>
          <w:spacing w:val="104"/>
        </w:rPr>
        <w:t> </w:t>
      </w:r>
      <w:r>
        <w:rPr/>
        <w:t>□不适用</w:t>
      </w:r>
    </w:p>
    <w:p>
      <w:pPr>
        <w:pStyle w:val="BodyText"/>
        <w:spacing w:line="275" w:lineRule="exact"/>
        <w:ind w:left="618" w:right="0"/>
        <w:jc w:val="left"/>
      </w:pPr>
      <w:r>
        <w:rPr>
          <w:rFonts w:ascii="宋体" w:hAnsi="宋体" w:cs="宋体" w:eastAsia="宋体" w:hint="default"/>
          <w:w w:val="100"/>
        </w:rPr>
        <w:t>2018</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5</w:t>
      </w:r>
      <w:r>
        <w:rPr>
          <w:rFonts w:ascii="宋体" w:hAnsi="宋体" w:cs="宋体" w:eastAsia="宋体" w:hint="default"/>
          <w:spacing w:val="-55"/>
        </w:rPr>
        <w:t> </w:t>
      </w:r>
      <w:r>
        <w:rPr>
          <w:w w:val="100"/>
        </w:rPr>
        <w:t>月</w:t>
      </w:r>
      <w:r>
        <w:rPr>
          <w:spacing w:val="-3"/>
          <w:w w:val="100"/>
        </w:rPr>
        <w:t>召</w:t>
      </w:r>
      <w:r>
        <w:rPr>
          <w:w w:val="100"/>
        </w:rPr>
        <w:t>开</w:t>
      </w:r>
      <w:r>
        <w:rPr>
          <w:spacing w:val="-3"/>
          <w:w w:val="100"/>
        </w:rPr>
        <w:t>的</w:t>
      </w:r>
      <w:r>
        <w:rPr>
          <w:w w:val="100"/>
        </w:rPr>
        <w:t>公司</w:t>
      </w:r>
      <w:r>
        <w:rPr>
          <w:spacing w:val="-52"/>
        </w:rPr>
        <w:t> </w:t>
      </w:r>
      <w:r>
        <w:rPr>
          <w:rFonts w:ascii="宋体" w:hAnsi="宋体" w:cs="宋体" w:eastAsia="宋体" w:hint="default"/>
          <w:spacing w:val="-3"/>
          <w:w w:val="100"/>
        </w:rPr>
        <w:t>20</w:t>
      </w:r>
      <w:r>
        <w:rPr>
          <w:rFonts w:ascii="宋体" w:hAnsi="宋体" w:cs="宋体" w:eastAsia="宋体" w:hint="default"/>
          <w:w w:val="100"/>
        </w:rPr>
        <w:t>18</w:t>
      </w:r>
      <w:r>
        <w:rPr>
          <w:rFonts w:ascii="宋体" w:hAnsi="宋体" w:cs="宋体" w:eastAsia="宋体" w:hint="default"/>
          <w:spacing w:val="-53"/>
        </w:rPr>
        <w:t> </w:t>
      </w:r>
      <w:r>
        <w:rPr>
          <w:spacing w:val="-3"/>
          <w:w w:val="100"/>
        </w:rPr>
        <w:t>年</w:t>
      </w:r>
      <w:r>
        <w:rPr>
          <w:w w:val="100"/>
        </w:rPr>
        <w:t>第</w:t>
      </w:r>
      <w:r>
        <w:rPr>
          <w:spacing w:val="-3"/>
          <w:w w:val="100"/>
        </w:rPr>
        <w:t>一</w:t>
      </w:r>
      <w:r>
        <w:rPr>
          <w:w w:val="100"/>
        </w:rPr>
        <w:t>次</w:t>
      </w:r>
      <w:r>
        <w:rPr>
          <w:spacing w:val="-3"/>
          <w:w w:val="100"/>
        </w:rPr>
        <w:t>临</w:t>
      </w:r>
      <w:r>
        <w:rPr>
          <w:w w:val="100"/>
        </w:rPr>
        <w:t>时</w:t>
      </w:r>
      <w:r>
        <w:rPr>
          <w:spacing w:val="-3"/>
          <w:w w:val="100"/>
        </w:rPr>
        <w:t>股</w:t>
      </w:r>
      <w:r>
        <w:rPr>
          <w:w w:val="100"/>
        </w:rPr>
        <w:t>东</w:t>
      </w:r>
      <w:r>
        <w:rPr>
          <w:spacing w:val="-3"/>
          <w:w w:val="100"/>
        </w:rPr>
        <w:t>大会</w:t>
      </w:r>
      <w:r>
        <w:rPr>
          <w:w w:val="100"/>
        </w:rPr>
        <w:t>审议</w:t>
      </w:r>
      <w:r>
        <w:rPr>
          <w:spacing w:val="-3"/>
          <w:w w:val="100"/>
        </w:rPr>
        <w:t>通</w:t>
      </w:r>
      <w:r>
        <w:rPr>
          <w:w w:val="100"/>
        </w:rPr>
        <w:t>过</w:t>
      </w:r>
      <w:r>
        <w:rPr>
          <w:spacing w:val="-101"/>
          <w:w w:val="100"/>
        </w:rPr>
        <w:t>了</w:t>
      </w:r>
      <w:r>
        <w:rPr>
          <w:spacing w:val="-3"/>
          <w:w w:val="100"/>
        </w:rPr>
        <w:t>《</w:t>
      </w:r>
      <w:r>
        <w:rPr>
          <w:w w:val="100"/>
        </w:rPr>
        <w:t>关</w:t>
      </w:r>
      <w:r>
        <w:rPr>
          <w:spacing w:val="-3"/>
          <w:w w:val="100"/>
        </w:rPr>
        <w:t>于公</w:t>
      </w:r>
      <w:r>
        <w:rPr>
          <w:w w:val="100"/>
        </w:rPr>
        <w:t>司</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w w:val="100"/>
        </w:rPr>
        <w:t>年</w:t>
      </w:r>
      <w:r>
        <w:rPr>
          <w:spacing w:val="-3"/>
          <w:w w:val="100"/>
        </w:rPr>
        <w:t>度</w:t>
      </w:r>
      <w:r>
        <w:rPr>
          <w:w w:val="100"/>
        </w:rPr>
        <w:t>日</w:t>
      </w:r>
      <w:r>
        <w:rPr>
          <w:spacing w:val="-3"/>
          <w:w w:val="100"/>
        </w:rPr>
        <w:t>常</w:t>
      </w:r>
      <w:r>
        <w:rPr>
          <w:w w:val="100"/>
        </w:rPr>
        <w:t>关</w:t>
      </w:r>
    </w:p>
    <w:p>
      <w:pPr>
        <w:pStyle w:val="BodyText"/>
        <w:spacing w:line="357" w:lineRule="auto" w:before="133"/>
        <w:ind w:right="107"/>
        <w:jc w:val="both"/>
      </w:pPr>
      <w:r>
        <w:rPr>
          <w:spacing w:val="-9"/>
        </w:rPr>
        <w:t>联交易预计的议案》，</w:t>
      </w:r>
      <w:r>
        <w:rPr>
          <w:rFonts w:ascii="宋体" w:hAnsi="宋体" w:cs="宋体" w:eastAsia="宋体" w:hint="default"/>
          <w:spacing w:val="-9"/>
        </w:rPr>
        <w:t>2018</w:t>
      </w:r>
      <w:r>
        <w:rPr>
          <w:rFonts w:ascii="宋体" w:hAnsi="宋体" w:cs="宋体" w:eastAsia="宋体" w:hint="default"/>
          <w:spacing w:val="-36"/>
        </w:rPr>
        <w:t> </w:t>
      </w:r>
      <w:r>
        <w:rPr/>
        <w:t>年</w:t>
      </w:r>
      <w:r>
        <w:rPr>
          <w:spacing w:val="-36"/>
        </w:rPr>
        <w:t> </w:t>
      </w:r>
      <w:r>
        <w:rPr>
          <w:rFonts w:ascii="宋体" w:hAnsi="宋体" w:cs="宋体" w:eastAsia="宋体" w:hint="default"/>
        </w:rPr>
        <w:t>12</w:t>
      </w:r>
      <w:r>
        <w:rPr>
          <w:rFonts w:ascii="宋体" w:hAnsi="宋体" w:cs="宋体" w:eastAsia="宋体" w:hint="default"/>
          <w:spacing w:val="-36"/>
        </w:rPr>
        <w:t> </w:t>
      </w:r>
      <w:r>
        <w:rPr>
          <w:spacing w:val="-6"/>
        </w:rPr>
        <w:t>月，经公司第五届董事会第八次会议审议通过，公司调整了</w:t>
      </w:r>
      <w:r>
        <w:rPr>
          <w:spacing w:val="-35"/>
        </w:rPr>
        <w:t> </w:t>
      </w:r>
      <w:r>
        <w:rPr>
          <w:rFonts w:ascii="宋体" w:hAnsi="宋体" w:cs="宋体" w:eastAsia="宋体" w:hint="default"/>
        </w:rPr>
        <w:t>2018</w:t>
      </w:r>
      <w:r>
        <w:rPr>
          <w:rFonts w:ascii="宋体" w:hAnsi="宋体" w:cs="宋体" w:eastAsia="宋体" w:hint="default"/>
          <w:spacing w:val="-98"/>
        </w:rPr>
        <w:t> </w:t>
      </w:r>
      <w:r>
        <w:rPr>
          <w:rFonts w:ascii="宋体" w:hAnsi="宋体" w:cs="宋体" w:eastAsia="宋体" w:hint="default"/>
          <w:spacing w:val="-98"/>
        </w:rPr>
      </w:r>
      <w:r>
        <w:rPr>
          <w:spacing w:val="-2"/>
        </w:rPr>
        <w:t>年度日常关联交易额度。上述情况可参见公司登载于上海证券交易所网站的相关公告（</w:t>
      </w:r>
      <w:r>
        <w:rPr>
          <w:rFonts w:ascii="宋体" w:hAnsi="宋体" w:cs="宋体" w:eastAsia="宋体" w:hint="default"/>
          <w:spacing w:val="-2"/>
        </w:rPr>
        <w:t>2018-010</w:t>
      </w:r>
      <w:r>
        <w:rPr>
          <w:rFonts w:ascii="宋体" w:hAnsi="宋体" w:cs="宋体" w:eastAsia="宋体" w:hint="default"/>
          <w:spacing w:val="-17"/>
        </w:rPr>
        <w:t> </w:t>
      </w:r>
      <w:r>
        <w:rPr>
          <w:rFonts w:ascii="宋体" w:hAnsi="宋体" w:cs="宋体" w:eastAsia="宋体" w:hint="default"/>
          <w:spacing w:val="-17"/>
        </w:rPr>
      </w:r>
      <w:r>
        <w:rPr/>
        <w:t>号、</w:t>
      </w:r>
      <w:r>
        <w:rPr>
          <w:rFonts w:ascii="宋体" w:hAnsi="宋体" w:cs="宋体" w:eastAsia="宋体" w:hint="default"/>
        </w:rPr>
        <w:t>2018-013</w:t>
      </w:r>
      <w:r>
        <w:rPr>
          <w:rFonts w:ascii="宋体" w:hAnsi="宋体" w:cs="宋体" w:eastAsia="宋体" w:hint="default"/>
          <w:spacing w:val="-58"/>
        </w:rPr>
        <w:t> </w:t>
      </w:r>
      <w:r>
        <w:rPr/>
        <w:t>号、</w:t>
      </w:r>
      <w:r>
        <w:rPr>
          <w:rFonts w:ascii="宋体" w:hAnsi="宋体" w:cs="宋体" w:eastAsia="宋体" w:hint="default"/>
        </w:rPr>
        <w:t>2018-018</w:t>
      </w:r>
      <w:r>
        <w:rPr>
          <w:rFonts w:ascii="宋体" w:hAnsi="宋体" w:cs="宋体" w:eastAsia="宋体" w:hint="default"/>
          <w:spacing w:val="-56"/>
        </w:rPr>
        <w:t> </w:t>
      </w:r>
      <w:r>
        <w:rPr/>
        <w:t>号、</w:t>
      </w:r>
      <w:r>
        <w:rPr>
          <w:rFonts w:ascii="宋体" w:hAnsi="宋体" w:cs="宋体" w:eastAsia="宋体" w:hint="default"/>
        </w:rPr>
        <w:t>2018-047</w:t>
      </w:r>
      <w:r>
        <w:rPr>
          <w:rFonts w:ascii="宋体" w:hAnsi="宋体" w:cs="宋体" w:eastAsia="宋体" w:hint="default"/>
          <w:spacing w:val="-56"/>
        </w:rPr>
        <w:t> </w:t>
      </w:r>
      <w:r>
        <w:rPr/>
        <w:t>号）。报告期内，日常关联交易的具体发生情况详见</w:t>
      </w:r>
      <w:r>
        <w:rPr>
          <w:w w:val="100"/>
        </w:rPr>
        <w:t> </w:t>
      </w:r>
      <w:r>
        <w:rPr/>
        <w:t>“第十一节 财务报告”之“十二</w:t>
      </w:r>
      <w:r>
        <w:rPr>
          <w:spacing w:val="-8"/>
        </w:rPr>
        <w:t> </w:t>
      </w:r>
      <w:r>
        <w:rPr/>
        <w:t>关联方及关联交易”相关内容。</w:t>
      </w:r>
    </w:p>
    <w:p>
      <w:pPr>
        <w:pStyle w:val="Heading5"/>
        <w:spacing w:line="240" w:lineRule="auto" w:before="90"/>
        <w:ind w:left="138" w:right="0"/>
        <w:jc w:val="both"/>
        <w:rPr>
          <w:b w:val="0"/>
          <w:bCs w:val="0"/>
        </w:rPr>
      </w:pPr>
      <w:r>
        <w:rPr>
          <w:rFonts w:ascii="宋体" w:hAnsi="宋体" w:cs="宋体" w:eastAsia="宋体" w:hint="default"/>
        </w:rPr>
        <w:t>2</w:t>
      </w:r>
      <w:r>
        <w:rPr/>
        <w:t>、</w:t>
      </w:r>
      <w:r>
        <w:rPr>
          <w:spacing w:val="-3"/>
        </w:rPr>
        <w:t> </w:t>
      </w:r>
      <w:r>
        <w:rPr/>
        <w:t>临时公告未披露的事项</w:t>
      </w:r>
      <w:r>
        <w:rPr>
          <w:b w:val="0"/>
          <w:bCs w:val="0"/>
        </w:rPr>
      </w:r>
    </w:p>
    <w:p>
      <w:pPr>
        <w:spacing w:line="290" w:lineRule="auto" w:before="56"/>
        <w:ind w:left="138" w:right="492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5"/>
        <w:spacing w:line="240" w:lineRule="auto" w:before="12"/>
        <w:ind w:left="138" w:right="0"/>
        <w:jc w:val="both"/>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right="0"/>
        <w:jc w:val="both"/>
      </w:pPr>
      <w:r>
        <w:rPr/>
        <w:t>□适用</w:t>
      </w:r>
      <w:r>
        <w:rPr>
          <w:spacing w:val="-1"/>
        </w:rPr>
        <w:t> </w:t>
      </w:r>
      <w:r>
        <w:rPr/>
        <w:t>√不适用</w:t>
      </w:r>
    </w:p>
    <w:p>
      <w:pPr>
        <w:spacing w:after="0" w:line="240" w:lineRule="auto"/>
        <w:jc w:val="both"/>
        <w:sectPr>
          <w:headerReference w:type="default" r:id="rId33"/>
          <w:footerReference w:type="default" r:id="rId34"/>
          <w:pgSz w:w="11910" w:h="16840"/>
          <w:pgMar w:header="855" w:footer="1217" w:top="1320" w:bottom="1400" w:left="1660" w:right="1160"/>
          <w:pgNumType w:start="56"/>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5"/>
        <w:spacing w:line="240" w:lineRule="auto" w:before="36"/>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58"/>
        <w:ind w:right="0"/>
        <w:jc w:val="left"/>
      </w:pPr>
      <w:r>
        <w:rPr>
          <w:spacing w:val="-1"/>
        </w:rPr>
        <w:t>□适用</w:t>
        <w:tab/>
      </w:r>
      <w:r>
        <w:rPr>
          <w:spacing w:val="-2"/>
        </w:rPr>
        <w:t>√不适用</w:t>
      </w:r>
    </w:p>
    <w:p>
      <w:pPr>
        <w:spacing w:line="240" w:lineRule="auto" w:before="2"/>
        <w:rPr>
          <w:rFonts w:ascii="宋体" w:hAnsi="宋体" w:cs="宋体" w:eastAsia="宋体" w:hint="default"/>
          <w:sz w:val="28"/>
          <w:szCs w:val="28"/>
        </w:rPr>
      </w:pPr>
    </w:p>
    <w:p>
      <w:pPr>
        <w:pStyle w:val="Heading5"/>
        <w:spacing w:line="240" w:lineRule="auto"/>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5"/>
        <w:spacing w:line="240" w:lineRule="auto"/>
        <w:ind w:left="138" w:right="0"/>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980" w:val="left" w:leader="none"/>
        </w:tabs>
        <w:spacing w:line="240" w:lineRule="auto" w:before="58"/>
        <w:ind w:right="0"/>
        <w:jc w:val="left"/>
      </w:pPr>
      <w:r>
        <w:rPr>
          <w:spacing w:val="-1"/>
        </w:rPr>
        <w:t>□适用</w:t>
        <w:tab/>
      </w:r>
      <w:r>
        <w:rPr>
          <w:spacing w:val="-2"/>
        </w:rPr>
        <w:t>√不适用</w:t>
      </w:r>
    </w:p>
    <w:p>
      <w:pPr>
        <w:spacing w:line="240" w:lineRule="auto" w:before="3"/>
        <w:rPr>
          <w:rFonts w:ascii="宋体" w:hAnsi="宋体" w:cs="宋体" w:eastAsia="宋体" w:hint="default"/>
          <w:sz w:val="28"/>
          <w:szCs w:val="28"/>
        </w:rPr>
      </w:pPr>
    </w:p>
    <w:p>
      <w:pPr>
        <w:pStyle w:val="Heading5"/>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5"/>
        <w:spacing w:line="240" w:lineRule="auto" w:before="32"/>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5"/>
        <w:spacing w:line="240" w:lineRule="auto"/>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4"/>
        <w:rPr>
          <w:rFonts w:ascii="宋体" w:hAnsi="宋体" w:cs="宋体" w:eastAsia="宋体" w:hint="default"/>
          <w:sz w:val="28"/>
          <w:szCs w:val="28"/>
        </w:rPr>
      </w:pPr>
    </w:p>
    <w:p>
      <w:pPr>
        <w:pStyle w:val="Heading5"/>
        <w:spacing w:line="240" w:lineRule="auto"/>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5"/>
        <w:spacing w:line="240" w:lineRule="auto"/>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5"/>
        <w:spacing w:line="240" w:lineRule="auto" w:before="32"/>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5"/>
        <w:spacing w:line="240" w:lineRule="auto"/>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58"/>
        <w:ind w:right="0"/>
        <w:jc w:val="left"/>
      </w:pPr>
      <w:r>
        <w:rPr>
          <w:spacing w:val="-1"/>
        </w:rPr>
        <w:t>□适用</w:t>
        <w:tab/>
      </w:r>
      <w:r>
        <w:rPr>
          <w:spacing w:val="-2"/>
        </w:rPr>
        <w:t>√不适用</w:t>
      </w:r>
    </w:p>
    <w:p>
      <w:pPr>
        <w:spacing w:line="240" w:lineRule="auto" w:before="2"/>
        <w:rPr>
          <w:rFonts w:ascii="宋体" w:hAnsi="宋体" w:cs="宋体" w:eastAsia="宋体" w:hint="default"/>
          <w:sz w:val="28"/>
          <w:szCs w:val="28"/>
        </w:rPr>
      </w:pPr>
    </w:p>
    <w:p>
      <w:pPr>
        <w:pStyle w:val="Heading5"/>
        <w:spacing w:line="240" w:lineRule="auto"/>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10"/>
        <w:rPr>
          <w:rFonts w:ascii="宋体" w:hAnsi="宋体" w:cs="宋体" w:eastAsia="宋体" w:hint="default"/>
          <w:sz w:val="28"/>
          <w:szCs w:val="28"/>
        </w:rPr>
      </w:pPr>
    </w:p>
    <w:p>
      <w:pPr>
        <w:pStyle w:val="Heading5"/>
        <w:spacing w:line="240" w:lineRule="auto"/>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980" w:val="left" w:leader="none"/>
        </w:tabs>
        <w:spacing w:line="240" w:lineRule="auto" w:before="29"/>
        <w:ind w:right="0"/>
        <w:jc w:val="left"/>
      </w:pPr>
      <w:r>
        <w:rPr>
          <w:spacing w:val="-1"/>
        </w:rPr>
        <w:t>□适用</w:t>
        <w:tab/>
      </w:r>
      <w:r>
        <w:rPr>
          <w:spacing w:val="-2"/>
        </w:rPr>
        <w:t>√不适用</w:t>
      </w:r>
    </w:p>
    <w:p>
      <w:pPr>
        <w:spacing w:line="240" w:lineRule="auto" w:before="2"/>
        <w:rPr>
          <w:rFonts w:ascii="宋体" w:hAnsi="宋体" w:cs="宋体" w:eastAsia="宋体" w:hint="default"/>
          <w:sz w:val="28"/>
          <w:szCs w:val="28"/>
        </w:rPr>
      </w:pPr>
    </w:p>
    <w:p>
      <w:pPr>
        <w:pStyle w:val="Heading5"/>
        <w:tabs>
          <w:tab w:pos="977" w:val="left" w:leader="none"/>
        </w:tabs>
        <w:spacing w:line="290" w:lineRule="auto"/>
        <w:ind w:left="138" w:right="599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14"/>
        <w:ind w:right="0"/>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5"/>
        <w:spacing w:line="240" w:lineRule="auto"/>
        <w:ind w:left="138" w:right="0"/>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6"/>
        <w:ind w:right="0"/>
        <w:jc w:val="left"/>
      </w:pPr>
      <w:r>
        <w:rPr/>
        <w:t>□适用</w:t>
      </w:r>
      <w:r>
        <w:rPr>
          <w:spacing w:val="-1"/>
        </w:rPr>
        <w:t> </w:t>
      </w:r>
      <w:r>
        <w:rPr/>
        <w:t>√不适用</w:t>
      </w:r>
    </w:p>
    <w:p>
      <w:pPr>
        <w:spacing w:after="0" w:line="240" w:lineRule="auto"/>
        <w:jc w:val="left"/>
        <w:sectPr>
          <w:pgSz w:w="11910" w:h="16840"/>
          <w:pgMar w:header="855" w:footer="1217" w:top="1320" w:bottom="1400" w:left="1660" w:right="1160"/>
        </w:sectPr>
      </w:pPr>
    </w:p>
    <w:p>
      <w:pPr>
        <w:spacing w:line="240" w:lineRule="auto" w:before="4"/>
        <w:rPr>
          <w:rFonts w:ascii="宋体" w:hAnsi="宋体" w:cs="宋体" w:eastAsia="宋体" w:hint="default"/>
          <w:sz w:val="9"/>
          <w:szCs w:val="9"/>
        </w:rPr>
      </w:pPr>
    </w:p>
    <w:p>
      <w:pPr>
        <w:pStyle w:val="Heading5"/>
        <w:spacing w:line="240" w:lineRule="auto" w:before="36"/>
        <w:ind w:right="234"/>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8"/>
        <w:ind w:left="218" w:right="234"/>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5"/>
        <w:tabs>
          <w:tab w:pos="1057" w:val="left" w:leader="none"/>
        </w:tabs>
        <w:spacing w:line="240" w:lineRule="auto"/>
        <w:ind w:right="234"/>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8"/>
        <w:ind w:left="218" w:right="234"/>
        <w:jc w:val="left"/>
      </w:pPr>
      <w:r>
        <w:rPr/>
        <w:t>□适用</w:t>
      </w:r>
      <w:r>
        <w:rPr>
          <w:spacing w:val="-1"/>
        </w:rPr>
        <w:t> </w:t>
      </w:r>
      <w:r>
        <w:rPr/>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55" w:footer="1217" w:top="1320" w:bottom="1400" w:left="1580" w:right="1040"/>
        </w:sectPr>
      </w:pPr>
    </w:p>
    <w:p>
      <w:pPr>
        <w:pStyle w:val="Heading5"/>
        <w:tabs>
          <w:tab w:pos="642" w:val="left" w:leader="none"/>
          <w:tab w:pos="1057" w:val="left" w:leader="none"/>
        </w:tabs>
        <w:spacing w:line="290" w:lineRule="auto" w:before="36"/>
        <w:ind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b w:val="0"/>
          <w:bCs w:val="0"/>
        </w:rPr>
      </w:r>
    </w:p>
    <w:p>
      <w:pPr>
        <w:pStyle w:val="Heading5"/>
        <w:spacing w:line="240" w:lineRule="auto" w:before="14"/>
        <w:ind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tabs>
          <w:tab w:pos="1060" w:val="left" w:leader="none"/>
        </w:tabs>
        <w:spacing w:line="240" w:lineRule="auto" w:before="56"/>
        <w:ind w:left="21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480" w:val="left" w:leader="none"/>
        </w:tabs>
        <w:spacing w:line="240" w:lineRule="auto"/>
        <w:ind w:left="218"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580" w:right="1040"/>
          <w:cols w:num="2" w:equalWidth="0">
            <w:col w:w="4222" w:space="2089"/>
            <w:col w:w="297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7"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638,350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226,550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私募基金产品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99,000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6"/>
        <w:rPr>
          <w:rFonts w:ascii="宋体" w:hAnsi="宋体" w:cs="宋体" w:eastAsia="宋体" w:hint="default"/>
          <w:sz w:val="18"/>
          <w:szCs w:val="18"/>
        </w:rPr>
      </w:pPr>
    </w:p>
    <w:p>
      <w:pPr>
        <w:pStyle w:val="Heading5"/>
        <w:spacing w:line="273" w:lineRule="exact" w:before="36"/>
        <w:ind w:right="234"/>
        <w:jc w:val="left"/>
        <w:rPr>
          <w:b w:val="0"/>
          <w:bCs w:val="0"/>
        </w:rPr>
      </w:pPr>
      <w:r>
        <w:rPr/>
        <w:t>其他情况</w:t>
      </w:r>
      <w:r>
        <w:rPr>
          <w:b w:val="0"/>
          <w:bCs w:val="0"/>
        </w:rPr>
      </w:r>
    </w:p>
    <w:p>
      <w:pPr>
        <w:pStyle w:val="BodyText"/>
        <w:tabs>
          <w:tab w:pos="1060" w:val="left" w:leader="none"/>
        </w:tabs>
        <w:spacing w:line="240" w:lineRule="auto"/>
        <w:ind w:left="218" w:right="7383"/>
        <w:jc w:val="left"/>
      </w:pPr>
      <w:r>
        <w:rPr>
          <w:spacing w:val="-1"/>
        </w:rPr>
        <w:t>√适用</w:t>
        <w:tab/>
      </w:r>
      <w:r>
        <w:rPr>
          <w:spacing w:val="-2"/>
        </w:rPr>
        <w:t>□不适用</w:t>
      </w:r>
      <w:r>
        <w:rPr>
          <w:spacing w:val="-99"/>
        </w:rPr>
        <w:t> </w:t>
      </w:r>
      <w:r>
        <w:rPr>
          <w:spacing w:val="-99"/>
        </w:rPr>
      </w:r>
      <w:r>
        <w:rPr/>
        <w:t>无。</w:t>
      </w:r>
    </w:p>
    <w:p>
      <w:pPr>
        <w:spacing w:after="0" w:line="240" w:lineRule="auto"/>
        <w:jc w:val="left"/>
        <w:sectPr>
          <w:type w:val="continuous"/>
          <w:pgSz w:w="11910" w:h="16840"/>
          <w:pgMar w:top="1320" w:bottom="140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35"/>
          <w:footerReference w:type="default" r:id="rId36"/>
          <w:pgSz w:w="16840" w:h="11910" w:orient="landscape"/>
          <w:pgMar w:header="857" w:footer="1218" w:top="1320" w:bottom="1400" w:left="1220" w:right="1300"/>
          <w:pgNumType w:start="59"/>
        </w:sectPr>
      </w:pPr>
    </w:p>
    <w:p>
      <w:pPr>
        <w:pStyle w:val="Heading5"/>
        <w:spacing w:line="240" w:lineRule="auto" w:before="36"/>
        <w:ind w:left="220" w:right="-19"/>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tabs>
          <w:tab w:pos="1062" w:val="left" w:leader="none"/>
        </w:tabs>
        <w:spacing w:line="240" w:lineRule="auto" w:before="58"/>
        <w:ind w:left="220"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2"/>
        <w:rPr>
          <w:rFonts w:ascii="宋体" w:hAnsi="宋体" w:cs="宋体" w:eastAsia="宋体" w:hint="default"/>
          <w:sz w:val="29"/>
          <w:szCs w:val="29"/>
        </w:rPr>
      </w:pPr>
    </w:p>
    <w:p>
      <w:pPr>
        <w:tabs>
          <w:tab w:pos="1419" w:val="left" w:leader="none"/>
        </w:tabs>
        <w:spacing w:before="0"/>
        <w:ind w:left="220" w:right="0" w:firstLine="0"/>
        <w:jc w:val="left"/>
        <w:rPr>
          <w:rFonts w:ascii="宋体" w:hAnsi="宋体" w:cs="宋体" w:eastAsia="宋体" w:hint="default"/>
          <w:sz w:val="20"/>
          <w:szCs w:val="20"/>
        </w:rPr>
      </w:pPr>
      <w:r>
        <w:rPr>
          <w:rFonts w:ascii="宋体" w:hAnsi="宋体" w:cs="宋体" w:eastAsia="宋体" w:hint="default"/>
          <w:w w:val="95"/>
          <w:sz w:val="20"/>
          <w:szCs w:val="20"/>
        </w:rPr>
        <w:t>单位：千元</w:t>
        <w:tab/>
      </w:r>
      <w:r>
        <w:rPr>
          <w:rFonts w:ascii="宋体" w:hAnsi="宋体" w:cs="宋体" w:eastAsia="宋体" w:hint="default"/>
          <w:sz w:val="20"/>
          <w:szCs w:val="20"/>
        </w:rPr>
        <w:t>币种：人民币</w:t>
      </w:r>
    </w:p>
    <w:p>
      <w:pPr>
        <w:spacing w:after="0"/>
        <w:jc w:val="left"/>
        <w:rPr>
          <w:rFonts w:ascii="宋体" w:hAnsi="宋体" w:cs="宋体" w:eastAsia="宋体" w:hint="default"/>
          <w:sz w:val="20"/>
          <w:szCs w:val="20"/>
        </w:rPr>
        <w:sectPr>
          <w:type w:val="continuous"/>
          <w:pgSz w:w="16840" w:h="11910" w:orient="landscape"/>
          <w:pgMar w:top="1320" w:bottom="1400" w:left="1220" w:right="1300"/>
          <w:cols w:num="2" w:equalWidth="0">
            <w:col w:w="2271" w:space="9203"/>
            <w:col w:w="2846"/>
          </w:cols>
        </w:sectPr>
      </w:pPr>
    </w:p>
    <w:p>
      <w:pPr>
        <w:spacing w:line="240" w:lineRule="auto" w:before="3"/>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952"/>
        <w:gridCol w:w="2127"/>
        <w:gridCol w:w="852"/>
        <w:gridCol w:w="991"/>
        <w:gridCol w:w="992"/>
        <w:gridCol w:w="566"/>
        <w:gridCol w:w="710"/>
        <w:gridCol w:w="566"/>
        <w:gridCol w:w="566"/>
        <w:gridCol w:w="710"/>
        <w:gridCol w:w="709"/>
        <w:gridCol w:w="859"/>
        <w:gridCol w:w="847"/>
        <w:gridCol w:w="706"/>
        <w:gridCol w:w="936"/>
      </w:tblGrid>
      <w:tr>
        <w:trPr>
          <w:trHeight w:val="790"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受托人</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607" w:right="0"/>
              <w:jc w:val="left"/>
              <w:rPr>
                <w:rFonts w:ascii="宋体" w:hAnsi="宋体" w:cs="宋体" w:eastAsia="宋体" w:hint="default"/>
                <w:sz w:val="15"/>
                <w:szCs w:val="15"/>
              </w:rPr>
            </w:pPr>
            <w:r>
              <w:rPr>
                <w:rFonts w:ascii="宋体" w:hAnsi="宋体" w:cs="宋体" w:eastAsia="宋体" w:hint="default"/>
                <w:sz w:val="15"/>
                <w:szCs w:val="15"/>
              </w:rPr>
              <w:t>委托理财类型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71" w:right="118" w:hanging="152"/>
              <w:jc w:val="left"/>
              <w:rPr>
                <w:rFonts w:ascii="宋体" w:hAnsi="宋体" w:cs="宋体" w:eastAsia="宋体" w:hint="default"/>
                <w:sz w:val="15"/>
                <w:szCs w:val="15"/>
              </w:rPr>
            </w:pPr>
            <w:r>
              <w:rPr>
                <w:rFonts w:ascii="宋体" w:hAnsi="宋体" w:cs="宋体" w:eastAsia="宋体" w:hint="default"/>
                <w:sz w:val="15"/>
                <w:szCs w:val="15"/>
              </w:rPr>
              <w:t>委托理财</w:t>
            </w:r>
            <w:r>
              <w:rPr>
                <w:rFonts w:ascii="宋体" w:hAnsi="宋体" w:cs="宋体" w:eastAsia="宋体" w:hint="default"/>
                <w:w w:val="100"/>
                <w:sz w:val="15"/>
                <w:szCs w:val="15"/>
              </w:rPr>
              <w:t> </w:t>
            </w:r>
            <w:r>
              <w:rPr>
                <w:rFonts w:ascii="宋体" w:hAnsi="宋体" w:cs="宋体" w:eastAsia="宋体" w:hint="default"/>
                <w:sz w:val="15"/>
                <w:szCs w:val="15"/>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63" w:right="110" w:hanging="149"/>
              <w:jc w:val="left"/>
              <w:rPr>
                <w:rFonts w:ascii="宋体" w:hAnsi="宋体" w:cs="宋体" w:eastAsia="宋体" w:hint="default"/>
                <w:sz w:val="15"/>
                <w:szCs w:val="15"/>
              </w:rPr>
            </w:pPr>
            <w:r>
              <w:rPr>
                <w:rFonts w:ascii="宋体" w:hAnsi="宋体" w:cs="宋体" w:eastAsia="宋体" w:hint="default"/>
                <w:sz w:val="15"/>
                <w:szCs w:val="15"/>
              </w:rPr>
              <w:t>委托理财起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始日期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63" w:right="111" w:hanging="149"/>
              <w:jc w:val="left"/>
              <w:rPr>
                <w:rFonts w:ascii="宋体" w:hAnsi="宋体" w:cs="宋体" w:eastAsia="宋体" w:hint="default"/>
                <w:sz w:val="15"/>
                <w:szCs w:val="15"/>
              </w:rPr>
            </w:pPr>
            <w:r>
              <w:rPr>
                <w:rFonts w:ascii="宋体" w:hAnsi="宋体" w:cs="宋体" w:eastAsia="宋体" w:hint="default"/>
                <w:sz w:val="15"/>
                <w:szCs w:val="15"/>
              </w:rPr>
              <w:t>委托理财终</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止日期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27" w:right="125"/>
              <w:jc w:val="left"/>
              <w:rPr>
                <w:rFonts w:ascii="宋体" w:hAnsi="宋体" w:cs="宋体" w:eastAsia="宋体" w:hint="default"/>
                <w:sz w:val="15"/>
                <w:szCs w:val="15"/>
              </w:rPr>
            </w:pPr>
            <w:r>
              <w:rPr>
                <w:rFonts w:ascii="宋体" w:hAnsi="宋体" w:cs="宋体" w:eastAsia="宋体" w:hint="default"/>
                <w:sz w:val="15"/>
                <w:szCs w:val="15"/>
              </w:rPr>
              <w:t>资金</w:t>
            </w:r>
            <w:r>
              <w:rPr>
                <w:rFonts w:ascii="宋体" w:hAnsi="宋体" w:cs="宋体" w:eastAsia="宋体" w:hint="default"/>
                <w:spacing w:val="-73"/>
                <w:sz w:val="15"/>
                <w:szCs w:val="15"/>
              </w:rPr>
              <w:t> </w:t>
            </w:r>
            <w:r>
              <w:rPr>
                <w:rFonts w:ascii="宋体" w:hAnsi="宋体" w:cs="宋体" w:eastAsia="宋体" w:hint="default"/>
                <w:sz w:val="15"/>
                <w:szCs w:val="15"/>
              </w:rPr>
              <w:t>来源</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99" w:right="197"/>
              <w:jc w:val="left"/>
              <w:rPr>
                <w:rFonts w:ascii="宋体" w:hAnsi="宋体" w:cs="宋体" w:eastAsia="宋体" w:hint="default"/>
                <w:sz w:val="15"/>
                <w:szCs w:val="15"/>
              </w:rPr>
            </w:pPr>
            <w:r>
              <w:rPr>
                <w:rFonts w:ascii="宋体" w:hAnsi="宋体" w:cs="宋体" w:eastAsia="宋体" w:hint="default"/>
                <w:sz w:val="15"/>
                <w:szCs w:val="15"/>
              </w:rPr>
              <w:t>资金</w:t>
            </w:r>
            <w:r>
              <w:rPr>
                <w:rFonts w:ascii="宋体" w:hAnsi="宋体" w:cs="宋体" w:eastAsia="宋体" w:hint="default"/>
                <w:spacing w:val="-73"/>
                <w:sz w:val="15"/>
                <w:szCs w:val="15"/>
              </w:rPr>
              <w:t> </w:t>
            </w:r>
            <w:r>
              <w:rPr>
                <w:rFonts w:ascii="宋体" w:hAnsi="宋体" w:cs="宋体" w:eastAsia="宋体" w:hint="default"/>
                <w:sz w:val="15"/>
                <w:szCs w:val="15"/>
              </w:rPr>
              <w:t>投向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27" w:right="125"/>
              <w:jc w:val="both"/>
              <w:rPr>
                <w:rFonts w:ascii="宋体" w:hAnsi="宋体" w:cs="宋体" w:eastAsia="宋体" w:hint="default"/>
                <w:sz w:val="15"/>
                <w:szCs w:val="15"/>
              </w:rPr>
            </w:pPr>
            <w:r>
              <w:rPr>
                <w:rFonts w:ascii="宋体" w:hAnsi="宋体" w:cs="宋体" w:eastAsia="宋体" w:hint="default"/>
                <w:sz w:val="15"/>
                <w:szCs w:val="15"/>
              </w:rPr>
              <w:t>报酬</w:t>
            </w:r>
            <w:r>
              <w:rPr>
                <w:rFonts w:ascii="宋体" w:hAnsi="宋体" w:cs="宋体" w:eastAsia="宋体" w:hint="default"/>
                <w:spacing w:val="-73"/>
                <w:sz w:val="15"/>
                <w:szCs w:val="15"/>
              </w:rPr>
              <w:t> </w:t>
            </w:r>
            <w:r>
              <w:rPr>
                <w:rFonts w:ascii="宋体" w:hAnsi="宋体" w:cs="宋体" w:eastAsia="宋体" w:hint="default"/>
                <w:sz w:val="15"/>
                <w:szCs w:val="15"/>
              </w:rPr>
              <w:t>确定</w:t>
            </w:r>
            <w:r>
              <w:rPr>
                <w:rFonts w:ascii="宋体" w:hAnsi="宋体" w:cs="宋体" w:eastAsia="宋体" w:hint="default"/>
                <w:spacing w:val="-73"/>
                <w:sz w:val="15"/>
                <w:szCs w:val="15"/>
              </w:rPr>
              <w:t> </w:t>
            </w:r>
            <w:r>
              <w:rPr>
                <w:rFonts w:ascii="宋体" w:hAnsi="宋体" w:cs="宋体" w:eastAsia="宋体" w:hint="default"/>
                <w:sz w:val="15"/>
                <w:szCs w:val="15"/>
              </w:rPr>
              <w:t>方式</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7" w:right="0"/>
              <w:jc w:val="left"/>
              <w:rPr>
                <w:rFonts w:ascii="宋体" w:hAnsi="宋体" w:cs="宋体" w:eastAsia="宋体" w:hint="default"/>
                <w:sz w:val="15"/>
                <w:szCs w:val="15"/>
              </w:rPr>
            </w:pPr>
            <w:r>
              <w:rPr>
                <w:rFonts w:ascii="宋体" w:hAnsi="宋体" w:cs="宋体" w:eastAsia="宋体" w:hint="default"/>
                <w:sz w:val="15"/>
                <w:szCs w:val="15"/>
              </w:rPr>
              <w:t>年化</w:t>
            </w:r>
          </w:p>
          <w:p>
            <w:pPr>
              <w:pStyle w:val="TableParagraph"/>
              <w:spacing w:line="240" w:lineRule="auto"/>
              <w:ind w:left="201" w:right="125" w:hanging="75"/>
              <w:jc w:val="left"/>
              <w:rPr>
                <w:rFonts w:ascii="宋体" w:hAnsi="宋体" w:cs="宋体" w:eastAsia="宋体" w:hint="default"/>
                <w:sz w:val="15"/>
                <w:szCs w:val="15"/>
              </w:rPr>
            </w:pPr>
            <w:r>
              <w:rPr>
                <w:rFonts w:ascii="宋体" w:hAnsi="宋体" w:cs="宋体" w:eastAsia="宋体" w:hint="default"/>
                <w:sz w:val="15"/>
                <w:szCs w:val="15"/>
              </w:rPr>
              <w:t>收益</w:t>
            </w:r>
            <w:r>
              <w:rPr>
                <w:rFonts w:ascii="宋体" w:hAnsi="宋体" w:cs="宋体" w:eastAsia="宋体" w:hint="default"/>
                <w:spacing w:val="-73"/>
                <w:sz w:val="15"/>
                <w:szCs w:val="15"/>
              </w:rPr>
              <w:t> </w:t>
            </w:r>
            <w:r>
              <w:rPr>
                <w:rFonts w:ascii="宋体" w:hAnsi="宋体" w:cs="宋体" w:eastAsia="宋体" w:hint="default"/>
                <w:sz w:val="15"/>
                <w:szCs w:val="15"/>
              </w:rPr>
              <w:t>率</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 w:right="0"/>
              <w:jc w:val="center"/>
              <w:rPr>
                <w:rFonts w:ascii="宋体" w:hAnsi="宋体" w:cs="宋体" w:eastAsia="宋体" w:hint="default"/>
                <w:sz w:val="15"/>
                <w:szCs w:val="15"/>
              </w:rPr>
            </w:pPr>
            <w:r>
              <w:rPr>
                <w:rFonts w:ascii="宋体" w:hAnsi="宋体" w:cs="宋体" w:eastAsia="宋体" w:hint="default"/>
                <w:sz w:val="15"/>
                <w:szCs w:val="15"/>
              </w:rPr>
              <w:t>预期收</w:t>
            </w:r>
          </w:p>
          <w:p>
            <w:pPr>
              <w:pStyle w:val="TableParagraph"/>
              <w:spacing w:line="240" w:lineRule="auto"/>
              <w:ind w:left="124" w:right="121" w:hanging="4"/>
              <w:jc w:val="center"/>
              <w:rPr>
                <w:rFonts w:ascii="宋体" w:hAnsi="宋体" w:cs="宋体" w:eastAsia="宋体" w:hint="default"/>
                <w:sz w:val="15"/>
                <w:szCs w:val="15"/>
              </w:rPr>
            </w:pPr>
            <w:r>
              <w:rPr>
                <w:rFonts w:ascii="宋体" w:hAnsi="宋体" w:cs="宋体" w:eastAsia="宋体" w:hint="default"/>
                <w:sz w:val="15"/>
                <w:szCs w:val="15"/>
              </w:rPr>
              <w:t>益</w:t>
            </w:r>
            <w:r>
              <w:rPr>
                <w:rFonts w:ascii="宋体" w:hAnsi="宋体" w:cs="宋体" w:eastAsia="宋体" w:hint="default"/>
                <w:w w:val="100"/>
                <w:sz w:val="15"/>
                <w:szCs w:val="15"/>
              </w:rPr>
              <w:t> </w:t>
            </w:r>
            <w:r>
              <w:rPr>
                <w:rFonts w:ascii="宋体" w:hAnsi="宋体" w:cs="宋体" w:eastAsia="宋体" w:hint="default"/>
                <w:sz w:val="15"/>
                <w:szCs w:val="15"/>
              </w:rPr>
              <w:t>(</w:t>
            </w:r>
            <w:r>
              <w:rPr>
                <w:rFonts w:ascii="宋体" w:hAnsi="宋体" w:cs="宋体" w:eastAsia="宋体" w:hint="default"/>
                <w:sz w:val="15"/>
                <w:szCs w:val="15"/>
              </w:rPr>
              <w:t>如有</w:t>
            </w:r>
            <w:r>
              <w:rPr>
                <w:rFonts w:ascii="宋体" w:hAnsi="宋体" w:cs="宋体" w:eastAsia="宋体" w:hint="default"/>
                <w:sz w:val="15"/>
                <w:szCs w:val="15"/>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25" w:right="119" w:hanging="3"/>
              <w:jc w:val="center"/>
              <w:rPr>
                <w:rFonts w:ascii="宋体" w:hAnsi="宋体" w:cs="宋体" w:eastAsia="宋体" w:hint="default"/>
                <w:sz w:val="15"/>
                <w:szCs w:val="15"/>
              </w:rPr>
            </w:pPr>
            <w:r>
              <w:rPr>
                <w:rFonts w:ascii="宋体" w:hAnsi="宋体" w:cs="宋体" w:eastAsia="宋体" w:hint="default"/>
                <w:sz w:val="15"/>
                <w:szCs w:val="15"/>
              </w:rPr>
              <w:t>实际</w:t>
            </w:r>
            <w:r>
              <w:rPr>
                <w:rFonts w:ascii="宋体" w:hAnsi="宋体" w:cs="宋体" w:eastAsia="宋体" w:hint="default"/>
                <w:w w:val="100"/>
                <w:sz w:val="15"/>
                <w:szCs w:val="15"/>
              </w:rPr>
              <w:t> </w:t>
            </w:r>
            <w:r>
              <w:rPr>
                <w:rFonts w:ascii="宋体" w:hAnsi="宋体" w:cs="宋体" w:eastAsia="宋体" w:hint="default"/>
                <w:sz w:val="15"/>
                <w:szCs w:val="15"/>
              </w:rPr>
              <w:t>收益或</w:t>
            </w:r>
            <w:r>
              <w:rPr>
                <w:rFonts w:ascii="宋体" w:hAnsi="宋体" w:cs="宋体" w:eastAsia="宋体" w:hint="default"/>
                <w:w w:val="100"/>
                <w:sz w:val="15"/>
                <w:szCs w:val="15"/>
              </w:rPr>
              <w:t> </w:t>
            </w:r>
            <w:r>
              <w:rPr>
                <w:rFonts w:ascii="宋体" w:hAnsi="宋体" w:cs="宋体" w:eastAsia="宋体" w:hint="default"/>
                <w:sz w:val="15"/>
                <w:szCs w:val="15"/>
              </w:rPr>
              <w:t>损失</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73" w:right="122" w:hanging="152"/>
              <w:jc w:val="left"/>
              <w:rPr>
                <w:rFonts w:ascii="宋体" w:hAnsi="宋体" w:cs="宋体" w:eastAsia="宋体" w:hint="default"/>
                <w:sz w:val="15"/>
                <w:szCs w:val="15"/>
              </w:rPr>
            </w:pPr>
            <w:r>
              <w:rPr>
                <w:rFonts w:ascii="宋体" w:hAnsi="宋体" w:cs="宋体" w:eastAsia="宋体" w:hint="default"/>
                <w:sz w:val="15"/>
                <w:szCs w:val="15"/>
              </w:rPr>
              <w:t>实际收回</w:t>
            </w:r>
            <w:r>
              <w:rPr>
                <w:rFonts w:ascii="宋体" w:hAnsi="宋体" w:cs="宋体" w:eastAsia="宋体" w:hint="default"/>
                <w:w w:val="100"/>
                <w:sz w:val="15"/>
                <w:szCs w:val="15"/>
              </w:rPr>
              <w:t> </w:t>
            </w:r>
            <w:r>
              <w:rPr>
                <w:rFonts w:ascii="宋体" w:hAnsi="宋体" w:cs="宋体" w:eastAsia="宋体" w:hint="default"/>
                <w:sz w:val="15"/>
                <w:szCs w:val="15"/>
              </w:rPr>
              <w:t>情况</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15" w:right="118"/>
              <w:jc w:val="left"/>
              <w:rPr>
                <w:rFonts w:ascii="宋体" w:hAnsi="宋体" w:cs="宋体" w:eastAsia="宋体" w:hint="default"/>
                <w:sz w:val="15"/>
                <w:szCs w:val="15"/>
              </w:rPr>
            </w:pPr>
            <w:r>
              <w:rPr>
                <w:rFonts w:ascii="宋体" w:hAnsi="宋体" w:cs="宋体" w:eastAsia="宋体" w:hint="default"/>
                <w:sz w:val="15"/>
                <w:szCs w:val="15"/>
              </w:rPr>
              <w:t>是否经过</w:t>
            </w:r>
            <w:r>
              <w:rPr>
                <w:rFonts w:ascii="宋体" w:hAnsi="宋体" w:cs="宋体" w:eastAsia="宋体" w:hint="default"/>
                <w:w w:val="100"/>
                <w:sz w:val="15"/>
                <w:szCs w:val="15"/>
              </w:rPr>
              <w:t> </w:t>
            </w:r>
            <w:r>
              <w:rPr>
                <w:rFonts w:ascii="宋体" w:hAnsi="宋体" w:cs="宋体" w:eastAsia="宋体" w:hint="default"/>
                <w:sz w:val="15"/>
                <w:szCs w:val="15"/>
              </w:rPr>
              <w:t>法定程序</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2" w:right="0"/>
              <w:jc w:val="both"/>
              <w:rPr>
                <w:rFonts w:ascii="宋体" w:hAnsi="宋体" w:cs="宋体" w:eastAsia="宋体" w:hint="default"/>
                <w:sz w:val="15"/>
                <w:szCs w:val="15"/>
              </w:rPr>
            </w:pPr>
            <w:r>
              <w:rPr>
                <w:rFonts w:ascii="宋体" w:hAnsi="宋体" w:cs="宋体" w:eastAsia="宋体" w:hint="default"/>
                <w:sz w:val="15"/>
                <w:szCs w:val="15"/>
              </w:rPr>
              <w:t>未来是</w:t>
            </w:r>
          </w:p>
          <w:p>
            <w:pPr>
              <w:pStyle w:val="TableParagraph"/>
              <w:spacing w:line="240" w:lineRule="auto"/>
              <w:ind w:left="122" w:right="119"/>
              <w:jc w:val="both"/>
              <w:rPr>
                <w:rFonts w:ascii="宋体" w:hAnsi="宋体" w:cs="宋体" w:eastAsia="宋体" w:hint="default"/>
                <w:sz w:val="15"/>
                <w:szCs w:val="15"/>
              </w:rPr>
            </w:pPr>
            <w:r>
              <w:rPr>
                <w:rFonts w:ascii="宋体" w:hAnsi="宋体" w:cs="宋体" w:eastAsia="宋体" w:hint="default"/>
                <w:sz w:val="15"/>
                <w:szCs w:val="15"/>
              </w:rPr>
              <w:t>否有委</w:t>
            </w:r>
            <w:r>
              <w:rPr>
                <w:rFonts w:ascii="宋体" w:hAnsi="宋体" w:cs="宋体" w:eastAsia="宋体" w:hint="default"/>
                <w:spacing w:val="-72"/>
                <w:sz w:val="15"/>
                <w:szCs w:val="15"/>
              </w:rPr>
              <w:t> </w:t>
            </w:r>
            <w:r>
              <w:rPr>
                <w:rFonts w:ascii="宋体" w:hAnsi="宋体" w:cs="宋体" w:eastAsia="宋体" w:hint="default"/>
                <w:sz w:val="15"/>
                <w:szCs w:val="15"/>
              </w:rPr>
              <w:t>托理财</w:t>
            </w:r>
            <w:r>
              <w:rPr>
                <w:rFonts w:ascii="宋体" w:hAnsi="宋体" w:cs="宋体" w:eastAsia="宋体" w:hint="default"/>
                <w:spacing w:val="-72"/>
                <w:sz w:val="15"/>
                <w:szCs w:val="15"/>
              </w:rPr>
              <w:t> </w:t>
            </w:r>
            <w:r>
              <w:rPr>
                <w:rFonts w:ascii="宋体" w:hAnsi="宋体" w:cs="宋体" w:eastAsia="宋体" w:hint="default"/>
                <w:sz w:val="15"/>
                <w:szCs w:val="15"/>
              </w:rPr>
              <w:t>计划</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3" w:right="98"/>
              <w:jc w:val="right"/>
              <w:rPr>
                <w:rFonts w:ascii="宋体" w:hAnsi="宋体" w:cs="宋体" w:eastAsia="宋体" w:hint="default"/>
                <w:sz w:val="15"/>
                <w:szCs w:val="15"/>
              </w:rPr>
            </w:pPr>
            <w:r>
              <w:rPr>
                <w:rFonts w:ascii="宋体" w:hAnsi="宋体" w:cs="宋体" w:eastAsia="宋体" w:hint="default"/>
                <w:spacing w:val="-1"/>
                <w:sz w:val="15"/>
                <w:szCs w:val="15"/>
              </w:rPr>
              <w:t>减值准备</w:t>
            </w:r>
            <w:r>
              <w:rPr>
                <w:rFonts w:ascii="宋体" w:hAnsi="宋体" w:cs="宋体" w:eastAsia="宋体" w:hint="default"/>
                <w:w w:val="100"/>
                <w:sz w:val="15"/>
                <w:szCs w:val="15"/>
              </w:rPr>
              <w:t> </w:t>
            </w:r>
            <w:r>
              <w:rPr>
                <w:rFonts w:ascii="宋体" w:hAnsi="宋体" w:cs="宋体" w:eastAsia="宋体" w:hint="default"/>
                <w:spacing w:val="-1"/>
                <w:sz w:val="15"/>
                <w:szCs w:val="15"/>
              </w:rPr>
              <w:t>计提金额</w:t>
            </w:r>
            <w:r>
              <w:rPr>
                <w:rFonts w:ascii="宋体" w:hAnsi="宋体" w:cs="宋体" w:eastAsia="宋体" w:hint="default"/>
                <w:w w:val="100"/>
                <w:sz w:val="15"/>
                <w:szCs w:val="15"/>
              </w:rPr>
              <w:t> </w:t>
            </w:r>
            <w:r>
              <w:rPr>
                <w:rFonts w:ascii="宋体" w:hAnsi="宋体" w:cs="宋体" w:eastAsia="宋体" w:hint="default"/>
                <w:spacing w:val="-1"/>
                <w:sz w:val="15"/>
                <w:szCs w:val="15"/>
              </w:rPr>
              <w:t>(</w:t>
            </w:r>
            <w:r>
              <w:rPr>
                <w:rFonts w:ascii="宋体" w:hAnsi="宋体" w:cs="宋体" w:eastAsia="宋体" w:hint="default"/>
                <w:spacing w:val="-1"/>
                <w:sz w:val="15"/>
                <w:szCs w:val="15"/>
              </w:rPr>
              <w:t>如有</w:t>
            </w:r>
            <w:r>
              <w:rPr>
                <w:rFonts w:ascii="宋体" w:hAnsi="宋体" w:cs="宋体" w:eastAsia="宋体" w:hint="default"/>
                <w:spacing w:val="-1"/>
                <w:sz w:val="15"/>
                <w:szCs w:val="15"/>
              </w:rPr>
              <w:t>)</w:t>
            </w:r>
          </w:p>
        </w:tc>
      </w:tr>
      <w:tr>
        <w:trPr>
          <w:trHeight w:val="399"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步步生金</w:t>
            </w:r>
            <w:r>
              <w:rPr>
                <w:rFonts w:ascii="宋体" w:hAnsi="宋体" w:cs="宋体" w:eastAsia="宋体" w:hint="default"/>
                <w:spacing w:val="-38"/>
                <w:sz w:val="15"/>
                <w:szCs w:val="15"/>
              </w:rPr>
              <w:t> </w:t>
            </w:r>
            <w:r>
              <w:rPr>
                <w:rFonts w:ascii="宋体" w:hAnsi="宋体" w:cs="宋体" w:eastAsia="宋体" w:hint="default"/>
                <w:sz w:val="15"/>
                <w:szCs w:val="15"/>
              </w:rPr>
              <w:t>8699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22,000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sz w:val="15"/>
              </w:rPr>
              <w:t>2016/9/30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7"/>
              <w:jc w:val="right"/>
              <w:rPr>
                <w:rFonts w:ascii="宋体" w:hAnsi="宋体" w:cs="宋体" w:eastAsia="宋体" w:hint="default"/>
                <w:sz w:val="15"/>
                <w:szCs w:val="15"/>
              </w:rPr>
            </w:pPr>
            <w:r>
              <w:rPr>
                <w:rFonts w:ascii="宋体"/>
                <w:spacing w:val="-1"/>
                <w:sz w:val="15"/>
              </w:rPr>
              <w:t>3,993</w:t>
            </w:r>
          </w:p>
        </w:tc>
        <w:tc>
          <w:tcPr>
            <w:tcW w:w="85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5"/>
                <w:sz w:val="15"/>
                <w:szCs w:val="15"/>
              </w:rPr>
              <w:t>中国邮政储蓄银行股份有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财智·盛盈</w:t>
            </w:r>
            <w:r>
              <w:rPr>
                <w:rFonts w:ascii="宋体" w:hAnsi="宋体" w:cs="宋体" w:eastAsia="宋体" w:hint="default"/>
                <w:spacing w:val="-42"/>
                <w:sz w:val="15"/>
                <w:szCs w:val="15"/>
              </w:rPr>
              <w:t> </w:t>
            </w:r>
            <w:r>
              <w:rPr>
                <w:rFonts w:ascii="宋体" w:hAnsi="宋体" w:cs="宋体" w:eastAsia="宋体" w:hint="default"/>
                <w:sz w:val="15"/>
                <w:szCs w:val="15"/>
              </w:rPr>
              <w:t>1701SY0253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30,000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2017/11/20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2018-03-06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7"/>
              <w:jc w:val="right"/>
              <w:rPr>
                <w:rFonts w:ascii="宋体" w:hAnsi="宋体" w:cs="宋体" w:eastAsia="宋体" w:hint="default"/>
                <w:sz w:val="15"/>
                <w:szCs w:val="15"/>
              </w:rPr>
            </w:pPr>
            <w:r>
              <w:rPr>
                <w:rFonts w:ascii="宋体"/>
                <w:spacing w:val="-1"/>
                <w:sz w:val="15"/>
              </w:rPr>
              <w:t>345</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5"/>
                <w:szCs w:val="15"/>
              </w:rPr>
            </w:pPr>
            <w:r>
              <w:rPr>
                <w:rFonts w:ascii="宋体"/>
                <w:spacing w:val="-2"/>
                <w:sz w:val="15"/>
              </w:rPr>
              <w:t>30,000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5"/>
                <w:sz w:val="15"/>
                <w:szCs w:val="15"/>
              </w:rPr>
              <w:t>中国邮政储蓄银行股份有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财智·盛盈</w:t>
            </w:r>
            <w:r>
              <w:rPr>
                <w:rFonts w:ascii="宋体" w:hAnsi="宋体" w:cs="宋体" w:eastAsia="宋体" w:hint="default"/>
                <w:spacing w:val="-42"/>
                <w:sz w:val="15"/>
                <w:szCs w:val="15"/>
              </w:rPr>
              <w:t> </w:t>
            </w:r>
            <w:r>
              <w:rPr>
                <w:rFonts w:ascii="宋体" w:hAnsi="宋体" w:cs="宋体" w:eastAsia="宋体" w:hint="default"/>
                <w:sz w:val="15"/>
                <w:szCs w:val="15"/>
              </w:rPr>
              <w:t>1701SY0279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140,000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2017/12/8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2018-4-3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7"/>
              <w:jc w:val="right"/>
              <w:rPr>
                <w:rFonts w:ascii="宋体" w:hAnsi="宋体" w:cs="宋体" w:eastAsia="宋体" w:hint="default"/>
                <w:sz w:val="15"/>
                <w:szCs w:val="15"/>
              </w:rPr>
            </w:pPr>
            <w:r>
              <w:rPr>
                <w:rFonts w:ascii="宋体"/>
                <w:spacing w:val="-1"/>
                <w:sz w:val="15"/>
              </w:rPr>
              <w:t>1,929</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5"/>
                <w:szCs w:val="15"/>
              </w:rPr>
            </w:pPr>
            <w:r>
              <w:rPr>
                <w:rFonts w:ascii="宋体"/>
                <w:spacing w:val="-1"/>
                <w:sz w:val="15"/>
              </w:rPr>
              <w:t>140,000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pacing w:val="5"/>
                <w:sz w:val="15"/>
                <w:szCs w:val="15"/>
              </w:rPr>
              <w:t>中国邮政储蓄银行股份有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财智·盛盈</w:t>
            </w:r>
            <w:r>
              <w:rPr>
                <w:rFonts w:ascii="宋体" w:hAnsi="宋体" w:cs="宋体" w:eastAsia="宋体" w:hint="default"/>
                <w:spacing w:val="-42"/>
                <w:sz w:val="15"/>
                <w:szCs w:val="15"/>
              </w:rPr>
              <w:t> </w:t>
            </w:r>
            <w:r>
              <w:rPr>
                <w:rFonts w:ascii="宋体" w:hAnsi="宋体" w:cs="宋体" w:eastAsia="宋体" w:hint="default"/>
                <w:sz w:val="15"/>
                <w:szCs w:val="15"/>
              </w:rPr>
              <w:t>1701SY0284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2017/12/18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2018-2-6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6"/>
              <w:jc w:val="right"/>
              <w:rPr>
                <w:rFonts w:ascii="宋体" w:hAnsi="宋体" w:cs="宋体" w:eastAsia="宋体" w:hint="default"/>
                <w:sz w:val="15"/>
                <w:szCs w:val="15"/>
              </w:rPr>
            </w:pPr>
            <w:r>
              <w:rPr>
                <w:rFonts w:ascii="宋体"/>
                <w:sz w:val="15"/>
              </w:rPr>
              <w:t>60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5"/>
                <w:szCs w:val="15"/>
              </w:rPr>
            </w:pPr>
            <w:r>
              <w:rPr>
                <w:rFonts w:ascii="宋体"/>
                <w:spacing w:val="-2"/>
                <w:sz w:val="15"/>
              </w:rPr>
              <w:t>10,000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5"/>
                <w:sz w:val="15"/>
                <w:szCs w:val="15"/>
              </w:rPr>
              <w:t>中国邮政储蓄银行股份有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财富鑫鑫向荣</w:t>
            </w:r>
            <w:r>
              <w:rPr>
                <w:rFonts w:ascii="宋体" w:hAnsi="宋体" w:cs="宋体" w:eastAsia="宋体" w:hint="default"/>
                <w:spacing w:val="-44"/>
                <w:sz w:val="15"/>
                <w:szCs w:val="15"/>
              </w:rPr>
              <w:t> </w:t>
            </w:r>
            <w:r>
              <w:rPr>
                <w:rFonts w:ascii="宋体" w:hAnsi="宋体" w:cs="宋体" w:eastAsia="宋体" w:hint="default"/>
                <w:sz w:val="15"/>
                <w:szCs w:val="15"/>
              </w:rPr>
              <w:t>1100099C88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sz w:val="15"/>
              </w:rPr>
              <w:t>2018/2/8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5"/>
                <w:sz w:val="15"/>
                <w:szCs w:val="15"/>
              </w:rPr>
              <w:t>中国邮政储蓄银行股份有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财智·盛势</w:t>
            </w:r>
            <w:r>
              <w:rPr>
                <w:rFonts w:ascii="宋体" w:hAnsi="宋体" w:cs="宋体" w:eastAsia="宋体" w:hint="default"/>
                <w:spacing w:val="-42"/>
                <w:sz w:val="15"/>
                <w:szCs w:val="15"/>
              </w:rPr>
              <w:t> </w:t>
            </w:r>
            <w:r>
              <w:rPr>
                <w:rFonts w:ascii="宋体" w:hAnsi="宋体" w:cs="宋体" w:eastAsia="宋体" w:hint="default"/>
                <w:sz w:val="15"/>
                <w:szCs w:val="15"/>
              </w:rPr>
              <w:t>1801SS0008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30,000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2018/9/6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7"/>
              <w:jc w:val="right"/>
              <w:rPr>
                <w:rFonts w:ascii="宋体" w:hAnsi="宋体" w:cs="宋体" w:eastAsia="宋体" w:hint="default"/>
                <w:sz w:val="15"/>
                <w:szCs w:val="15"/>
              </w:rPr>
            </w:pPr>
            <w:r>
              <w:rPr>
                <w:rFonts w:ascii="宋体"/>
                <w:spacing w:val="-1"/>
                <w:sz w:val="15"/>
              </w:rPr>
              <w:t>729</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5"/>
                <w:szCs w:val="15"/>
              </w:rPr>
            </w:pPr>
            <w:r>
              <w:rPr>
                <w:rFonts w:ascii="宋体"/>
                <w:spacing w:val="-2"/>
                <w:sz w:val="15"/>
              </w:rPr>
              <w:t>30,000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5"/>
                <w:sz w:val="15"/>
                <w:szCs w:val="15"/>
              </w:rPr>
              <w:t>中国邮政储蓄银行股份有</w:t>
            </w:r>
          </w:p>
          <w:p>
            <w:pPr>
              <w:pStyle w:val="TableParagraph"/>
              <w:spacing w:line="240" w:lineRule="auto" w:before="1"/>
              <w:ind w:left="103"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5"/>
                <w:szCs w:val="15"/>
              </w:rPr>
            </w:pPr>
            <w:r>
              <w:rPr>
                <w:rFonts w:ascii="宋体" w:hAnsi="宋体" w:cs="宋体" w:eastAsia="宋体" w:hint="default"/>
                <w:sz w:val="15"/>
                <w:szCs w:val="15"/>
              </w:rPr>
              <w:t>财富日日升</w:t>
            </w:r>
            <w:r>
              <w:rPr>
                <w:rFonts w:ascii="宋体" w:hAnsi="宋体" w:cs="宋体" w:eastAsia="宋体" w:hint="default"/>
                <w:spacing w:val="-42"/>
                <w:sz w:val="15"/>
                <w:szCs w:val="15"/>
              </w:rPr>
              <w:t> </w:t>
            </w:r>
            <w:r>
              <w:rPr>
                <w:rFonts w:ascii="宋体" w:hAnsi="宋体" w:cs="宋体" w:eastAsia="宋体" w:hint="default"/>
                <w:sz w:val="15"/>
                <w:szCs w:val="15"/>
              </w:rPr>
              <w:t>0900099C93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宋体" w:hAnsi="宋体" w:cs="宋体" w:eastAsia="宋体" w:hint="default"/>
                <w:sz w:val="15"/>
                <w:szCs w:val="15"/>
              </w:rPr>
            </w:pPr>
            <w:r>
              <w:rPr>
                <w:rFonts w:ascii="宋体"/>
                <w:spacing w:val="-1"/>
                <w:sz w:val="15"/>
              </w:rPr>
              <w:t>140,000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5"/>
                <w:szCs w:val="15"/>
              </w:rPr>
            </w:pPr>
            <w:r>
              <w:rPr>
                <w:rFonts w:ascii="宋体"/>
                <w:sz w:val="15"/>
              </w:rPr>
              <w:t>2018/4/4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5"/>
                <w:szCs w:val="15"/>
              </w:rPr>
            </w:pPr>
            <w:r>
              <w:rPr>
                <w:rFonts w:ascii="宋体"/>
                <w:sz w:val="15"/>
              </w:rPr>
              <w:t>2018/4/9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240" w:lineRule="auto" w:before="1"/>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240" w:lineRule="auto" w:before="1"/>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240" w:lineRule="auto" w:before="1"/>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5"/>
                <w:szCs w:val="15"/>
              </w:rPr>
            </w:pPr>
            <w:r>
              <w:rPr>
                <w:rFonts w:ascii="宋体"/>
                <w:sz w:val="15"/>
              </w:rPr>
              <w:t>61</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宋体" w:hAnsi="宋体" w:cs="宋体" w:eastAsia="宋体" w:hint="default"/>
                <w:sz w:val="15"/>
                <w:szCs w:val="15"/>
              </w:rPr>
            </w:pPr>
            <w:r>
              <w:rPr>
                <w:rFonts w:ascii="宋体"/>
                <w:spacing w:val="-2"/>
                <w:sz w:val="15"/>
              </w:rPr>
              <w:t>140,000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5"/>
                <w:sz w:val="15"/>
                <w:szCs w:val="15"/>
              </w:rPr>
              <w:t>中国邮政储蓄银行股份有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财智·盛利</w:t>
            </w:r>
            <w:r>
              <w:rPr>
                <w:rFonts w:ascii="宋体" w:hAnsi="宋体" w:cs="宋体" w:eastAsia="宋体" w:hint="default"/>
                <w:spacing w:val="-42"/>
                <w:sz w:val="15"/>
                <w:szCs w:val="15"/>
              </w:rPr>
              <w:t> </w:t>
            </w:r>
            <w:r>
              <w:rPr>
                <w:rFonts w:ascii="宋体" w:hAnsi="宋体" w:cs="宋体" w:eastAsia="宋体" w:hint="default"/>
                <w:sz w:val="15"/>
                <w:szCs w:val="15"/>
              </w:rPr>
              <w:t>1801SL0038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140,000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sz w:val="15"/>
              </w:rPr>
              <w:t>2018/4/10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sz w:val="15"/>
              </w:rPr>
              <w:t>2018/10/9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7"/>
              <w:jc w:val="right"/>
              <w:rPr>
                <w:rFonts w:ascii="宋体" w:hAnsi="宋体" w:cs="宋体" w:eastAsia="宋体" w:hint="default"/>
                <w:sz w:val="15"/>
                <w:szCs w:val="15"/>
              </w:rPr>
            </w:pPr>
            <w:r>
              <w:rPr>
                <w:rFonts w:ascii="宋体"/>
                <w:spacing w:val="-1"/>
                <w:sz w:val="15"/>
              </w:rPr>
              <w:t>3,490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2"/>
                <w:sz w:val="15"/>
              </w:rPr>
              <w:t>140,000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5"/>
                <w:sz w:val="15"/>
                <w:szCs w:val="15"/>
              </w:rPr>
              <w:t>中国邮政储蓄银行股份有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财富鑫鑫向荣</w:t>
            </w:r>
            <w:r>
              <w:rPr>
                <w:rFonts w:ascii="宋体" w:hAnsi="宋体" w:cs="宋体" w:eastAsia="宋体" w:hint="default"/>
                <w:spacing w:val="-44"/>
                <w:sz w:val="15"/>
                <w:szCs w:val="15"/>
              </w:rPr>
              <w:t> </w:t>
            </w:r>
            <w:r>
              <w:rPr>
                <w:rFonts w:ascii="宋体" w:hAnsi="宋体" w:cs="宋体" w:eastAsia="宋体" w:hint="default"/>
                <w:sz w:val="15"/>
                <w:szCs w:val="15"/>
              </w:rPr>
              <w:t>1100099C88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30,000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2018/9/10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5"/>
                <w:sz w:val="15"/>
                <w:szCs w:val="15"/>
              </w:rPr>
              <w:t>中国邮政储蓄银行股份有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财富鑫鑫向荣</w:t>
            </w:r>
            <w:r>
              <w:rPr>
                <w:rFonts w:ascii="宋体" w:hAnsi="宋体" w:cs="宋体" w:eastAsia="宋体" w:hint="default"/>
                <w:spacing w:val="-44"/>
                <w:sz w:val="15"/>
                <w:szCs w:val="15"/>
              </w:rPr>
              <w:t> </w:t>
            </w:r>
            <w:r>
              <w:rPr>
                <w:rFonts w:ascii="宋体" w:hAnsi="宋体" w:cs="宋体" w:eastAsia="宋体" w:hint="default"/>
                <w:sz w:val="15"/>
                <w:szCs w:val="15"/>
              </w:rPr>
              <w:t>1100099C88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140,000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2018/10/11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招商证券股份有限公司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正前方分级债券</w:t>
            </w:r>
            <w:r>
              <w:rPr>
                <w:rFonts w:ascii="宋体" w:hAnsi="宋体" w:cs="宋体" w:eastAsia="宋体" w:hint="default"/>
                <w:spacing w:val="-39"/>
                <w:sz w:val="15"/>
                <w:szCs w:val="15"/>
              </w:rPr>
              <w:t> </w:t>
            </w:r>
            <w:r>
              <w:rPr>
                <w:rFonts w:ascii="宋体" w:hAnsi="宋体" w:cs="宋体" w:eastAsia="宋体" w:hint="default"/>
                <w:sz w:val="15"/>
                <w:szCs w:val="15"/>
              </w:rPr>
              <w:t>2</w:t>
            </w:r>
            <w:r>
              <w:rPr>
                <w:rFonts w:ascii="宋体" w:hAnsi="宋体" w:cs="宋体" w:eastAsia="宋体" w:hint="default"/>
                <w:spacing w:val="-36"/>
                <w:sz w:val="15"/>
                <w:szCs w:val="15"/>
              </w:rPr>
              <w:t> </w:t>
            </w:r>
            <w:r>
              <w:rPr>
                <w:rFonts w:ascii="宋体" w:hAnsi="宋体" w:cs="宋体" w:eastAsia="宋体" w:hint="default"/>
                <w:sz w:val="15"/>
                <w:szCs w:val="15"/>
              </w:rPr>
              <w:t>号基金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99,000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2016/5/20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2019/6/20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私募基</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金产品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中国工商银行</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易加益</w:t>
            </w:r>
            <w:r>
              <w:rPr>
                <w:rFonts w:ascii="宋体" w:hAnsi="宋体" w:cs="宋体" w:eastAsia="宋体" w:hint="default"/>
                <w:spacing w:val="-39"/>
                <w:sz w:val="15"/>
                <w:szCs w:val="15"/>
              </w:rPr>
              <w:t> </w:t>
            </w:r>
            <w:r>
              <w:rPr>
                <w:rFonts w:ascii="宋体" w:hAnsi="宋体" w:cs="宋体" w:eastAsia="宋体" w:hint="default"/>
                <w:sz w:val="15"/>
                <w:szCs w:val="15"/>
              </w:rPr>
              <w:t>2</w:t>
            </w:r>
            <w:r>
              <w:rPr>
                <w:rFonts w:ascii="宋体" w:hAnsi="宋体" w:cs="宋体" w:eastAsia="宋体" w:hint="default"/>
                <w:spacing w:val="-38"/>
                <w:sz w:val="15"/>
                <w:szCs w:val="15"/>
              </w:rPr>
              <w:t> </w:t>
            </w:r>
            <w:r>
              <w:rPr>
                <w:rFonts w:ascii="宋体" w:hAnsi="宋体" w:cs="宋体" w:eastAsia="宋体" w:hint="default"/>
                <w:sz w:val="15"/>
                <w:szCs w:val="15"/>
              </w:rPr>
              <w:t>号</w:t>
            </w:r>
            <w:r>
              <w:rPr>
                <w:rFonts w:ascii="宋体" w:hAnsi="宋体" w:cs="宋体" w:eastAsia="宋体" w:hint="default"/>
                <w:spacing w:val="-39"/>
                <w:sz w:val="15"/>
                <w:szCs w:val="15"/>
              </w:rPr>
              <w:t> </w:t>
            </w:r>
            <w:r>
              <w:rPr>
                <w:rFonts w:ascii="宋体" w:hAnsi="宋体" w:cs="宋体" w:eastAsia="宋体" w:hint="default"/>
                <w:sz w:val="15"/>
                <w:szCs w:val="15"/>
              </w:rPr>
              <w:t>plus</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16,000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sz w:val="15"/>
              </w:rPr>
              <w:t>2018/3/13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sz w:val="15"/>
              </w:rPr>
              <w:t>2018/4/26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6"/>
              <w:jc w:val="right"/>
              <w:rPr>
                <w:rFonts w:ascii="宋体" w:hAnsi="宋体" w:cs="宋体" w:eastAsia="宋体" w:hint="default"/>
                <w:sz w:val="15"/>
                <w:szCs w:val="15"/>
              </w:rPr>
            </w:pPr>
            <w:r>
              <w:rPr>
                <w:rFonts w:ascii="宋体"/>
                <w:sz w:val="15"/>
              </w:rPr>
              <w:t>60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2"/>
                <w:sz w:val="15"/>
              </w:rPr>
              <w:t>16,000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招商银行日益月鑫理财计划</w:t>
            </w:r>
            <w:r>
              <w:rPr>
                <w:rFonts w:ascii="宋体" w:hAnsi="宋体" w:cs="宋体" w:eastAsia="宋体" w:hint="default"/>
                <w:spacing w:val="-41"/>
                <w:sz w:val="15"/>
                <w:szCs w:val="15"/>
              </w:rPr>
              <w:t> </w:t>
            </w:r>
            <w:r>
              <w:rPr>
                <w:rFonts w:ascii="宋体" w:hAnsi="宋体" w:cs="宋体" w:eastAsia="宋体" w:hint="default"/>
                <w:sz w:val="15"/>
                <w:szCs w:val="15"/>
              </w:rPr>
              <w:t>B</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款（日益月鑫</w:t>
            </w:r>
            <w:r>
              <w:rPr>
                <w:rFonts w:ascii="宋体" w:hAnsi="宋体" w:cs="宋体" w:eastAsia="宋体" w:hint="default"/>
                <w:spacing w:val="-41"/>
                <w:sz w:val="15"/>
                <w:szCs w:val="15"/>
              </w:rPr>
              <w:t> </w:t>
            </w:r>
            <w:r>
              <w:rPr>
                <w:rFonts w:ascii="宋体" w:hAnsi="宋体" w:cs="宋体" w:eastAsia="宋体" w:hint="default"/>
                <w:sz w:val="15"/>
                <w:szCs w:val="15"/>
              </w:rPr>
              <w:t>90090</w:t>
            </w:r>
            <w:r>
              <w:rPr>
                <w:rFonts w:ascii="宋体" w:hAnsi="宋体" w:cs="宋体" w:eastAsia="宋体" w:hint="default"/>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1,800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2018/4/2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6"/>
              <w:jc w:val="right"/>
              <w:rPr>
                <w:rFonts w:ascii="宋体" w:hAnsi="宋体" w:cs="宋体" w:eastAsia="宋体" w:hint="default"/>
                <w:sz w:val="15"/>
                <w:szCs w:val="15"/>
              </w:rPr>
            </w:pPr>
            <w:r>
              <w:rPr>
                <w:rFonts w:ascii="宋体"/>
                <w:sz w:val="15"/>
              </w:rPr>
              <w:t>22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5"/>
                <w:szCs w:val="15"/>
              </w:rPr>
            </w:pPr>
            <w:r>
              <w:rPr>
                <w:rFonts w:ascii="宋体"/>
                <w:spacing w:val="-1"/>
                <w:sz w:val="15"/>
              </w:rPr>
              <w:t>1,800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招商银行公司理财日益月鑫</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90090</w:t>
            </w:r>
            <w:r>
              <w:rPr>
                <w:rFonts w:ascii="宋体" w:hAnsi="宋体" w:cs="宋体" w:eastAsia="宋体" w:hint="default"/>
                <w:spacing w:val="-40"/>
                <w:sz w:val="15"/>
                <w:szCs w:val="15"/>
              </w:rPr>
              <w:t> </w:t>
            </w:r>
            <w:r>
              <w:rPr>
                <w:rFonts w:ascii="宋体" w:hAnsi="宋体" w:cs="宋体" w:eastAsia="宋体" w:hint="default"/>
                <w:sz w:val="15"/>
                <w:szCs w:val="15"/>
              </w:rPr>
              <w:t>号理财计划</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2017/12/1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2018/1/2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6"/>
              <w:jc w:val="right"/>
              <w:rPr>
                <w:rFonts w:ascii="宋体" w:hAnsi="宋体" w:cs="宋体" w:eastAsia="宋体" w:hint="default"/>
                <w:sz w:val="15"/>
                <w:szCs w:val="15"/>
              </w:rPr>
            </w:pPr>
            <w:r>
              <w:rPr>
                <w:rFonts w:ascii="宋体"/>
                <w:sz w:val="15"/>
              </w:rPr>
              <w:t>20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5"/>
                <w:szCs w:val="15"/>
              </w:rPr>
            </w:pPr>
            <w:r>
              <w:rPr>
                <w:rFonts w:ascii="宋体"/>
                <w:spacing w:val="-1"/>
                <w:sz w:val="15"/>
              </w:rPr>
              <w:t>5,000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招商银行日益月鑫理财计划</w:t>
            </w:r>
            <w:r>
              <w:rPr>
                <w:rFonts w:ascii="宋体" w:hAnsi="宋体" w:cs="宋体" w:eastAsia="宋体" w:hint="default"/>
                <w:spacing w:val="-41"/>
                <w:sz w:val="15"/>
                <w:szCs w:val="15"/>
              </w:rPr>
              <w:t> </w:t>
            </w:r>
            <w:r>
              <w:rPr>
                <w:rFonts w:ascii="宋体" w:hAnsi="宋体" w:cs="宋体" w:eastAsia="宋体" w:hint="default"/>
                <w:sz w:val="15"/>
                <w:szCs w:val="15"/>
              </w:rPr>
              <w:t>B</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款（日益月鑫</w:t>
            </w:r>
            <w:r>
              <w:rPr>
                <w:rFonts w:ascii="宋体" w:hAnsi="宋体" w:cs="宋体" w:eastAsia="宋体" w:hint="default"/>
                <w:spacing w:val="-41"/>
                <w:sz w:val="15"/>
                <w:szCs w:val="15"/>
              </w:rPr>
              <w:t> </w:t>
            </w:r>
            <w:r>
              <w:rPr>
                <w:rFonts w:ascii="宋体" w:hAnsi="宋体" w:cs="宋体" w:eastAsia="宋体" w:hint="default"/>
                <w:sz w:val="15"/>
                <w:szCs w:val="15"/>
              </w:rPr>
              <w:t>90090</w:t>
            </w:r>
            <w:r>
              <w:rPr>
                <w:rFonts w:ascii="宋体" w:hAnsi="宋体" w:cs="宋体" w:eastAsia="宋体" w:hint="default"/>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3,000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sz w:val="15"/>
              </w:rPr>
              <w:t>2018/1/5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sz w:val="15"/>
              </w:rPr>
              <w:t>2018/4/8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6"/>
              <w:jc w:val="right"/>
              <w:rPr>
                <w:rFonts w:ascii="宋体" w:hAnsi="宋体" w:cs="宋体" w:eastAsia="宋体" w:hint="default"/>
                <w:sz w:val="15"/>
                <w:szCs w:val="15"/>
              </w:rPr>
            </w:pPr>
            <w:r>
              <w:rPr>
                <w:rFonts w:ascii="宋体"/>
                <w:sz w:val="15"/>
              </w:rPr>
              <w:t>38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3,000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日益月鑫系列理财计划</w:t>
            </w:r>
            <w:r>
              <w:rPr>
                <w:rFonts w:ascii="宋体" w:hAnsi="宋体" w:cs="宋体" w:eastAsia="宋体" w:hint="default"/>
                <w:spacing w:val="-39"/>
                <w:sz w:val="15"/>
                <w:szCs w:val="15"/>
              </w:rPr>
              <w:t> </w:t>
            </w:r>
            <w:r>
              <w:rPr>
                <w:rFonts w:ascii="宋体" w:hAnsi="宋体" w:cs="宋体" w:eastAsia="宋体" w:hint="default"/>
                <w:sz w:val="15"/>
                <w:szCs w:val="15"/>
              </w:rPr>
              <w:t>A</w:t>
            </w:r>
            <w:r>
              <w:rPr>
                <w:rFonts w:ascii="宋体" w:hAnsi="宋体" w:cs="宋体" w:eastAsia="宋体" w:hint="default"/>
                <w:spacing w:val="-38"/>
                <w:sz w:val="15"/>
                <w:szCs w:val="15"/>
              </w:rPr>
              <w:t> </w:t>
            </w:r>
            <w:r>
              <w:rPr>
                <w:rFonts w:ascii="宋体" w:hAnsi="宋体" w:cs="宋体" w:eastAsia="宋体" w:hint="default"/>
                <w:sz w:val="15"/>
                <w:szCs w:val="15"/>
              </w:rPr>
              <w:t>款</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/B</w:t>
            </w:r>
            <w:r>
              <w:rPr>
                <w:rFonts w:ascii="宋体" w:hAnsi="宋体" w:cs="宋体" w:eastAsia="宋体" w:hint="default"/>
                <w:spacing w:val="-38"/>
                <w:sz w:val="15"/>
                <w:szCs w:val="15"/>
              </w:rPr>
              <w:t> </w:t>
            </w:r>
            <w:r>
              <w:rPr>
                <w:rFonts w:ascii="宋体" w:hAnsi="宋体" w:cs="宋体" w:eastAsia="宋体" w:hint="default"/>
                <w:sz w:val="15"/>
                <w:szCs w:val="15"/>
              </w:rPr>
              <w:t>款（日益月鑫</w:t>
            </w:r>
            <w:r>
              <w:rPr>
                <w:rFonts w:ascii="宋体" w:hAnsi="宋体" w:cs="宋体" w:eastAsia="宋体" w:hint="default"/>
                <w:spacing w:val="-41"/>
                <w:sz w:val="15"/>
                <w:szCs w:val="15"/>
              </w:rPr>
              <w:t> </w:t>
            </w:r>
            <w:r>
              <w:rPr>
                <w:rFonts w:ascii="宋体" w:hAnsi="宋体" w:cs="宋体" w:eastAsia="宋体" w:hint="default"/>
                <w:sz w:val="15"/>
                <w:szCs w:val="15"/>
              </w:rPr>
              <w:t>90014</w:t>
            </w:r>
            <w:r>
              <w:rPr>
                <w:rFonts w:ascii="宋体" w:hAnsi="宋体" w:cs="宋体" w:eastAsia="宋体" w:hint="default"/>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2,000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sz w:val="15"/>
              </w:rPr>
              <w:t>2018/1/5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sz w:val="15"/>
              </w:rPr>
              <w:t>2018/1/19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7"/>
              <w:jc w:val="right"/>
              <w:rPr>
                <w:rFonts w:ascii="宋体" w:hAnsi="宋体" w:cs="宋体" w:eastAsia="宋体" w:hint="default"/>
                <w:sz w:val="15"/>
                <w:szCs w:val="15"/>
              </w:rPr>
            </w:pPr>
            <w:r>
              <w:rPr>
                <w:rFonts w:ascii="宋体"/>
                <w:w w:val="100"/>
                <w:sz w:val="15"/>
              </w:rPr>
              <w:t>4</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2,000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招商银行公司理财日益月鑫</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2017/12/1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2018/3/2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6"/>
              <w:jc w:val="right"/>
              <w:rPr>
                <w:rFonts w:ascii="宋体" w:hAnsi="宋体" w:cs="宋体" w:eastAsia="宋体" w:hint="default"/>
                <w:sz w:val="15"/>
                <w:szCs w:val="15"/>
              </w:rPr>
            </w:pPr>
            <w:r>
              <w:rPr>
                <w:rFonts w:ascii="宋体"/>
                <w:sz w:val="15"/>
              </w:rPr>
              <w:t>62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5,000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320" w:bottom="140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07" w:type="dxa"/>
        <w:tblLayout w:type="fixed"/>
        <w:tblCellMar>
          <w:top w:w="0" w:type="dxa"/>
          <w:left w:w="0" w:type="dxa"/>
          <w:bottom w:w="0" w:type="dxa"/>
          <w:right w:w="0" w:type="dxa"/>
        </w:tblCellMar>
        <w:tblLook w:val="01E0"/>
      </w:tblPr>
      <w:tblGrid>
        <w:gridCol w:w="1952"/>
        <w:gridCol w:w="2127"/>
        <w:gridCol w:w="852"/>
        <w:gridCol w:w="991"/>
        <w:gridCol w:w="992"/>
        <w:gridCol w:w="566"/>
        <w:gridCol w:w="710"/>
        <w:gridCol w:w="566"/>
        <w:gridCol w:w="566"/>
        <w:gridCol w:w="710"/>
        <w:gridCol w:w="709"/>
        <w:gridCol w:w="859"/>
        <w:gridCol w:w="847"/>
        <w:gridCol w:w="706"/>
        <w:gridCol w:w="936"/>
      </w:tblGrid>
      <w:tr>
        <w:trPr>
          <w:trHeight w:val="787"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5"/>
              <w:ind w:right="0"/>
              <w:jc w:val="center"/>
              <w:rPr>
                <w:rFonts w:ascii="宋体" w:hAnsi="宋体" w:cs="宋体" w:eastAsia="宋体" w:hint="default"/>
                <w:sz w:val="15"/>
                <w:szCs w:val="15"/>
              </w:rPr>
            </w:pPr>
            <w:r>
              <w:rPr>
                <w:rFonts w:ascii="宋体" w:hAnsi="宋体" w:cs="宋体" w:eastAsia="宋体" w:hint="default"/>
                <w:sz w:val="15"/>
                <w:szCs w:val="15"/>
              </w:rPr>
              <w:t>受托人</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5"/>
              <w:ind w:left="607" w:right="0"/>
              <w:jc w:val="left"/>
              <w:rPr>
                <w:rFonts w:ascii="宋体" w:hAnsi="宋体" w:cs="宋体" w:eastAsia="宋体" w:hint="default"/>
                <w:sz w:val="15"/>
                <w:szCs w:val="15"/>
              </w:rPr>
            </w:pPr>
            <w:r>
              <w:rPr>
                <w:rFonts w:ascii="宋体" w:hAnsi="宋体" w:cs="宋体" w:eastAsia="宋体" w:hint="default"/>
                <w:sz w:val="15"/>
                <w:szCs w:val="15"/>
              </w:rPr>
              <w:t>委托理财类型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71" w:right="118" w:hanging="152"/>
              <w:jc w:val="left"/>
              <w:rPr>
                <w:rFonts w:ascii="宋体" w:hAnsi="宋体" w:cs="宋体" w:eastAsia="宋体" w:hint="default"/>
                <w:sz w:val="15"/>
                <w:szCs w:val="15"/>
              </w:rPr>
            </w:pPr>
            <w:r>
              <w:rPr>
                <w:rFonts w:ascii="宋体" w:hAnsi="宋体" w:cs="宋体" w:eastAsia="宋体" w:hint="default"/>
                <w:sz w:val="15"/>
                <w:szCs w:val="15"/>
              </w:rPr>
              <w:t>委托理财</w:t>
            </w:r>
            <w:r>
              <w:rPr>
                <w:rFonts w:ascii="宋体" w:hAnsi="宋体" w:cs="宋体" w:eastAsia="宋体" w:hint="default"/>
                <w:w w:val="100"/>
                <w:sz w:val="15"/>
                <w:szCs w:val="15"/>
              </w:rPr>
              <w:t> </w:t>
            </w:r>
            <w:r>
              <w:rPr>
                <w:rFonts w:ascii="宋体" w:hAnsi="宋体" w:cs="宋体" w:eastAsia="宋体" w:hint="default"/>
                <w:sz w:val="15"/>
                <w:szCs w:val="15"/>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63" w:right="110" w:hanging="149"/>
              <w:jc w:val="left"/>
              <w:rPr>
                <w:rFonts w:ascii="宋体" w:hAnsi="宋体" w:cs="宋体" w:eastAsia="宋体" w:hint="default"/>
                <w:sz w:val="15"/>
                <w:szCs w:val="15"/>
              </w:rPr>
            </w:pPr>
            <w:r>
              <w:rPr>
                <w:rFonts w:ascii="宋体" w:hAnsi="宋体" w:cs="宋体" w:eastAsia="宋体" w:hint="default"/>
                <w:sz w:val="15"/>
                <w:szCs w:val="15"/>
              </w:rPr>
              <w:t>委托理财起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始日期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63" w:right="111" w:hanging="149"/>
              <w:jc w:val="left"/>
              <w:rPr>
                <w:rFonts w:ascii="宋体" w:hAnsi="宋体" w:cs="宋体" w:eastAsia="宋体" w:hint="default"/>
                <w:sz w:val="15"/>
                <w:szCs w:val="15"/>
              </w:rPr>
            </w:pPr>
            <w:r>
              <w:rPr>
                <w:rFonts w:ascii="宋体" w:hAnsi="宋体" w:cs="宋体" w:eastAsia="宋体" w:hint="default"/>
                <w:sz w:val="15"/>
                <w:szCs w:val="15"/>
              </w:rPr>
              <w:t>委托理财终</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止日期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27" w:right="125"/>
              <w:jc w:val="left"/>
              <w:rPr>
                <w:rFonts w:ascii="宋体" w:hAnsi="宋体" w:cs="宋体" w:eastAsia="宋体" w:hint="default"/>
                <w:sz w:val="15"/>
                <w:szCs w:val="15"/>
              </w:rPr>
            </w:pPr>
            <w:r>
              <w:rPr>
                <w:rFonts w:ascii="宋体" w:hAnsi="宋体" w:cs="宋体" w:eastAsia="宋体" w:hint="default"/>
                <w:sz w:val="15"/>
                <w:szCs w:val="15"/>
              </w:rPr>
              <w:t>资金</w:t>
            </w:r>
            <w:r>
              <w:rPr>
                <w:rFonts w:ascii="宋体" w:hAnsi="宋体" w:cs="宋体" w:eastAsia="宋体" w:hint="default"/>
                <w:spacing w:val="-73"/>
                <w:sz w:val="15"/>
                <w:szCs w:val="15"/>
              </w:rPr>
              <w:t> </w:t>
            </w:r>
            <w:r>
              <w:rPr>
                <w:rFonts w:ascii="宋体" w:hAnsi="宋体" w:cs="宋体" w:eastAsia="宋体" w:hint="default"/>
                <w:sz w:val="15"/>
                <w:szCs w:val="15"/>
              </w:rPr>
              <w:t>来源</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99" w:right="197"/>
              <w:jc w:val="left"/>
              <w:rPr>
                <w:rFonts w:ascii="宋体" w:hAnsi="宋体" w:cs="宋体" w:eastAsia="宋体" w:hint="default"/>
                <w:sz w:val="15"/>
                <w:szCs w:val="15"/>
              </w:rPr>
            </w:pPr>
            <w:r>
              <w:rPr>
                <w:rFonts w:ascii="宋体" w:hAnsi="宋体" w:cs="宋体" w:eastAsia="宋体" w:hint="default"/>
                <w:sz w:val="15"/>
                <w:szCs w:val="15"/>
              </w:rPr>
              <w:t>资金</w:t>
            </w:r>
            <w:r>
              <w:rPr>
                <w:rFonts w:ascii="宋体" w:hAnsi="宋体" w:cs="宋体" w:eastAsia="宋体" w:hint="default"/>
                <w:spacing w:val="-73"/>
                <w:sz w:val="15"/>
                <w:szCs w:val="15"/>
              </w:rPr>
              <w:t> </w:t>
            </w:r>
            <w:r>
              <w:rPr>
                <w:rFonts w:ascii="宋体" w:hAnsi="宋体" w:cs="宋体" w:eastAsia="宋体" w:hint="default"/>
                <w:sz w:val="15"/>
                <w:szCs w:val="15"/>
              </w:rPr>
              <w:t>投向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27" w:right="125"/>
              <w:jc w:val="both"/>
              <w:rPr>
                <w:rFonts w:ascii="宋体" w:hAnsi="宋体" w:cs="宋体" w:eastAsia="宋体" w:hint="default"/>
                <w:sz w:val="15"/>
                <w:szCs w:val="15"/>
              </w:rPr>
            </w:pPr>
            <w:r>
              <w:rPr>
                <w:rFonts w:ascii="宋体" w:hAnsi="宋体" w:cs="宋体" w:eastAsia="宋体" w:hint="default"/>
                <w:sz w:val="15"/>
                <w:szCs w:val="15"/>
              </w:rPr>
              <w:t>报酬</w:t>
            </w:r>
            <w:r>
              <w:rPr>
                <w:rFonts w:ascii="宋体" w:hAnsi="宋体" w:cs="宋体" w:eastAsia="宋体" w:hint="default"/>
                <w:spacing w:val="-73"/>
                <w:sz w:val="15"/>
                <w:szCs w:val="15"/>
              </w:rPr>
              <w:t> </w:t>
            </w:r>
            <w:r>
              <w:rPr>
                <w:rFonts w:ascii="宋体" w:hAnsi="宋体" w:cs="宋体" w:eastAsia="宋体" w:hint="default"/>
                <w:sz w:val="15"/>
                <w:szCs w:val="15"/>
              </w:rPr>
              <w:t>确定</w:t>
            </w:r>
            <w:r>
              <w:rPr>
                <w:rFonts w:ascii="宋体" w:hAnsi="宋体" w:cs="宋体" w:eastAsia="宋体" w:hint="default"/>
                <w:spacing w:val="-73"/>
                <w:sz w:val="15"/>
                <w:szCs w:val="15"/>
              </w:rPr>
              <w:t> </w:t>
            </w:r>
            <w:r>
              <w:rPr>
                <w:rFonts w:ascii="宋体" w:hAnsi="宋体" w:cs="宋体" w:eastAsia="宋体" w:hint="default"/>
                <w:sz w:val="15"/>
                <w:szCs w:val="15"/>
              </w:rPr>
              <w:t>方式</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7" w:right="0"/>
              <w:jc w:val="left"/>
              <w:rPr>
                <w:rFonts w:ascii="宋体" w:hAnsi="宋体" w:cs="宋体" w:eastAsia="宋体" w:hint="default"/>
                <w:sz w:val="15"/>
                <w:szCs w:val="15"/>
              </w:rPr>
            </w:pPr>
            <w:r>
              <w:rPr>
                <w:rFonts w:ascii="宋体" w:hAnsi="宋体" w:cs="宋体" w:eastAsia="宋体" w:hint="default"/>
                <w:sz w:val="15"/>
                <w:szCs w:val="15"/>
              </w:rPr>
              <w:t>年化</w:t>
            </w:r>
          </w:p>
          <w:p>
            <w:pPr>
              <w:pStyle w:val="TableParagraph"/>
              <w:spacing w:line="240" w:lineRule="auto"/>
              <w:ind w:left="201" w:right="125" w:hanging="75"/>
              <w:jc w:val="left"/>
              <w:rPr>
                <w:rFonts w:ascii="宋体" w:hAnsi="宋体" w:cs="宋体" w:eastAsia="宋体" w:hint="default"/>
                <w:sz w:val="15"/>
                <w:szCs w:val="15"/>
              </w:rPr>
            </w:pPr>
            <w:r>
              <w:rPr>
                <w:rFonts w:ascii="宋体" w:hAnsi="宋体" w:cs="宋体" w:eastAsia="宋体" w:hint="default"/>
                <w:sz w:val="15"/>
                <w:szCs w:val="15"/>
              </w:rPr>
              <w:t>收益</w:t>
            </w:r>
            <w:r>
              <w:rPr>
                <w:rFonts w:ascii="宋体" w:hAnsi="宋体" w:cs="宋体" w:eastAsia="宋体" w:hint="default"/>
                <w:spacing w:val="-73"/>
                <w:sz w:val="15"/>
                <w:szCs w:val="15"/>
              </w:rPr>
              <w:t> </w:t>
            </w:r>
            <w:r>
              <w:rPr>
                <w:rFonts w:ascii="宋体" w:hAnsi="宋体" w:cs="宋体" w:eastAsia="宋体" w:hint="default"/>
                <w:sz w:val="15"/>
                <w:szCs w:val="15"/>
              </w:rPr>
              <w:t>率</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 w:right="0"/>
              <w:jc w:val="center"/>
              <w:rPr>
                <w:rFonts w:ascii="宋体" w:hAnsi="宋体" w:cs="宋体" w:eastAsia="宋体" w:hint="default"/>
                <w:sz w:val="15"/>
                <w:szCs w:val="15"/>
              </w:rPr>
            </w:pPr>
            <w:r>
              <w:rPr>
                <w:rFonts w:ascii="宋体" w:hAnsi="宋体" w:cs="宋体" w:eastAsia="宋体" w:hint="default"/>
                <w:sz w:val="15"/>
                <w:szCs w:val="15"/>
              </w:rPr>
              <w:t>预期收</w:t>
            </w:r>
          </w:p>
          <w:p>
            <w:pPr>
              <w:pStyle w:val="TableParagraph"/>
              <w:spacing w:line="240" w:lineRule="auto"/>
              <w:ind w:left="124" w:right="121" w:hanging="4"/>
              <w:jc w:val="center"/>
              <w:rPr>
                <w:rFonts w:ascii="宋体" w:hAnsi="宋体" w:cs="宋体" w:eastAsia="宋体" w:hint="default"/>
                <w:sz w:val="15"/>
                <w:szCs w:val="15"/>
              </w:rPr>
            </w:pPr>
            <w:r>
              <w:rPr>
                <w:rFonts w:ascii="宋体" w:hAnsi="宋体" w:cs="宋体" w:eastAsia="宋体" w:hint="default"/>
                <w:sz w:val="15"/>
                <w:szCs w:val="15"/>
              </w:rPr>
              <w:t>益</w:t>
            </w:r>
            <w:r>
              <w:rPr>
                <w:rFonts w:ascii="宋体" w:hAnsi="宋体" w:cs="宋体" w:eastAsia="宋体" w:hint="default"/>
                <w:w w:val="100"/>
                <w:sz w:val="15"/>
                <w:szCs w:val="15"/>
              </w:rPr>
              <w:t> </w:t>
            </w:r>
            <w:r>
              <w:rPr>
                <w:rFonts w:ascii="宋体" w:hAnsi="宋体" w:cs="宋体" w:eastAsia="宋体" w:hint="default"/>
                <w:sz w:val="15"/>
                <w:szCs w:val="15"/>
              </w:rPr>
              <w:t>(</w:t>
            </w:r>
            <w:r>
              <w:rPr>
                <w:rFonts w:ascii="宋体" w:hAnsi="宋体" w:cs="宋体" w:eastAsia="宋体" w:hint="default"/>
                <w:sz w:val="15"/>
                <w:szCs w:val="15"/>
              </w:rPr>
              <w:t>如有</w:t>
            </w:r>
            <w:r>
              <w:rPr>
                <w:rFonts w:ascii="宋体" w:hAnsi="宋体" w:cs="宋体" w:eastAsia="宋体" w:hint="default"/>
                <w:sz w:val="15"/>
                <w:szCs w:val="15"/>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25" w:right="119" w:hanging="3"/>
              <w:jc w:val="center"/>
              <w:rPr>
                <w:rFonts w:ascii="宋体" w:hAnsi="宋体" w:cs="宋体" w:eastAsia="宋体" w:hint="default"/>
                <w:sz w:val="15"/>
                <w:szCs w:val="15"/>
              </w:rPr>
            </w:pPr>
            <w:r>
              <w:rPr>
                <w:rFonts w:ascii="宋体" w:hAnsi="宋体" w:cs="宋体" w:eastAsia="宋体" w:hint="default"/>
                <w:sz w:val="15"/>
                <w:szCs w:val="15"/>
              </w:rPr>
              <w:t>实际</w:t>
            </w:r>
            <w:r>
              <w:rPr>
                <w:rFonts w:ascii="宋体" w:hAnsi="宋体" w:cs="宋体" w:eastAsia="宋体" w:hint="default"/>
                <w:w w:val="100"/>
                <w:sz w:val="15"/>
                <w:szCs w:val="15"/>
              </w:rPr>
              <w:t> </w:t>
            </w:r>
            <w:r>
              <w:rPr>
                <w:rFonts w:ascii="宋体" w:hAnsi="宋体" w:cs="宋体" w:eastAsia="宋体" w:hint="default"/>
                <w:sz w:val="15"/>
                <w:szCs w:val="15"/>
              </w:rPr>
              <w:t>收益或</w:t>
            </w:r>
            <w:r>
              <w:rPr>
                <w:rFonts w:ascii="宋体" w:hAnsi="宋体" w:cs="宋体" w:eastAsia="宋体" w:hint="default"/>
                <w:w w:val="100"/>
                <w:sz w:val="15"/>
                <w:szCs w:val="15"/>
              </w:rPr>
              <w:t> </w:t>
            </w:r>
            <w:r>
              <w:rPr>
                <w:rFonts w:ascii="宋体" w:hAnsi="宋体" w:cs="宋体" w:eastAsia="宋体" w:hint="default"/>
                <w:sz w:val="15"/>
                <w:szCs w:val="15"/>
              </w:rPr>
              <w:t>损失</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73" w:right="122" w:hanging="152"/>
              <w:jc w:val="left"/>
              <w:rPr>
                <w:rFonts w:ascii="宋体" w:hAnsi="宋体" w:cs="宋体" w:eastAsia="宋体" w:hint="default"/>
                <w:sz w:val="15"/>
                <w:szCs w:val="15"/>
              </w:rPr>
            </w:pPr>
            <w:r>
              <w:rPr>
                <w:rFonts w:ascii="宋体" w:hAnsi="宋体" w:cs="宋体" w:eastAsia="宋体" w:hint="default"/>
                <w:sz w:val="15"/>
                <w:szCs w:val="15"/>
              </w:rPr>
              <w:t>实际收回</w:t>
            </w:r>
            <w:r>
              <w:rPr>
                <w:rFonts w:ascii="宋体" w:hAnsi="宋体" w:cs="宋体" w:eastAsia="宋体" w:hint="default"/>
                <w:w w:val="100"/>
                <w:sz w:val="15"/>
                <w:szCs w:val="15"/>
              </w:rPr>
              <w:t> </w:t>
            </w:r>
            <w:r>
              <w:rPr>
                <w:rFonts w:ascii="宋体" w:hAnsi="宋体" w:cs="宋体" w:eastAsia="宋体" w:hint="default"/>
                <w:sz w:val="15"/>
                <w:szCs w:val="15"/>
              </w:rPr>
              <w:t>情况</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15" w:right="118"/>
              <w:jc w:val="left"/>
              <w:rPr>
                <w:rFonts w:ascii="宋体" w:hAnsi="宋体" w:cs="宋体" w:eastAsia="宋体" w:hint="default"/>
                <w:sz w:val="15"/>
                <w:szCs w:val="15"/>
              </w:rPr>
            </w:pPr>
            <w:r>
              <w:rPr>
                <w:rFonts w:ascii="宋体" w:hAnsi="宋体" w:cs="宋体" w:eastAsia="宋体" w:hint="default"/>
                <w:sz w:val="15"/>
                <w:szCs w:val="15"/>
              </w:rPr>
              <w:t>是否经过</w:t>
            </w:r>
            <w:r>
              <w:rPr>
                <w:rFonts w:ascii="宋体" w:hAnsi="宋体" w:cs="宋体" w:eastAsia="宋体" w:hint="default"/>
                <w:w w:val="100"/>
                <w:sz w:val="15"/>
                <w:szCs w:val="15"/>
              </w:rPr>
              <w:t> </w:t>
            </w:r>
            <w:r>
              <w:rPr>
                <w:rFonts w:ascii="宋体" w:hAnsi="宋体" w:cs="宋体" w:eastAsia="宋体" w:hint="default"/>
                <w:sz w:val="15"/>
                <w:szCs w:val="15"/>
              </w:rPr>
              <w:t>法定程序</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2" w:right="0"/>
              <w:jc w:val="both"/>
              <w:rPr>
                <w:rFonts w:ascii="宋体" w:hAnsi="宋体" w:cs="宋体" w:eastAsia="宋体" w:hint="default"/>
                <w:sz w:val="15"/>
                <w:szCs w:val="15"/>
              </w:rPr>
            </w:pPr>
            <w:r>
              <w:rPr>
                <w:rFonts w:ascii="宋体" w:hAnsi="宋体" w:cs="宋体" w:eastAsia="宋体" w:hint="default"/>
                <w:sz w:val="15"/>
                <w:szCs w:val="15"/>
              </w:rPr>
              <w:t>未来是</w:t>
            </w:r>
          </w:p>
          <w:p>
            <w:pPr>
              <w:pStyle w:val="TableParagraph"/>
              <w:spacing w:line="240" w:lineRule="auto"/>
              <w:ind w:left="122" w:right="119"/>
              <w:jc w:val="both"/>
              <w:rPr>
                <w:rFonts w:ascii="宋体" w:hAnsi="宋体" w:cs="宋体" w:eastAsia="宋体" w:hint="default"/>
                <w:sz w:val="15"/>
                <w:szCs w:val="15"/>
              </w:rPr>
            </w:pPr>
            <w:r>
              <w:rPr>
                <w:rFonts w:ascii="宋体" w:hAnsi="宋体" w:cs="宋体" w:eastAsia="宋体" w:hint="default"/>
                <w:sz w:val="15"/>
                <w:szCs w:val="15"/>
              </w:rPr>
              <w:t>否有委</w:t>
            </w:r>
            <w:r>
              <w:rPr>
                <w:rFonts w:ascii="宋体" w:hAnsi="宋体" w:cs="宋体" w:eastAsia="宋体" w:hint="default"/>
                <w:spacing w:val="-72"/>
                <w:sz w:val="15"/>
                <w:szCs w:val="15"/>
              </w:rPr>
              <w:t> </w:t>
            </w:r>
            <w:r>
              <w:rPr>
                <w:rFonts w:ascii="宋体" w:hAnsi="宋体" w:cs="宋体" w:eastAsia="宋体" w:hint="default"/>
                <w:sz w:val="15"/>
                <w:szCs w:val="15"/>
              </w:rPr>
              <w:t>托理财</w:t>
            </w:r>
            <w:r>
              <w:rPr>
                <w:rFonts w:ascii="宋体" w:hAnsi="宋体" w:cs="宋体" w:eastAsia="宋体" w:hint="default"/>
                <w:spacing w:val="-72"/>
                <w:sz w:val="15"/>
                <w:szCs w:val="15"/>
              </w:rPr>
              <w:t> </w:t>
            </w:r>
            <w:r>
              <w:rPr>
                <w:rFonts w:ascii="宋体" w:hAnsi="宋体" w:cs="宋体" w:eastAsia="宋体" w:hint="default"/>
                <w:sz w:val="15"/>
                <w:szCs w:val="15"/>
              </w:rPr>
              <w:t>计划</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23" w:right="98"/>
              <w:jc w:val="right"/>
              <w:rPr>
                <w:rFonts w:ascii="宋体" w:hAnsi="宋体" w:cs="宋体" w:eastAsia="宋体" w:hint="default"/>
                <w:sz w:val="15"/>
                <w:szCs w:val="15"/>
              </w:rPr>
            </w:pPr>
            <w:r>
              <w:rPr>
                <w:rFonts w:ascii="宋体" w:hAnsi="宋体" w:cs="宋体" w:eastAsia="宋体" w:hint="default"/>
                <w:spacing w:val="-1"/>
                <w:sz w:val="15"/>
                <w:szCs w:val="15"/>
              </w:rPr>
              <w:t>减值准备</w:t>
            </w:r>
            <w:r>
              <w:rPr>
                <w:rFonts w:ascii="宋体" w:hAnsi="宋体" w:cs="宋体" w:eastAsia="宋体" w:hint="default"/>
                <w:w w:val="100"/>
                <w:sz w:val="15"/>
                <w:szCs w:val="15"/>
              </w:rPr>
              <w:t> </w:t>
            </w:r>
            <w:r>
              <w:rPr>
                <w:rFonts w:ascii="宋体" w:hAnsi="宋体" w:cs="宋体" w:eastAsia="宋体" w:hint="default"/>
                <w:spacing w:val="-1"/>
                <w:sz w:val="15"/>
                <w:szCs w:val="15"/>
              </w:rPr>
              <w:t>计提金额</w:t>
            </w:r>
            <w:r>
              <w:rPr>
                <w:rFonts w:ascii="宋体" w:hAnsi="宋体" w:cs="宋体" w:eastAsia="宋体" w:hint="default"/>
                <w:w w:val="100"/>
                <w:sz w:val="15"/>
                <w:szCs w:val="15"/>
              </w:rPr>
              <w:t> </w:t>
            </w:r>
            <w:r>
              <w:rPr>
                <w:rFonts w:ascii="宋体" w:hAnsi="宋体" w:cs="宋体" w:eastAsia="宋体" w:hint="default"/>
                <w:spacing w:val="-1"/>
                <w:sz w:val="15"/>
                <w:szCs w:val="15"/>
              </w:rPr>
              <w:t>(</w:t>
            </w:r>
            <w:r>
              <w:rPr>
                <w:rFonts w:ascii="宋体" w:hAnsi="宋体" w:cs="宋体" w:eastAsia="宋体" w:hint="default"/>
                <w:spacing w:val="-1"/>
                <w:sz w:val="15"/>
                <w:szCs w:val="15"/>
              </w:rPr>
              <w:t>如有</w:t>
            </w:r>
            <w:r>
              <w:rPr>
                <w:rFonts w:ascii="宋体" w:hAnsi="宋体" w:cs="宋体" w:eastAsia="宋体" w:hint="default"/>
                <w:spacing w:val="-1"/>
                <w:sz w:val="15"/>
                <w:szCs w:val="15"/>
              </w:rPr>
              <w:t>)</w:t>
            </w:r>
          </w:p>
        </w:tc>
      </w:tr>
      <w:tr>
        <w:trPr>
          <w:trHeight w:val="204" w:hRule="exact"/>
        </w:trPr>
        <w:tc>
          <w:tcPr>
            <w:tcW w:w="1952"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90090</w:t>
            </w:r>
            <w:r>
              <w:rPr>
                <w:rFonts w:ascii="宋体" w:hAnsi="宋体" w:cs="宋体" w:eastAsia="宋体" w:hint="default"/>
                <w:spacing w:val="-40"/>
                <w:sz w:val="15"/>
                <w:szCs w:val="15"/>
              </w:rPr>
              <w:t> </w:t>
            </w:r>
            <w:r>
              <w:rPr>
                <w:rFonts w:ascii="宋体" w:hAnsi="宋体" w:cs="宋体" w:eastAsia="宋体" w:hint="default"/>
                <w:sz w:val="15"/>
                <w:szCs w:val="15"/>
              </w:rPr>
              <w:t>号理财计划</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安享稳健</w:t>
            </w:r>
            <w:r>
              <w:rPr>
                <w:rFonts w:ascii="宋体" w:hAnsi="宋体" w:cs="宋体" w:eastAsia="宋体" w:hint="default"/>
                <w:spacing w:val="-45"/>
                <w:sz w:val="15"/>
                <w:szCs w:val="15"/>
              </w:rPr>
              <w:t> </w:t>
            </w:r>
            <w:r>
              <w:rPr>
                <w:rFonts w:ascii="宋体" w:hAnsi="宋体" w:cs="宋体" w:eastAsia="宋体" w:hint="default"/>
                <w:sz w:val="15"/>
                <w:szCs w:val="15"/>
              </w:rPr>
              <w:t>2017110100295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3,000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2017/11/13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2018/3/19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6"/>
              <w:jc w:val="right"/>
              <w:rPr>
                <w:rFonts w:ascii="宋体" w:hAnsi="宋体" w:cs="宋体" w:eastAsia="宋体" w:hint="default"/>
                <w:sz w:val="15"/>
                <w:szCs w:val="15"/>
              </w:rPr>
            </w:pPr>
            <w:r>
              <w:rPr>
                <w:rFonts w:ascii="宋体"/>
                <w:sz w:val="15"/>
              </w:rPr>
              <w:t>48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5"/>
                <w:szCs w:val="15"/>
              </w:rPr>
            </w:pPr>
            <w:r>
              <w:rPr>
                <w:rFonts w:ascii="宋体"/>
                <w:spacing w:val="-1"/>
                <w:sz w:val="15"/>
              </w:rPr>
              <w:t>3,000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招商银行日益月鑫理财计划</w:t>
            </w:r>
            <w:r>
              <w:rPr>
                <w:rFonts w:ascii="宋体" w:hAnsi="宋体" w:cs="宋体" w:eastAsia="宋体" w:hint="default"/>
                <w:spacing w:val="-41"/>
                <w:sz w:val="15"/>
                <w:szCs w:val="15"/>
              </w:rPr>
              <w:t> </w:t>
            </w:r>
            <w:r>
              <w:rPr>
                <w:rFonts w:ascii="宋体" w:hAnsi="宋体" w:cs="宋体" w:eastAsia="宋体" w:hint="default"/>
                <w:sz w:val="15"/>
                <w:szCs w:val="15"/>
              </w:rPr>
              <w:t>B</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款（日益月鑫</w:t>
            </w:r>
            <w:r>
              <w:rPr>
                <w:rFonts w:ascii="宋体" w:hAnsi="宋体" w:cs="宋体" w:eastAsia="宋体" w:hint="default"/>
                <w:spacing w:val="-41"/>
                <w:sz w:val="15"/>
                <w:szCs w:val="15"/>
              </w:rPr>
              <w:t> </w:t>
            </w:r>
            <w:r>
              <w:rPr>
                <w:rFonts w:ascii="宋体" w:hAnsi="宋体" w:cs="宋体" w:eastAsia="宋体" w:hint="default"/>
                <w:sz w:val="15"/>
                <w:szCs w:val="15"/>
              </w:rPr>
              <w:t>90090</w:t>
            </w:r>
            <w:r>
              <w:rPr>
                <w:rFonts w:ascii="宋体" w:hAnsi="宋体" w:cs="宋体" w:eastAsia="宋体" w:hint="default"/>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4,000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sz w:val="15"/>
              </w:rPr>
              <w:t>2018/3/6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sz w:val="15"/>
              </w:rPr>
              <w:t>2018/6/4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6"/>
              <w:jc w:val="right"/>
              <w:rPr>
                <w:rFonts w:ascii="宋体" w:hAnsi="宋体" w:cs="宋体" w:eastAsia="宋体" w:hint="default"/>
                <w:sz w:val="15"/>
                <w:szCs w:val="15"/>
              </w:rPr>
            </w:pPr>
            <w:r>
              <w:rPr>
                <w:rFonts w:ascii="宋体"/>
                <w:sz w:val="15"/>
              </w:rPr>
              <w:t>47</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4,000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招商银行日益月鑫进取型理</w:t>
            </w: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z w:val="15"/>
                <w:szCs w:val="15"/>
              </w:rPr>
              <w:t>财计划</w:t>
            </w:r>
            <w:r>
              <w:rPr>
                <w:rFonts w:ascii="宋体" w:hAnsi="宋体" w:cs="宋体" w:eastAsia="宋体" w:hint="default"/>
                <w:spacing w:val="-34"/>
                <w:sz w:val="15"/>
                <w:szCs w:val="15"/>
              </w:rPr>
              <w:t> </w:t>
            </w:r>
            <w:r>
              <w:rPr>
                <w:rFonts w:ascii="宋体" w:hAnsi="宋体" w:cs="宋体" w:eastAsia="宋体" w:hint="default"/>
                <w:sz w:val="15"/>
                <w:szCs w:val="15"/>
              </w:rPr>
              <w:t>B</w:t>
            </w:r>
            <w:r>
              <w:rPr>
                <w:rFonts w:ascii="宋体" w:hAnsi="宋体" w:cs="宋体" w:eastAsia="宋体" w:hint="default"/>
                <w:spacing w:val="-31"/>
                <w:sz w:val="15"/>
                <w:szCs w:val="15"/>
              </w:rPr>
              <w:t> </w:t>
            </w:r>
            <w:r>
              <w:rPr>
                <w:rFonts w:ascii="宋体" w:hAnsi="宋体" w:cs="宋体" w:eastAsia="宋体" w:hint="default"/>
                <w:spacing w:val="-6"/>
                <w:sz w:val="15"/>
                <w:szCs w:val="15"/>
              </w:rPr>
              <w:t>款（日益月鑫进取型</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91090</w:t>
            </w:r>
            <w:r>
              <w:rPr>
                <w:rFonts w:ascii="宋体" w:hAnsi="宋体" w:cs="宋体" w:eastAsia="宋体" w:hint="default"/>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sz w:val="15"/>
              </w:rPr>
              <w:t>2018/3/20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sz w:val="15"/>
              </w:rPr>
              <w:t>2018/6/19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149"/>
              <w:jc w:val="left"/>
              <w:rPr>
                <w:rFonts w:ascii="宋体" w:hAnsi="宋体" w:cs="宋体" w:eastAsia="宋体" w:hint="default"/>
                <w:sz w:val="15"/>
                <w:szCs w:val="15"/>
              </w:rPr>
            </w:pPr>
            <w:r>
              <w:rPr>
                <w:rFonts w:ascii="宋体" w:hAnsi="宋体" w:cs="宋体" w:eastAsia="宋体" w:hint="default"/>
                <w:sz w:val="15"/>
                <w:szCs w:val="15"/>
              </w:rPr>
              <w:t>自有</w:t>
            </w:r>
            <w:r>
              <w:rPr>
                <w:rFonts w:ascii="宋体" w:hAnsi="宋体" w:cs="宋体" w:eastAsia="宋体" w:hint="default"/>
                <w:spacing w:val="-73"/>
                <w:sz w:val="15"/>
                <w:szCs w:val="15"/>
              </w:rPr>
              <w:t> </w:t>
            </w: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143"/>
              <w:jc w:val="left"/>
              <w:rPr>
                <w:rFonts w:ascii="宋体" w:hAnsi="宋体" w:cs="宋体" w:eastAsia="宋体" w:hint="default"/>
                <w:sz w:val="15"/>
                <w:szCs w:val="15"/>
              </w:rPr>
            </w:pPr>
            <w:r>
              <w:rPr>
                <w:rFonts w:ascii="宋体" w:hAnsi="宋体" w:cs="宋体" w:eastAsia="宋体" w:hint="default"/>
                <w:sz w:val="15"/>
                <w:szCs w:val="15"/>
              </w:rPr>
              <w:t>银行理</w:t>
            </w:r>
            <w:r>
              <w:rPr>
                <w:rFonts w:ascii="宋体" w:hAnsi="宋体" w:cs="宋体" w:eastAsia="宋体" w:hint="default"/>
                <w:spacing w:val="-72"/>
                <w:sz w:val="15"/>
                <w:szCs w:val="15"/>
              </w:rPr>
              <w:t> </w:t>
            </w: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149"/>
              <w:jc w:val="left"/>
              <w:rPr>
                <w:rFonts w:ascii="宋体" w:hAnsi="宋体" w:cs="宋体" w:eastAsia="宋体" w:hint="default"/>
                <w:sz w:val="15"/>
                <w:szCs w:val="15"/>
              </w:rPr>
            </w:pPr>
            <w:r>
              <w:rPr>
                <w:rFonts w:ascii="宋体" w:hAnsi="宋体" w:cs="宋体" w:eastAsia="宋体" w:hint="default"/>
                <w:sz w:val="15"/>
                <w:szCs w:val="15"/>
              </w:rPr>
              <w:t>浮动</w:t>
            </w:r>
            <w:r>
              <w:rPr>
                <w:rFonts w:ascii="宋体" w:hAnsi="宋体" w:cs="宋体" w:eastAsia="宋体" w:hint="default"/>
                <w:spacing w:val="-73"/>
                <w:sz w:val="15"/>
                <w:szCs w:val="15"/>
              </w:rPr>
              <w:t> </w:t>
            </w: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96"/>
              <w:jc w:val="right"/>
              <w:rPr>
                <w:rFonts w:ascii="宋体" w:hAnsi="宋体" w:cs="宋体" w:eastAsia="宋体" w:hint="default"/>
                <w:sz w:val="15"/>
                <w:szCs w:val="15"/>
              </w:rPr>
            </w:pPr>
            <w:r>
              <w:rPr>
                <w:rFonts w:ascii="宋体"/>
                <w:sz w:val="15"/>
              </w:rPr>
              <w:t>36</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3,000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招商银行日益月鑫理财计划</w:t>
            </w:r>
            <w:r>
              <w:rPr>
                <w:rFonts w:ascii="宋体" w:hAnsi="宋体" w:cs="宋体" w:eastAsia="宋体" w:hint="default"/>
                <w:spacing w:val="-41"/>
                <w:sz w:val="15"/>
                <w:szCs w:val="15"/>
              </w:rPr>
              <w:t> </w:t>
            </w:r>
            <w:r>
              <w:rPr>
                <w:rFonts w:ascii="宋体" w:hAnsi="宋体" w:cs="宋体" w:eastAsia="宋体" w:hint="default"/>
                <w:sz w:val="15"/>
                <w:szCs w:val="15"/>
              </w:rPr>
              <w:t>B</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款（日益月鑫</w:t>
            </w:r>
            <w:r>
              <w:rPr>
                <w:rFonts w:ascii="宋体" w:hAnsi="宋体" w:cs="宋体" w:eastAsia="宋体" w:hint="default"/>
                <w:spacing w:val="-41"/>
                <w:sz w:val="15"/>
                <w:szCs w:val="15"/>
              </w:rPr>
              <w:t> </w:t>
            </w:r>
            <w:r>
              <w:rPr>
                <w:rFonts w:ascii="宋体" w:hAnsi="宋体" w:cs="宋体" w:eastAsia="宋体" w:hint="default"/>
                <w:sz w:val="15"/>
                <w:szCs w:val="15"/>
              </w:rPr>
              <w:t>90090</w:t>
            </w:r>
            <w:r>
              <w:rPr>
                <w:rFonts w:ascii="宋体" w:hAnsi="宋体" w:cs="宋体" w:eastAsia="宋体" w:hint="default"/>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2,000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2018/7/3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6"/>
              <w:jc w:val="right"/>
              <w:rPr>
                <w:rFonts w:ascii="宋体" w:hAnsi="宋体" w:cs="宋体" w:eastAsia="宋体" w:hint="default"/>
                <w:sz w:val="15"/>
                <w:szCs w:val="15"/>
              </w:rPr>
            </w:pPr>
            <w:r>
              <w:rPr>
                <w:rFonts w:ascii="宋体"/>
                <w:sz w:val="15"/>
              </w:rPr>
              <w:t>23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5"/>
                <w:szCs w:val="15"/>
              </w:rPr>
            </w:pPr>
            <w:r>
              <w:rPr>
                <w:rFonts w:ascii="宋体"/>
                <w:spacing w:val="-1"/>
                <w:sz w:val="15"/>
              </w:rPr>
              <w:t>2,000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招商银行日益月鑫理财计划</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A </w:t>
            </w:r>
            <w:r>
              <w:rPr>
                <w:rFonts w:ascii="宋体" w:hAnsi="宋体" w:cs="宋体" w:eastAsia="宋体" w:hint="default"/>
                <w:sz w:val="15"/>
                <w:szCs w:val="15"/>
              </w:rPr>
              <w:t>款（日益月鑫</w:t>
            </w:r>
            <w:r>
              <w:rPr>
                <w:rFonts w:ascii="宋体" w:hAnsi="宋体" w:cs="宋体" w:eastAsia="宋体" w:hint="default"/>
                <w:spacing w:val="-40"/>
                <w:sz w:val="15"/>
                <w:szCs w:val="15"/>
              </w:rPr>
              <w:t> </w:t>
            </w:r>
            <w:r>
              <w:rPr>
                <w:rFonts w:ascii="宋体" w:hAnsi="宋体" w:cs="宋体" w:eastAsia="宋体" w:hint="default"/>
                <w:sz w:val="15"/>
                <w:szCs w:val="15"/>
              </w:rPr>
              <w:t>90007</w:t>
            </w:r>
            <w:r>
              <w:rPr>
                <w:rFonts w:ascii="宋体" w:hAnsi="宋体" w:cs="宋体" w:eastAsia="宋体" w:hint="default"/>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3,000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sz w:val="15"/>
              </w:rPr>
              <w:t>2018/4/10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sz w:val="15"/>
              </w:rPr>
              <w:t>2018/4/17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7"/>
              <w:jc w:val="right"/>
              <w:rPr>
                <w:rFonts w:ascii="宋体" w:hAnsi="宋体" w:cs="宋体" w:eastAsia="宋体" w:hint="default"/>
                <w:sz w:val="15"/>
                <w:szCs w:val="15"/>
              </w:rPr>
            </w:pPr>
            <w:r>
              <w:rPr>
                <w:rFonts w:ascii="宋体"/>
                <w:w w:val="100"/>
                <w:sz w:val="15"/>
              </w:rPr>
              <w:t>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3,000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安享稳健</w:t>
            </w:r>
            <w:r>
              <w:rPr>
                <w:rFonts w:ascii="宋体" w:hAnsi="宋体" w:cs="宋体" w:eastAsia="宋体" w:hint="default"/>
                <w:spacing w:val="-45"/>
                <w:sz w:val="15"/>
                <w:szCs w:val="15"/>
              </w:rPr>
              <w:t> </w:t>
            </w:r>
            <w:r>
              <w:rPr>
                <w:rFonts w:ascii="宋体" w:hAnsi="宋体" w:cs="宋体" w:eastAsia="宋体" w:hint="default"/>
                <w:sz w:val="15"/>
                <w:szCs w:val="15"/>
              </w:rPr>
              <w:t>2017110100420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2,000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sz w:val="15"/>
              </w:rPr>
              <w:t>2017/11/16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sz w:val="15"/>
              </w:rPr>
              <w:t>2018/4/18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6"/>
              <w:jc w:val="right"/>
              <w:rPr>
                <w:rFonts w:ascii="宋体" w:hAnsi="宋体" w:cs="宋体" w:eastAsia="宋体" w:hint="default"/>
                <w:sz w:val="15"/>
                <w:szCs w:val="15"/>
              </w:rPr>
            </w:pPr>
            <w:r>
              <w:rPr>
                <w:rFonts w:ascii="宋体"/>
                <w:sz w:val="15"/>
              </w:rPr>
              <w:t>42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2,000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招商银行日益月鑫理财计划</w:t>
            </w:r>
            <w:r>
              <w:rPr>
                <w:rFonts w:ascii="宋体" w:hAnsi="宋体" w:cs="宋体" w:eastAsia="宋体" w:hint="default"/>
                <w:spacing w:val="-41"/>
                <w:sz w:val="15"/>
                <w:szCs w:val="15"/>
              </w:rPr>
              <w:t> </w:t>
            </w:r>
            <w:r>
              <w:rPr>
                <w:rFonts w:ascii="宋体" w:hAnsi="宋体" w:cs="宋体" w:eastAsia="宋体" w:hint="default"/>
                <w:sz w:val="15"/>
                <w:szCs w:val="15"/>
              </w:rPr>
              <w:t>B</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款（日益月鑫</w:t>
            </w:r>
            <w:r>
              <w:rPr>
                <w:rFonts w:ascii="宋体" w:hAnsi="宋体" w:cs="宋体" w:eastAsia="宋体" w:hint="default"/>
                <w:spacing w:val="-41"/>
                <w:sz w:val="15"/>
                <w:szCs w:val="15"/>
              </w:rPr>
              <w:t> </w:t>
            </w:r>
            <w:r>
              <w:rPr>
                <w:rFonts w:ascii="宋体" w:hAnsi="宋体" w:cs="宋体" w:eastAsia="宋体" w:hint="default"/>
                <w:sz w:val="15"/>
                <w:szCs w:val="15"/>
              </w:rPr>
              <w:t>90090</w:t>
            </w:r>
            <w:r>
              <w:rPr>
                <w:rFonts w:ascii="宋体" w:hAnsi="宋体" w:cs="宋体" w:eastAsia="宋体" w:hint="default"/>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3,000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2018/4/19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2018/7/18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6"/>
              <w:jc w:val="right"/>
              <w:rPr>
                <w:rFonts w:ascii="宋体" w:hAnsi="宋体" w:cs="宋体" w:eastAsia="宋体" w:hint="default"/>
                <w:sz w:val="15"/>
                <w:szCs w:val="15"/>
              </w:rPr>
            </w:pPr>
            <w:r>
              <w:rPr>
                <w:rFonts w:ascii="宋体"/>
                <w:sz w:val="15"/>
              </w:rPr>
              <w:t>35</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5"/>
                <w:szCs w:val="15"/>
              </w:rPr>
            </w:pPr>
            <w:r>
              <w:rPr>
                <w:rFonts w:ascii="宋体"/>
                <w:spacing w:val="-1"/>
                <w:sz w:val="15"/>
              </w:rPr>
              <w:t>3,000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安享稳健</w:t>
            </w:r>
            <w:r>
              <w:rPr>
                <w:rFonts w:ascii="宋体" w:hAnsi="宋体" w:cs="宋体" w:eastAsia="宋体" w:hint="default"/>
                <w:spacing w:val="-45"/>
                <w:sz w:val="15"/>
                <w:szCs w:val="15"/>
              </w:rPr>
              <w:t> </w:t>
            </w:r>
            <w:r>
              <w:rPr>
                <w:rFonts w:ascii="宋体" w:hAnsi="宋体" w:cs="宋体" w:eastAsia="宋体" w:hint="default"/>
                <w:sz w:val="15"/>
                <w:szCs w:val="15"/>
              </w:rPr>
              <w:t>2017110100421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2,950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2017/11/16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2018/5/16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6"/>
              <w:jc w:val="right"/>
              <w:rPr>
                <w:rFonts w:ascii="宋体" w:hAnsi="宋体" w:cs="宋体" w:eastAsia="宋体" w:hint="default"/>
                <w:sz w:val="15"/>
                <w:szCs w:val="15"/>
              </w:rPr>
            </w:pPr>
            <w:r>
              <w:rPr>
                <w:rFonts w:ascii="宋体"/>
                <w:sz w:val="15"/>
              </w:rPr>
              <w:t>74</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5"/>
                <w:szCs w:val="15"/>
              </w:rPr>
            </w:pPr>
            <w:r>
              <w:rPr>
                <w:rFonts w:ascii="宋体"/>
                <w:spacing w:val="-1"/>
                <w:sz w:val="15"/>
              </w:rPr>
              <w:t>2,950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招商银行点金公司理财日益</w:t>
            </w:r>
          </w:p>
          <w:p>
            <w:pPr>
              <w:pStyle w:val="TableParagraph"/>
              <w:spacing w:line="240" w:lineRule="auto"/>
              <w:ind w:left="103" w:right="358"/>
              <w:jc w:val="left"/>
              <w:rPr>
                <w:rFonts w:ascii="宋体" w:hAnsi="宋体" w:cs="宋体" w:eastAsia="宋体" w:hint="default"/>
                <w:sz w:val="15"/>
                <w:szCs w:val="15"/>
              </w:rPr>
            </w:pPr>
            <w:r>
              <w:rPr>
                <w:rFonts w:ascii="宋体" w:hAnsi="宋体" w:cs="宋体" w:eastAsia="宋体" w:hint="default"/>
                <w:spacing w:val="-2"/>
                <w:sz w:val="15"/>
                <w:szCs w:val="15"/>
              </w:rPr>
              <w:t>月鑫理财计划（日益月鑫</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92090</w:t>
            </w:r>
            <w:r>
              <w:rPr>
                <w:rFonts w:ascii="宋体" w:hAnsi="宋体" w:cs="宋体" w:eastAsia="宋体" w:hint="default"/>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sz w:val="15"/>
              </w:rPr>
              <w:t>2018/5/17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sz w:val="15"/>
              </w:rPr>
              <w:t>2018/8/15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149"/>
              <w:jc w:val="left"/>
              <w:rPr>
                <w:rFonts w:ascii="宋体" w:hAnsi="宋体" w:cs="宋体" w:eastAsia="宋体" w:hint="default"/>
                <w:sz w:val="15"/>
                <w:szCs w:val="15"/>
              </w:rPr>
            </w:pPr>
            <w:r>
              <w:rPr>
                <w:rFonts w:ascii="宋体" w:hAnsi="宋体" w:cs="宋体" w:eastAsia="宋体" w:hint="default"/>
                <w:sz w:val="15"/>
                <w:szCs w:val="15"/>
              </w:rPr>
              <w:t>自有</w:t>
            </w:r>
            <w:r>
              <w:rPr>
                <w:rFonts w:ascii="宋体" w:hAnsi="宋体" w:cs="宋体" w:eastAsia="宋体" w:hint="default"/>
                <w:spacing w:val="-73"/>
                <w:sz w:val="15"/>
                <w:szCs w:val="15"/>
              </w:rPr>
              <w:t> </w:t>
            </w: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143"/>
              <w:jc w:val="left"/>
              <w:rPr>
                <w:rFonts w:ascii="宋体" w:hAnsi="宋体" w:cs="宋体" w:eastAsia="宋体" w:hint="default"/>
                <w:sz w:val="15"/>
                <w:szCs w:val="15"/>
              </w:rPr>
            </w:pPr>
            <w:r>
              <w:rPr>
                <w:rFonts w:ascii="宋体" w:hAnsi="宋体" w:cs="宋体" w:eastAsia="宋体" w:hint="default"/>
                <w:sz w:val="15"/>
                <w:szCs w:val="15"/>
              </w:rPr>
              <w:t>银行理</w:t>
            </w:r>
            <w:r>
              <w:rPr>
                <w:rFonts w:ascii="宋体" w:hAnsi="宋体" w:cs="宋体" w:eastAsia="宋体" w:hint="default"/>
                <w:spacing w:val="-72"/>
                <w:sz w:val="15"/>
                <w:szCs w:val="15"/>
              </w:rPr>
              <w:t> </w:t>
            </w: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149"/>
              <w:jc w:val="left"/>
              <w:rPr>
                <w:rFonts w:ascii="宋体" w:hAnsi="宋体" w:cs="宋体" w:eastAsia="宋体" w:hint="default"/>
                <w:sz w:val="15"/>
                <w:szCs w:val="15"/>
              </w:rPr>
            </w:pPr>
            <w:r>
              <w:rPr>
                <w:rFonts w:ascii="宋体" w:hAnsi="宋体" w:cs="宋体" w:eastAsia="宋体" w:hint="default"/>
                <w:sz w:val="15"/>
                <w:szCs w:val="15"/>
              </w:rPr>
              <w:t>浮动</w:t>
            </w:r>
            <w:r>
              <w:rPr>
                <w:rFonts w:ascii="宋体" w:hAnsi="宋体" w:cs="宋体" w:eastAsia="宋体" w:hint="default"/>
                <w:spacing w:val="-73"/>
                <w:sz w:val="15"/>
                <w:szCs w:val="15"/>
              </w:rPr>
              <w:t> </w:t>
            </w: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96"/>
              <w:jc w:val="right"/>
              <w:rPr>
                <w:rFonts w:ascii="宋体" w:hAnsi="宋体" w:cs="宋体" w:eastAsia="宋体" w:hint="default"/>
                <w:sz w:val="15"/>
                <w:szCs w:val="15"/>
              </w:rPr>
            </w:pPr>
            <w:r>
              <w:rPr>
                <w:rFonts w:ascii="宋体"/>
                <w:sz w:val="15"/>
              </w:rPr>
              <w:t>34</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3,000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招商银行日益月鑫理财计划</w:t>
            </w:r>
            <w:r>
              <w:rPr>
                <w:rFonts w:ascii="宋体" w:hAnsi="宋体" w:cs="宋体" w:eastAsia="宋体" w:hint="default"/>
                <w:spacing w:val="-41"/>
                <w:sz w:val="15"/>
                <w:szCs w:val="15"/>
              </w:rPr>
              <w:t> </w:t>
            </w:r>
            <w:r>
              <w:rPr>
                <w:rFonts w:ascii="宋体" w:hAnsi="宋体" w:cs="宋体" w:eastAsia="宋体" w:hint="default"/>
                <w:sz w:val="15"/>
                <w:szCs w:val="15"/>
              </w:rPr>
              <w:t>B</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款（日益月鑫</w:t>
            </w:r>
            <w:r>
              <w:rPr>
                <w:rFonts w:ascii="宋体" w:hAnsi="宋体" w:cs="宋体" w:eastAsia="宋体" w:hint="default"/>
                <w:spacing w:val="-41"/>
                <w:sz w:val="15"/>
                <w:szCs w:val="15"/>
              </w:rPr>
              <w:t> </w:t>
            </w:r>
            <w:r>
              <w:rPr>
                <w:rFonts w:ascii="宋体" w:hAnsi="宋体" w:cs="宋体" w:eastAsia="宋体" w:hint="default"/>
                <w:sz w:val="15"/>
                <w:szCs w:val="15"/>
              </w:rPr>
              <w:t>90090</w:t>
            </w:r>
            <w:r>
              <w:rPr>
                <w:rFonts w:ascii="宋体" w:hAnsi="宋体" w:cs="宋体" w:eastAsia="宋体" w:hint="default"/>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4,000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2018/9/4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6"/>
              <w:jc w:val="right"/>
              <w:rPr>
                <w:rFonts w:ascii="宋体" w:hAnsi="宋体" w:cs="宋体" w:eastAsia="宋体" w:hint="default"/>
                <w:sz w:val="15"/>
                <w:szCs w:val="15"/>
              </w:rPr>
            </w:pPr>
            <w:r>
              <w:rPr>
                <w:rFonts w:ascii="宋体"/>
                <w:sz w:val="15"/>
              </w:rPr>
              <w:t>45</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5"/>
                <w:szCs w:val="15"/>
              </w:rPr>
            </w:pPr>
            <w:r>
              <w:rPr>
                <w:rFonts w:ascii="宋体"/>
                <w:spacing w:val="-1"/>
                <w:sz w:val="15"/>
              </w:rPr>
              <w:t>4,000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招商银行点金公司理财日益</w:t>
            </w:r>
          </w:p>
          <w:p>
            <w:pPr>
              <w:pStyle w:val="TableParagraph"/>
              <w:spacing w:line="240" w:lineRule="auto"/>
              <w:ind w:left="103" w:right="358"/>
              <w:jc w:val="left"/>
              <w:rPr>
                <w:rFonts w:ascii="宋体" w:hAnsi="宋体" w:cs="宋体" w:eastAsia="宋体" w:hint="default"/>
                <w:sz w:val="15"/>
                <w:szCs w:val="15"/>
              </w:rPr>
            </w:pPr>
            <w:r>
              <w:rPr>
                <w:rFonts w:ascii="宋体" w:hAnsi="宋体" w:cs="宋体" w:eastAsia="宋体" w:hint="default"/>
                <w:spacing w:val="-2"/>
                <w:sz w:val="15"/>
                <w:szCs w:val="15"/>
              </w:rPr>
              <w:t>月鑫理财计划（日益月鑫</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92060</w:t>
            </w:r>
            <w:r>
              <w:rPr>
                <w:rFonts w:ascii="宋体" w:hAnsi="宋体" w:cs="宋体" w:eastAsia="宋体" w:hint="default"/>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sz w:val="15"/>
              </w:rPr>
              <w:t>2018/6/13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sz w:val="15"/>
              </w:rPr>
              <w:t>2018/8/13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49"/>
              <w:jc w:val="left"/>
              <w:rPr>
                <w:rFonts w:ascii="宋体" w:hAnsi="宋体" w:cs="宋体" w:eastAsia="宋体" w:hint="default"/>
                <w:sz w:val="15"/>
                <w:szCs w:val="15"/>
              </w:rPr>
            </w:pPr>
            <w:r>
              <w:rPr>
                <w:rFonts w:ascii="宋体" w:hAnsi="宋体" w:cs="宋体" w:eastAsia="宋体" w:hint="default"/>
                <w:sz w:val="15"/>
                <w:szCs w:val="15"/>
              </w:rPr>
              <w:t>自有</w:t>
            </w:r>
            <w:r>
              <w:rPr>
                <w:rFonts w:ascii="宋体" w:hAnsi="宋体" w:cs="宋体" w:eastAsia="宋体" w:hint="default"/>
                <w:spacing w:val="-73"/>
                <w:sz w:val="15"/>
                <w:szCs w:val="15"/>
              </w:rPr>
              <w:t> </w:t>
            </w: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43"/>
              <w:jc w:val="left"/>
              <w:rPr>
                <w:rFonts w:ascii="宋体" w:hAnsi="宋体" w:cs="宋体" w:eastAsia="宋体" w:hint="default"/>
                <w:sz w:val="15"/>
                <w:szCs w:val="15"/>
              </w:rPr>
            </w:pPr>
            <w:r>
              <w:rPr>
                <w:rFonts w:ascii="宋体" w:hAnsi="宋体" w:cs="宋体" w:eastAsia="宋体" w:hint="default"/>
                <w:sz w:val="15"/>
                <w:szCs w:val="15"/>
              </w:rPr>
              <w:t>银行理</w:t>
            </w:r>
            <w:r>
              <w:rPr>
                <w:rFonts w:ascii="宋体" w:hAnsi="宋体" w:cs="宋体" w:eastAsia="宋体" w:hint="default"/>
                <w:spacing w:val="-72"/>
                <w:sz w:val="15"/>
                <w:szCs w:val="15"/>
              </w:rPr>
              <w:t> </w:t>
            </w: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49"/>
              <w:jc w:val="left"/>
              <w:rPr>
                <w:rFonts w:ascii="宋体" w:hAnsi="宋体" w:cs="宋体" w:eastAsia="宋体" w:hint="default"/>
                <w:sz w:val="15"/>
                <w:szCs w:val="15"/>
              </w:rPr>
            </w:pPr>
            <w:r>
              <w:rPr>
                <w:rFonts w:ascii="宋体" w:hAnsi="宋体" w:cs="宋体" w:eastAsia="宋体" w:hint="default"/>
                <w:sz w:val="15"/>
                <w:szCs w:val="15"/>
              </w:rPr>
              <w:t>浮动</w:t>
            </w:r>
            <w:r>
              <w:rPr>
                <w:rFonts w:ascii="宋体" w:hAnsi="宋体" w:cs="宋体" w:eastAsia="宋体" w:hint="default"/>
                <w:spacing w:val="-73"/>
                <w:sz w:val="15"/>
                <w:szCs w:val="15"/>
              </w:rPr>
              <w:t> </w:t>
            </w: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96"/>
              <w:jc w:val="right"/>
              <w:rPr>
                <w:rFonts w:ascii="宋体" w:hAnsi="宋体" w:cs="宋体" w:eastAsia="宋体" w:hint="default"/>
                <w:sz w:val="15"/>
                <w:szCs w:val="15"/>
              </w:rPr>
            </w:pPr>
            <w:r>
              <w:rPr>
                <w:rFonts w:ascii="宋体"/>
                <w:sz w:val="15"/>
              </w:rPr>
              <w:t>23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3,000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招商银行日益月鑫进取型理</w:t>
            </w:r>
          </w:p>
          <w:p>
            <w:pPr>
              <w:pStyle w:val="TableParagraph"/>
              <w:spacing w:line="240" w:lineRule="auto"/>
              <w:ind w:left="103" w:right="171"/>
              <w:jc w:val="left"/>
              <w:rPr>
                <w:rFonts w:ascii="宋体" w:hAnsi="宋体" w:cs="宋体" w:eastAsia="宋体" w:hint="default"/>
                <w:sz w:val="15"/>
                <w:szCs w:val="15"/>
              </w:rPr>
            </w:pPr>
            <w:r>
              <w:rPr>
                <w:rFonts w:ascii="宋体" w:hAnsi="宋体" w:cs="宋体" w:eastAsia="宋体" w:hint="default"/>
                <w:sz w:val="15"/>
                <w:szCs w:val="15"/>
              </w:rPr>
              <w:t>财计划 </w:t>
            </w:r>
            <w:r>
              <w:rPr>
                <w:rFonts w:ascii="宋体" w:hAnsi="宋体" w:cs="宋体" w:eastAsia="宋体" w:hint="default"/>
                <w:sz w:val="15"/>
                <w:szCs w:val="15"/>
              </w:rPr>
              <w:t>B</w:t>
            </w:r>
            <w:r>
              <w:rPr>
                <w:rFonts w:ascii="宋体" w:hAnsi="宋体" w:cs="宋体" w:eastAsia="宋体" w:hint="default"/>
                <w:spacing w:val="-38"/>
                <w:sz w:val="15"/>
                <w:szCs w:val="15"/>
              </w:rPr>
              <w:t> </w:t>
            </w:r>
            <w:r>
              <w:rPr>
                <w:rFonts w:ascii="宋体" w:hAnsi="宋体" w:cs="宋体" w:eastAsia="宋体" w:hint="default"/>
                <w:sz w:val="15"/>
                <w:szCs w:val="15"/>
              </w:rPr>
              <w:t>款（日益月鑫进取</w:t>
            </w:r>
            <w:r>
              <w:rPr>
                <w:rFonts w:ascii="宋体" w:hAnsi="宋体" w:cs="宋体" w:eastAsia="宋体" w:hint="default"/>
                <w:w w:val="100"/>
                <w:sz w:val="15"/>
                <w:szCs w:val="15"/>
              </w:rPr>
              <w:t> </w:t>
            </w:r>
            <w:r>
              <w:rPr>
                <w:rFonts w:ascii="宋体" w:hAnsi="宋体" w:cs="宋体" w:eastAsia="宋体" w:hint="default"/>
                <w:sz w:val="15"/>
                <w:szCs w:val="15"/>
              </w:rPr>
              <w:t>型</w:t>
            </w:r>
            <w:r>
              <w:rPr>
                <w:rFonts w:ascii="宋体" w:hAnsi="宋体" w:cs="宋体" w:eastAsia="宋体" w:hint="default"/>
                <w:spacing w:val="-38"/>
                <w:sz w:val="15"/>
                <w:szCs w:val="15"/>
              </w:rPr>
              <w:t> </w:t>
            </w:r>
            <w:r>
              <w:rPr>
                <w:rFonts w:ascii="宋体" w:hAnsi="宋体" w:cs="宋体" w:eastAsia="宋体" w:hint="default"/>
                <w:sz w:val="15"/>
                <w:szCs w:val="15"/>
              </w:rPr>
              <w:t>91090</w:t>
            </w:r>
            <w:r>
              <w:rPr>
                <w:rFonts w:ascii="宋体" w:hAnsi="宋体" w:cs="宋体" w:eastAsia="宋体" w:hint="default"/>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sz w:val="15"/>
              </w:rPr>
              <w:t>2018/6/21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sz w:val="15"/>
              </w:rPr>
              <w:t>2018/9/19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149"/>
              <w:jc w:val="left"/>
              <w:rPr>
                <w:rFonts w:ascii="宋体" w:hAnsi="宋体" w:cs="宋体" w:eastAsia="宋体" w:hint="default"/>
                <w:sz w:val="15"/>
                <w:szCs w:val="15"/>
              </w:rPr>
            </w:pPr>
            <w:r>
              <w:rPr>
                <w:rFonts w:ascii="宋体" w:hAnsi="宋体" w:cs="宋体" w:eastAsia="宋体" w:hint="default"/>
                <w:sz w:val="15"/>
                <w:szCs w:val="15"/>
              </w:rPr>
              <w:t>自有</w:t>
            </w:r>
            <w:r>
              <w:rPr>
                <w:rFonts w:ascii="宋体" w:hAnsi="宋体" w:cs="宋体" w:eastAsia="宋体" w:hint="default"/>
                <w:spacing w:val="-73"/>
                <w:sz w:val="15"/>
                <w:szCs w:val="15"/>
              </w:rPr>
              <w:t> </w:t>
            </w: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143"/>
              <w:jc w:val="left"/>
              <w:rPr>
                <w:rFonts w:ascii="宋体" w:hAnsi="宋体" w:cs="宋体" w:eastAsia="宋体" w:hint="default"/>
                <w:sz w:val="15"/>
                <w:szCs w:val="15"/>
              </w:rPr>
            </w:pPr>
            <w:r>
              <w:rPr>
                <w:rFonts w:ascii="宋体" w:hAnsi="宋体" w:cs="宋体" w:eastAsia="宋体" w:hint="default"/>
                <w:sz w:val="15"/>
                <w:szCs w:val="15"/>
              </w:rPr>
              <w:t>银行理</w:t>
            </w:r>
            <w:r>
              <w:rPr>
                <w:rFonts w:ascii="宋体" w:hAnsi="宋体" w:cs="宋体" w:eastAsia="宋体" w:hint="default"/>
                <w:spacing w:val="-72"/>
                <w:sz w:val="15"/>
                <w:szCs w:val="15"/>
              </w:rPr>
              <w:t> </w:t>
            </w: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149"/>
              <w:jc w:val="left"/>
              <w:rPr>
                <w:rFonts w:ascii="宋体" w:hAnsi="宋体" w:cs="宋体" w:eastAsia="宋体" w:hint="default"/>
                <w:sz w:val="15"/>
                <w:szCs w:val="15"/>
              </w:rPr>
            </w:pPr>
            <w:r>
              <w:rPr>
                <w:rFonts w:ascii="宋体" w:hAnsi="宋体" w:cs="宋体" w:eastAsia="宋体" w:hint="default"/>
                <w:sz w:val="15"/>
                <w:szCs w:val="15"/>
              </w:rPr>
              <w:t>浮动</w:t>
            </w:r>
            <w:r>
              <w:rPr>
                <w:rFonts w:ascii="宋体" w:hAnsi="宋体" w:cs="宋体" w:eastAsia="宋体" w:hint="default"/>
                <w:spacing w:val="-73"/>
                <w:sz w:val="15"/>
                <w:szCs w:val="15"/>
              </w:rPr>
              <w:t> </w:t>
            </w: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96"/>
              <w:jc w:val="right"/>
              <w:rPr>
                <w:rFonts w:ascii="宋体" w:hAnsi="宋体" w:cs="宋体" w:eastAsia="宋体" w:hint="default"/>
                <w:sz w:val="15"/>
                <w:szCs w:val="15"/>
              </w:rPr>
            </w:pPr>
            <w:r>
              <w:rPr>
                <w:rFonts w:ascii="宋体"/>
                <w:sz w:val="15"/>
              </w:rPr>
              <w:t>20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3,500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日益月鑫系列理财计划</w:t>
            </w:r>
            <w:r>
              <w:rPr>
                <w:rFonts w:ascii="宋体" w:hAnsi="宋体" w:cs="宋体" w:eastAsia="宋体" w:hint="default"/>
                <w:spacing w:val="-39"/>
                <w:sz w:val="15"/>
                <w:szCs w:val="15"/>
              </w:rPr>
              <w:t> </w:t>
            </w:r>
            <w:r>
              <w:rPr>
                <w:rFonts w:ascii="宋体" w:hAnsi="宋体" w:cs="宋体" w:eastAsia="宋体" w:hint="default"/>
                <w:sz w:val="15"/>
                <w:szCs w:val="15"/>
              </w:rPr>
              <w:t>A</w:t>
            </w:r>
            <w:r>
              <w:rPr>
                <w:rFonts w:ascii="宋体" w:hAnsi="宋体" w:cs="宋体" w:eastAsia="宋体" w:hint="default"/>
                <w:spacing w:val="-38"/>
                <w:sz w:val="15"/>
                <w:szCs w:val="15"/>
              </w:rPr>
              <w:t> </w:t>
            </w:r>
            <w:r>
              <w:rPr>
                <w:rFonts w:ascii="宋体" w:hAnsi="宋体" w:cs="宋体" w:eastAsia="宋体" w:hint="default"/>
                <w:sz w:val="15"/>
                <w:szCs w:val="15"/>
              </w:rPr>
              <w:t>款</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/B</w:t>
            </w:r>
            <w:r>
              <w:rPr>
                <w:rFonts w:ascii="宋体" w:hAnsi="宋体" w:cs="宋体" w:eastAsia="宋体" w:hint="default"/>
                <w:spacing w:val="-38"/>
                <w:sz w:val="15"/>
                <w:szCs w:val="15"/>
              </w:rPr>
              <w:t> </w:t>
            </w:r>
            <w:r>
              <w:rPr>
                <w:rFonts w:ascii="宋体" w:hAnsi="宋体" w:cs="宋体" w:eastAsia="宋体" w:hint="default"/>
                <w:sz w:val="15"/>
                <w:szCs w:val="15"/>
              </w:rPr>
              <w:t>款（日益月鑫</w:t>
            </w:r>
            <w:r>
              <w:rPr>
                <w:rFonts w:ascii="宋体" w:hAnsi="宋体" w:cs="宋体" w:eastAsia="宋体" w:hint="default"/>
                <w:spacing w:val="-41"/>
                <w:sz w:val="15"/>
                <w:szCs w:val="15"/>
              </w:rPr>
              <w:t> </w:t>
            </w:r>
            <w:r>
              <w:rPr>
                <w:rFonts w:ascii="宋体" w:hAnsi="宋体" w:cs="宋体" w:eastAsia="宋体" w:hint="default"/>
                <w:sz w:val="15"/>
                <w:szCs w:val="15"/>
              </w:rPr>
              <w:t>90014</w:t>
            </w:r>
            <w:r>
              <w:rPr>
                <w:rFonts w:ascii="宋体" w:hAnsi="宋体" w:cs="宋体" w:eastAsia="宋体" w:hint="default"/>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2018/6/29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2018/7/13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7"/>
              <w:jc w:val="right"/>
              <w:rPr>
                <w:rFonts w:ascii="宋体" w:hAnsi="宋体" w:cs="宋体" w:eastAsia="宋体" w:hint="default"/>
                <w:sz w:val="15"/>
                <w:szCs w:val="15"/>
              </w:rPr>
            </w:pPr>
            <w:r>
              <w:rPr>
                <w:rFonts w:ascii="宋体"/>
                <w:w w:val="100"/>
                <w:sz w:val="15"/>
              </w:rPr>
              <w:t>1</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宋体" w:hAnsi="宋体" w:cs="宋体" w:eastAsia="宋体" w:hint="default"/>
                <w:sz w:val="15"/>
                <w:szCs w:val="15"/>
              </w:rPr>
            </w:pPr>
            <w:r>
              <w:rPr>
                <w:rFonts w:ascii="宋体"/>
                <w:spacing w:val="-2"/>
                <w:sz w:val="15"/>
              </w:rPr>
              <w:t>500</w:t>
            </w:r>
            <w:r>
              <w:rPr>
                <w:rFonts w:ascii="宋体"/>
                <w:sz w:val="15"/>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5"/>
                <w:szCs w:val="15"/>
              </w:rPr>
            </w:pPr>
            <w:r>
              <w:rPr>
                <w:rFonts w:ascii="宋体" w:hAnsi="宋体" w:cs="宋体" w:eastAsia="宋体" w:hint="default"/>
                <w:sz w:val="15"/>
                <w:szCs w:val="15"/>
              </w:rPr>
              <w:t>日益月鑫</w:t>
            </w:r>
            <w:r>
              <w:rPr>
                <w:rFonts w:ascii="宋体" w:hAnsi="宋体" w:cs="宋体" w:eastAsia="宋体" w:hint="default"/>
                <w:spacing w:val="-40"/>
                <w:sz w:val="15"/>
                <w:szCs w:val="15"/>
              </w:rPr>
              <w:t> </w:t>
            </w:r>
            <w:r>
              <w:rPr>
                <w:rFonts w:ascii="宋体" w:hAnsi="宋体" w:cs="宋体" w:eastAsia="宋体" w:hint="default"/>
                <w:sz w:val="15"/>
                <w:szCs w:val="15"/>
              </w:rPr>
              <w:t>32030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宋体" w:hAnsi="宋体" w:cs="宋体" w:eastAsia="宋体" w:hint="default"/>
                <w:sz w:val="15"/>
                <w:szCs w:val="15"/>
              </w:rPr>
            </w:pPr>
            <w:r>
              <w:rPr>
                <w:rFonts w:ascii="宋体"/>
                <w:spacing w:val="-1"/>
                <w:sz w:val="15"/>
              </w:rPr>
              <w:t>2,000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5"/>
                <w:szCs w:val="15"/>
              </w:rPr>
            </w:pPr>
            <w:r>
              <w:rPr>
                <w:rFonts w:ascii="宋体"/>
                <w:sz w:val="15"/>
              </w:rPr>
              <w:t>2018/7/4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5"/>
                <w:szCs w:val="15"/>
              </w:rPr>
            </w:pPr>
            <w:r>
              <w:rPr>
                <w:rFonts w:ascii="宋体"/>
                <w:sz w:val="15"/>
              </w:rPr>
              <w:t>2018/8/3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7"/>
              <w:jc w:val="right"/>
              <w:rPr>
                <w:rFonts w:ascii="宋体" w:hAnsi="宋体" w:cs="宋体" w:eastAsia="宋体" w:hint="default"/>
                <w:sz w:val="15"/>
                <w:szCs w:val="15"/>
              </w:rPr>
            </w:pPr>
            <w:r>
              <w:rPr>
                <w:rFonts w:ascii="宋体"/>
                <w:w w:val="100"/>
                <w:sz w:val="15"/>
              </w:rPr>
              <w:t>7</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宋体" w:hAnsi="宋体" w:cs="宋体" w:eastAsia="宋体" w:hint="default"/>
                <w:sz w:val="15"/>
                <w:szCs w:val="15"/>
              </w:rPr>
            </w:pPr>
            <w:r>
              <w:rPr>
                <w:rFonts w:ascii="宋体"/>
                <w:spacing w:val="-1"/>
                <w:sz w:val="15"/>
              </w:rPr>
              <w:t>2,000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招商银行日益月鑫理财计划</w:t>
            </w:r>
            <w:r>
              <w:rPr>
                <w:rFonts w:ascii="宋体" w:hAnsi="宋体" w:cs="宋体" w:eastAsia="宋体" w:hint="default"/>
                <w:spacing w:val="-41"/>
                <w:sz w:val="15"/>
                <w:szCs w:val="15"/>
              </w:rPr>
              <w:t> </w:t>
            </w:r>
            <w:r>
              <w:rPr>
                <w:rFonts w:ascii="宋体" w:hAnsi="宋体" w:cs="宋体" w:eastAsia="宋体" w:hint="default"/>
                <w:sz w:val="15"/>
                <w:szCs w:val="15"/>
              </w:rPr>
              <w:t>B</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款（日益月鑫</w:t>
            </w:r>
            <w:r>
              <w:rPr>
                <w:rFonts w:ascii="宋体" w:hAnsi="宋体" w:cs="宋体" w:eastAsia="宋体" w:hint="default"/>
                <w:spacing w:val="-41"/>
                <w:sz w:val="15"/>
                <w:szCs w:val="15"/>
              </w:rPr>
              <w:t> </w:t>
            </w:r>
            <w:r>
              <w:rPr>
                <w:rFonts w:ascii="宋体" w:hAnsi="宋体" w:cs="宋体" w:eastAsia="宋体" w:hint="default"/>
                <w:sz w:val="15"/>
                <w:szCs w:val="15"/>
              </w:rPr>
              <w:t>90030</w:t>
            </w:r>
            <w:r>
              <w:rPr>
                <w:rFonts w:ascii="宋体" w:hAnsi="宋体" w:cs="宋体" w:eastAsia="宋体" w:hint="default"/>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2018/7/16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2018/8/15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7"/>
              <w:jc w:val="right"/>
              <w:rPr>
                <w:rFonts w:ascii="宋体" w:hAnsi="宋体" w:cs="宋体" w:eastAsia="宋体" w:hint="default"/>
                <w:sz w:val="15"/>
                <w:szCs w:val="15"/>
              </w:rPr>
            </w:pPr>
            <w:r>
              <w:rPr>
                <w:rFonts w:ascii="宋体"/>
                <w:w w:val="100"/>
                <w:sz w:val="15"/>
              </w:rPr>
              <w:t>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宋体" w:hAnsi="宋体" w:cs="宋体" w:eastAsia="宋体" w:hint="default"/>
                <w:sz w:val="15"/>
                <w:szCs w:val="15"/>
              </w:rPr>
            </w:pPr>
            <w:r>
              <w:rPr>
                <w:rFonts w:ascii="宋体"/>
                <w:spacing w:val="-2"/>
                <w:sz w:val="15"/>
              </w:rPr>
              <w:t>500</w:t>
            </w:r>
            <w:r>
              <w:rPr>
                <w:rFonts w:ascii="宋体"/>
                <w:sz w:val="15"/>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招商银行日益月鑫理财计划</w:t>
            </w:r>
            <w:r>
              <w:rPr>
                <w:rFonts w:ascii="宋体" w:hAnsi="宋体" w:cs="宋体" w:eastAsia="宋体" w:hint="default"/>
                <w:spacing w:val="-41"/>
                <w:sz w:val="15"/>
                <w:szCs w:val="15"/>
              </w:rPr>
              <w:t> </w:t>
            </w:r>
            <w:r>
              <w:rPr>
                <w:rFonts w:ascii="宋体" w:hAnsi="宋体" w:cs="宋体" w:eastAsia="宋体" w:hint="default"/>
                <w:sz w:val="15"/>
                <w:szCs w:val="15"/>
              </w:rPr>
              <w:t>A</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款（日益月鑫</w:t>
            </w:r>
            <w:r>
              <w:rPr>
                <w:rFonts w:ascii="宋体" w:hAnsi="宋体" w:cs="宋体" w:eastAsia="宋体" w:hint="default"/>
                <w:spacing w:val="-41"/>
                <w:sz w:val="15"/>
                <w:szCs w:val="15"/>
              </w:rPr>
              <w:t> </w:t>
            </w:r>
            <w:r>
              <w:rPr>
                <w:rFonts w:ascii="宋体" w:hAnsi="宋体" w:cs="宋体" w:eastAsia="宋体" w:hint="default"/>
                <w:sz w:val="15"/>
                <w:szCs w:val="15"/>
              </w:rPr>
              <w:t>90021</w:t>
            </w:r>
            <w:r>
              <w:rPr>
                <w:rFonts w:ascii="宋体" w:hAnsi="宋体" w:cs="宋体" w:eastAsia="宋体" w:hint="default"/>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3,000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sz w:val="15"/>
              </w:rPr>
              <w:t>2018/7/23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sz w:val="15"/>
              </w:rPr>
              <w:t>2018/8/13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7"/>
              <w:jc w:val="right"/>
              <w:rPr>
                <w:rFonts w:ascii="宋体" w:hAnsi="宋体" w:cs="宋体" w:eastAsia="宋体" w:hint="default"/>
                <w:sz w:val="15"/>
                <w:szCs w:val="15"/>
              </w:rPr>
            </w:pPr>
            <w:r>
              <w:rPr>
                <w:rFonts w:ascii="宋体"/>
                <w:w w:val="100"/>
                <w:sz w:val="15"/>
              </w:rPr>
              <w:t>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3,000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招商银行日益月鑫理财计划</w:t>
            </w:r>
            <w:r>
              <w:rPr>
                <w:rFonts w:ascii="宋体" w:hAnsi="宋体" w:cs="宋体" w:eastAsia="宋体" w:hint="default"/>
                <w:spacing w:val="-41"/>
                <w:sz w:val="15"/>
                <w:szCs w:val="15"/>
              </w:rPr>
              <w:t> </w:t>
            </w:r>
            <w:r>
              <w:rPr>
                <w:rFonts w:ascii="宋体" w:hAnsi="宋体" w:cs="宋体" w:eastAsia="宋体" w:hint="default"/>
                <w:sz w:val="15"/>
                <w:szCs w:val="15"/>
              </w:rPr>
              <w:t>A</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款（日益月鑫</w:t>
            </w:r>
            <w:r>
              <w:rPr>
                <w:rFonts w:ascii="宋体" w:hAnsi="宋体" w:cs="宋体" w:eastAsia="宋体" w:hint="default"/>
                <w:spacing w:val="-41"/>
                <w:sz w:val="15"/>
                <w:szCs w:val="15"/>
              </w:rPr>
              <w:t> </w:t>
            </w:r>
            <w:r>
              <w:rPr>
                <w:rFonts w:ascii="宋体" w:hAnsi="宋体" w:cs="宋体" w:eastAsia="宋体" w:hint="default"/>
                <w:sz w:val="15"/>
                <w:szCs w:val="15"/>
              </w:rPr>
              <w:t>90007</w:t>
            </w:r>
            <w:r>
              <w:rPr>
                <w:rFonts w:ascii="宋体" w:hAnsi="宋体" w:cs="宋体" w:eastAsia="宋体" w:hint="default"/>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2,000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2018/8/7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2018/8/14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7"/>
              <w:jc w:val="right"/>
              <w:rPr>
                <w:rFonts w:ascii="宋体" w:hAnsi="宋体" w:cs="宋体" w:eastAsia="宋体" w:hint="default"/>
                <w:sz w:val="15"/>
                <w:szCs w:val="15"/>
              </w:rPr>
            </w:pPr>
            <w:r>
              <w:rPr>
                <w:rFonts w:ascii="宋体"/>
                <w:w w:val="100"/>
                <w:sz w:val="15"/>
              </w:rPr>
              <w:t>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5"/>
                <w:szCs w:val="15"/>
              </w:rPr>
            </w:pPr>
            <w:r>
              <w:rPr>
                <w:rFonts w:ascii="宋体"/>
                <w:spacing w:val="-1"/>
                <w:sz w:val="15"/>
              </w:rPr>
              <w:t>2,000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7" w:footer="1218" w:top="1320" w:bottom="140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07" w:type="dxa"/>
        <w:tblLayout w:type="fixed"/>
        <w:tblCellMar>
          <w:top w:w="0" w:type="dxa"/>
          <w:left w:w="0" w:type="dxa"/>
          <w:bottom w:w="0" w:type="dxa"/>
          <w:right w:w="0" w:type="dxa"/>
        </w:tblCellMar>
        <w:tblLook w:val="01E0"/>
      </w:tblPr>
      <w:tblGrid>
        <w:gridCol w:w="1952"/>
        <w:gridCol w:w="2127"/>
        <w:gridCol w:w="852"/>
        <w:gridCol w:w="991"/>
        <w:gridCol w:w="992"/>
        <w:gridCol w:w="566"/>
        <w:gridCol w:w="710"/>
        <w:gridCol w:w="566"/>
        <w:gridCol w:w="566"/>
        <w:gridCol w:w="710"/>
        <w:gridCol w:w="709"/>
        <w:gridCol w:w="859"/>
        <w:gridCol w:w="847"/>
        <w:gridCol w:w="706"/>
        <w:gridCol w:w="936"/>
      </w:tblGrid>
      <w:tr>
        <w:trPr>
          <w:trHeight w:val="787"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5"/>
              <w:ind w:right="0"/>
              <w:jc w:val="center"/>
              <w:rPr>
                <w:rFonts w:ascii="宋体" w:hAnsi="宋体" w:cs="宋体" w:eastAsia="宋体" w:hint="default"/>
                <w:sz w:val="15"/>
                <w:szCs w:val="15"/>
              </w:rPr>
            </w:pPr>
            <w:r>
              <w:rPr>
                <w:rFonts w:ascii="宋体" w:hAnsi="宋体" w:cs="宋体" w:eastAsia="宋体" w:hint="default"/>
                <w:sz w:val="15"/>
                <w:szCs w:val="15"/>
              </w:rPr>
              <w:t>受托人</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5"/>
              <w:ind w:left="607" w:right="0"/>
              <w:jc w:val="left"/>
              <w:rPr>
                <w:rFonts w:ascii="宋体" w:hAnsi="宋体" w:cs="宋体" w:eastAsia="宋体" w:hint="default"/>
                <w:sz w:val="15"/>
                <w:szCs w:val="15"/>
              </w:rPr>
            </w:pPr>
            <w:r>
              <w:rPr>
                <w:rFonts w:ascii="宋体" w:hAnsi="宋体" w:cs="宋体" w:eastAsia="宋体" w:hint="default"/>
                <w:sz w:val="15"/>
                <w:szCs w:val="15"/>
              </w:rPr>
              <w:t>委托理财类型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71" w:right="118" w:hanging="152"/>
              <w:jc w:val="left"/>
              <w:rPr>
                <w:rFonts w:ascii="宋体" w:hAnsi="宋体" w:cs="宋体" w:eastAsia="宋体" w:hint="default"/>
                <w:sz w:val="15"/>
                <w:szCs w:val="15"/>
              </w:rPr>
            </w:pPr>
            <w:r>
              <w:rPr>
                <w:rFonts w:ascii="宋体" w:hAnsi="宋体" w:cs="宋体" w:eastAsia="宋体" w:hint="default"/>
                <w:sz w:val="15"/>
                <w:szCs w:val="15"/>
              </w:rPr>
              <w:t>委托理财</w:t>
            </w:r>
            <w:r>
              <w:rPr>
                <w:rFonts w:ascii="宋体" w:hAnsi="宋体" w:cs="宋体" w:eastAsia="宋体" w:hint="default"/>
                <w:w w:val="100"/>
                <w:sz w:val="15"/>
                <w:szCs w:val="15"/>
              </w:rPr>
              <w:t> </w:t>
            </w:r>
            <w:r>
              <w:rPr>
                <w:rFonts w:ascii="宋体" w:hAnsi="宋体" w:cs="宋体" w:eastAsia="宋体" w:hint="default"/>
                <w:sz w:val="15"/>
                <w:szCs w:val="15"/>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63" w:right="110" w:hanging="149"/>
              <w:jc w:val="left"/>
              <w:rPr>
                <w:rFonts w:ascii="宋体" w:hAnsi="宋体" w:cs="宋体" w:eastAsia="宋体" w:hint="default"/>
                <w:sz w:val="15"/>
                <w:szCs w:val="15"/>
              </w:rPr>
            </w:pPr>
            <w:r>
              <w:rPr>
                <w:rFonts w:ascii="宋体" w:hAnsi="宋体" w:cs="宋体" w:eastAsia="宋体" w:hint="default"/>
                <w:sz w:val="15"/>
                <w:szCs w:val="15"/>
              </w:rPr>
              <w:t>委托理财起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始日期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63" w:right="111" w:hanging="149"/>
              <w:jc w:val="left"/>
              <w:rPr>
                <w:rFonts w:ascii="宋体" w:hAnsi="宋体" w:cs="宋体" w:eastAsia="宋体" w:hint="default"/>
                <w:sz w:val="15"/>
                <w:szCs w:val="15"/>
              </w:rPr>
            </w:pPr>
            <w:r>
              <w:rPr>
                <w:rFonts w:ascii="宋体" w:hAnsi="宋体" w:cs="宋体" w:eastAsia="宋体" w:hint="default"/>
                <w:sz w:val="15"/>
                <w:szCs w:val="15"/>
              </w:rPr>
              <w:t>委托理财终</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止日期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27" w:right="125"/>
              <w:jc w:val="left"/>
              <w:rPr>
                <w:rFonts w:ascii="宋体" w:hAnsi="宋体" w:cs="宋体" w:eastAsia="宋体" w:hint="default"/>
                <w:sz w:val="15"/>
                <w:szCs w:val="15"/>
              </w:rPr>
            </w:pPr>
            <w:r>
              <w:rPr>
                <w:rFonts w:ascii="宋体" w:hAnsi="宋体" w:cs="宋体" w:eastAsia="宋体" w:hint="default"/>
                <w:sz w:val="15"/>
                <w:szCs w:val="15"/>
              </w:rPr>
              <w:t>资金</w:t>
            </w:r>
            <w:r>
              <w:rPr>
                <w:rFonts w:ascii="宋体" w:hAnsi="宋体" w:cs="宋体" w:eastAsia="宋体" w:hint="default"/>
                <w:spacing w:val="-73"/>
                <w:sz w:val="15"/>
                <w:szCs w:val="15"/>
              </w:rPr>
              <w:t> </w:t>
            </w:r>
            <w:r>
              <w:rPr>
                <w:rFonts w:ascii="宋体" w:hAnsi="宋体" w:cs="宋体" w:eastAsia="宋体" w:hint="default"/>
                <w:sz w:val="15"/>
                <w:szCs w:val="15"/>
              </w:rPr>
              <w:t>来源</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99" w:right="197"/>
              <w:jc w:val="left"/>
              <w:rPr>
                <w:rFonts w:ascii="宋体" w:hAnsi="宋体" w:cs="宋体" w:eastAsia="宋体" w:hint="default"/>
                <w:sz w:val="15"/>
                <w:szCs w:val="15"/>
              </w:rPr>
            </w:pPr>
            <w:r>
              <w:rPr>
                <w:rFonts w:ascii="宋体" w:hAnsi="宋体" w:cs="宋体" w:eastAsia="宋体" w:hint="default"/>
                <w:sz w:val="15"/>
                <w:szCs w:val="15"/>
              </w:rPr>
              <w:t>资金</w:t>
            </w:r>
            <w:r>
              <w:rPr>
                <w:rFonts w:ascii="宋体" w:hAnsi="宋体" w:cs="宋体" w:eastAsia="宋体" w:hint="default"/>
                <w:spacing w:val="-73"/>
                <w:sz w:val="15"/>
                <w:szCs w:val="15"/>
              </w:rPr>
              <w:t> </w:t>
            </w:r>
            <w:r>
              <w:rPr>
                <w:rFonts w:ascii="宋体" w:hAnsi="宋体" w:cs="宋体" w:eastAsia="宋体" w:hint="default"/>
                <w:sz w:val="15"/>
                <w:szCs w:val="15"/>
              </w:rPr>
              <w:t>投向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27" w:right="125"/>
              <w:jc w:val="both"/>
              <w:rPr>
                <w:rFonts w:ascii="宋体" w:hAnsi="宋体" w:cs="宋体" w:eastAsia="宋体" w:hint="default"/>
                <w:sz w:val="15"/>
                <w:szCs w:val="15"/>
              </w:rPr>
            </w:pPr>
            <w:r>
              <w:rPr>
                <w:rFonts w:ascii="宋体" w:hAnsi="宋体" w:cs="宋体" w:eastAsia="宋体" w:hint="default"/>
                <w:sz w:val="15"/>
                <w:szCs w:val="15"/>
              </w:rPr>
              <w:t>报酬</w:t>
            </w:r>
            <w:r>
              <w:rPr>
                <w:rFonts w:ascii="宋体" w:hAnsi="宋体" w:cs="宋体" w:eastAsia="宋体" w:hint="default"/>
                <w:spacing w:val="-73"/>
                <w:sz w:val="15"/>
                <w:szCs w:val="15"/>
              </w:rPr>
              <w:t> </w:t>
            </w:r>
            <w:r>
              <w:rPr>
                <w:rFonts w:ascii="宋体" w:hAnsi="宋体" w:cs="宋体" w:eastAsia="宋体" w:hint="default"/>
                <w:sz w:val="15"/>
                <w:szCs w:val="15"/>
              </w:rPr>
              <w:t>确定</w:t>
            </w:r>
            <w:r>
              <w:rPr>
                <w:rFonts w:ascii="宋体" w:hAnsi="宋体" w:cs="宋体" w:eastAsia="宋体" w:hint="default"/>
                <w:spacing w:val="-73"/>
                <w:sz w:val="15"/>
                <w:szCs w:val="15"/>
              </w:rPr>
              <w:t> </w:t>
            </w:r>
            <w:r>
              <w:rPr>
                <w:rFonts w:ascii="宋体" w:hAnsi="宋体" w:cs="宋体" w:eastAsia="宋体" w:hint="default"/>
                <w:sz w:val="15"/>
                <w:szCs w:val="15"/>
              </w:rPr>
              <w:t>方式</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7" w:right="0"/>
              <w:jc w:val="left"/>
              <w:rPr>
                <w:rFonts w:ascii="宋体" w:hAnsi="宋体" w:cs="宋体" w:eastAsia="宋体" w:hint="default"/>
                <w:sz w:val="15"/>
                <w:szCs w:val="15"/>
              </w:rPr>
            </w:pPr>
            <w:r>
              <w:rPr>
                <w:rFonts w:ascii="宋体" w:hAnsi="宋体" w:cs="宋体" w:eastAsia="宋体" w:hint="default"/>
                <w:sz w:val="15"/>
                <w:szCs w:val="15"/>
              </w:rPr>
              <w:t>年化</w:t>
            </w:r>
          </w:p>
          <w:p>
            <w:pPr>
              <w:pStyle w:val="TableParagraph"/>
              <w:spacing w:line="240" w:lineRule="auto"/>
              <w:ind w:left="201" w:right="125" w:hanging="75"/>
              <w:jc w:val="left"/>
              <w:rPr>
                <w:rFonts w:ascii="宋体" w:hAnsi="宋体" w:cs="宋体" w:eastAsia="宋体" w:hint="default"/>
                <w:sz w:val="15"/>
                <w:szCs w:val="15"/>
              </w:rPr>
            </w:pPr>
            <w:r>
              <w:rPr>
                <w:rFonts w:ascii="宋体" w:hAnsi="宋体" w:cs="宋体" w:eastAsia="宋体" w:hint="default"/>
                <w:sz w:val="15"/>
                <w:szCs w:val="15"/>
              </w:rPr>
              <w:t>收益</w:t>
            </w:r>
            <w:r>
              <w:rPr>
                <w:rFonts w:ascii="宋体" w:hAnsi="宋体" w:cs="宋体" w:eastAsia="宋体" w:hint="default"/>
                <w:spacing w:val="-73"/>
                <w:sz w:val="15"/>
                <w:szCs w:val="15"/>
              </w:rPr>
              <w:t> </w:t>
            </w:r>
            <w:r>
              <w:rPr>
                <w:rFonts w:ascii="宋体" w:hAnsi="宋体" w:cs="宋体" w:eastAsia="宋体" w:hint="default"/>
                <w:sz w:val="15"/>
                <w:szCs w:val="15"/>
              </w:rPr>
              <w:t>率</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 w:right="0"/>
              <w:jc w:val="center"/>
              <w:rPr>
                <w:rFonts w:ascii="宋体" w:hAnsi="宋体" w:cs="宋体" w:eastAsia="宋体" w:hint="default"/>
                <w:sz w:val="15"/>
                <w:szCs w:val="15"/>
              </w:rPr>
            </w:pPr>
            <w:r>
              <w:rPr>
                <w:rFonts w:ascii="宋体" w:hAnsi="宋体" w:cs="宋体" w:eastAsia="宋体" w:hint="default"/>
                <w:sz w:val="15"/>
                <w:szCs w:val="15"/>
              </w:rPr>
              <w:t>预期收</w:t>
            </w:r>
          </w:p>
          <w:p>
            <w:pPr>
              <w:pStyle w:val="TableParagraph"/>
              <w:spacing w:line="240" w:lineRule="auto"/>
              <w:ind w:left="124" w:right="121" w:hanging="4"/>
              <w:jc w:val="center"/>
              <w:rPr>
                <w:rFonts w:ascii="宋体" w:hAnsi="宋体" w:cs="宋体" w:eastAsia="宋体" w:hint="default"/>
                <w:sz w:val="15"/>
                <w:szCs w:val="15"/>
              </w:rPr>
            </w:pPr>
            <w:r>
              <w:rPr>
                <w:rFonts w:ascii="宋体" w:hAnsi="宋体" w:cs="宋体" w:eastAsia="宋体" w:hint="default"/>
                <w:sz w:val="15"/>
                <w:szCs w:val="15"/>
              </w:rPr>
              <w:t>益</w:t>
            </w:r>
            <w:r>
              <w:rPr>
                <w:rFonts w:ascii="宋体" w:hAnsi="宋体" w:cs="宋体" w:eastAsia="宋体" w:hint="default"/>
                <w:w w:val="100"/>
                <w:sz w:val="15"/>
                <w:szCs w:val="15"/>
              </w:rPr>
              <w:t> </w:t>
            </w:r>
            <w:r>
              <w:rPr>
                <w:rFonts w:ascii="宋体" w:hAnsi="宋体" w:cs="宋体" w:eastAsia="宋体" w:hint="default"/>
                <w:sz w:val="15"/>
                <w:szCs w:val="15"/>
              </w:rPr>
              <w:t>(</w:t>
            </w:r>
            <w:r>
              <w:rPr>
                <w:rFonts w:ascii="宋体" w:hAnsi="宋体" w:cs="宋体" w:eastAsia="宋体" w:hint="default"/>
                <w:sz w:val="15"/>
                <w:szCs w:val="15"/>
              </w:rPr>
              <w:t>如有</w:t>
            </w:r>
            <w:r>
              <w:rPr>
                <w:rFonts w:ascii="宋体" w:hAnsi="宋体" w:cs="宋体" w:eastAsia="宋体" w:hint="default"/>
                <w:sz w:val="15"/>
                <w:szCs w:val="15"/>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25" w:right="119" w:hanging="3"/>
              <w:jc w:val="center"/>
              <w:rPr>
                <w:rFonts w:ascii="宋体" w:hAnsi="宋体" w:cs="宋体" w:eastAsia="宋体" w:hint="default"/>
                <w:sz w:val="15"/>
                <w:szCs w:val="15"/>
              </w:rPr>
            </w:pPr>
            <w:r>
              <w:rPr>
                <w:rFonts w:ascii="宋体" w:hAnsi="宋体" w:cs="宋体" w:eastAsia="宋体" w:hint="default"/>
                <w:sz w:val="15"/>
                <w:szCs w:val="15"/>
              </w:rPr>
              <w:t>实际</w:t>
            </w:r>
            <w:r>
              <w:rPr>
                <w:rFonts w:ascii="宋体" w:hAnsi="宋体" w:cs="宋体" w:eastAsia="宋体" w:hint="default"/>
                <w:w w:val="100"/>
                <w:sz w:val="15"/>
                <w:szCs w:val="15"/>
              </w:rPr>
              <w:t> </w:t>
            </w:r>
            <w:r>
              <w:rPr>
                <w:rFonts w:ascii="宋体" w:hAnsi="宋体" w:cs="宋体" w:eastAsia="宋体" w:hint="default"/>
                <w:sz w:val="15"/>
                <w:szCs w:val="15"/>
              </w:rPr>
              <w:t>收益或</w:t>
            </w:r>
            <w:r>
              <w:rPr>
                <w:rFonts w:ascii="宋体" w:hAnsi="宋体" w:cs="宋体" w:eastAsia="宋体" w:hint="default"/>
                <w:w w:val="100"/>
                <w:sz w:val="15"/>
                <w:szCs w:val="15"/>
              </w:rPr>
              <w:t> </w:t>
            </w:r>
            <w:r>
              <w:rPr>
                <w:rFonts w:ascii="宋体" w:hAnsi="宋体" w:cs="宋体" w:eastAsia="宋体" w:hint="default"/>
                <w:sz w:val="15"/>
                <w:szCs w:val="15"/>
              </w:rPr>
              <w:t>损失</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73" w:right="122" w:hanging="152"/>
              <w:jc w:val="left"/>
              <w:rPr>
                <w:rFonts w:ascii="宋体" w:hAnsi="宋体" w:cs="宋体" w:eastAsia="宋体" w:hint="default"/>
                <w:sz w:val="15"/>
                <w:szCs w:val="15"/>
              </w:rPr>
            </w:pPr>
            <w:r>
              <w:rPr>
                <w:rFonts w:ascii="宋体" w:hAnsi="宋体" w:cs="宋体" w:eastAsia="宋体" w:hint="default"/>
                <w:sz w:val="15"/>
                <w:szCs w:val="15"/>
              </w:rPr>
              <w:t>实际收回</w:t>
            </w:r>
            <w:r>
              <w:rPr>
                <w:rFonts w:ascii="宋体" w:hAnsi="宋体" w:cs="宋体" w:eastAsia="宋体" w:hint="default"/>
                <w:w w:val="100"/>
                <w:sz w:val="15"/>
                <w:szCs w:val="15"/>
              </w:rPr>
              <w:t> </w:t>
            </w:r>
            <w:r>
              <w:rPr>
                <w:rFonts w:ascii="宋体" w:hAnsi="宋体" w:cs="宋体" w:eastAsia="宋体" w:hint="default"/>
                <w:sz w:val="15"/>
                <w:szCs w:val="15"/>
              </w:rPr>
              <w:t>情况</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15" w:right="118"/>
              <w:jc w:val="left"/>
              <w:rPr>
                <w:rFonts w:ascii="宋体" w:hAnsi="宋体" w:cs="宋体" w:eastAsia="宋体" w:hint="default"/>
                <w:sz w:val="15"/>
                <w:szCs w:val="15"/>
              </w:rPr>
            </w:pPr>
            <w:r>
              <w:rPr>
                <w:rFonts w:ascii="宋体" w:hAnsi="宋体" w:cs="宋体" w:eastAsia="宋体" w:hint="default"/>
                <w:sz w:val="15"/>
                <w:szCs w:val="15"/>
              </w:rPr>
              <w:t>是否经过</w:t>
            </w:r>
            <w:r>
              <w:rPr>
                <w:rFonts w:ascii="宋体" w:hAnsi="宋体" w:cs="宋体" w:eastAsia="宋体" w:hint="default"/>
                <w:w w:val="100"/>
                <w:sz w:val="15"/>
                <w:szCs w:val="15"/>
              </w:rPr>
              <w:t> </w:t>
            </w:r>
            <w:r>
              <w:rPr>
                <w:rFonts w:ascii="宋体" w:hAnsi="宋体" w:cs="宋体" w:eastAsia="宋体" w:hint="default"/>
                <w:sz w:val="15"/>
                <w:szCs w:val="15"/>
              </w:rPr>
              <w:t>法定程序</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2" w:right="0"/>
              <w:jc w:val="both"/>
              <w:rPr>
                <w:rFonts w:ascii="宋体" w:hAnsi="宋体" w:cs="宋体" w:eastAsia="宋体" w:hint="default"/>
                <w:sz w:val="15"/>
                <w:szCs w:val="15"/>
              </w:rPr>
            </w:pPr>
            <w:r>
              <w:rPr>
                <w:rFonts w:ascii="宋体" w:hAnsi="宋体" w:cs="宋体" w:eastAsia="宋体" w:hint="default"/>
                <w:sz w:val="15"/>
                <w:szCs w:val="15"/>
              </w:rPr>
              <w:t>未来是</w:t>
            </w:r>
          </w:p>
          <w:p>
            <w:pPr>
              <w:pStyle w:val="TableParagraph"/>
              <w:spacing w:line="240" w:lineRule="auto"/>
              <w:ind w:left="122" w:right="119"/>
              <w:jc w:val="both"/>
              <w:rPr>
                <w:rFonts w:ascii="宋体" w:hAnsi="宋体" w:cs="宋体" w:eastAsia="宋体" w:hint="default"/>
                <w:sz w:val="15"/>
                <w:szCs w:val="15"/>
              </w:rPr>
            </w:pPr>
            <w:r>
              <w:rPr>
                <w:rFonts w:ascii="宋体" w:hAnsi="宋体" w:cs="宋体" w:eastAsia="宋体" w:hint="default"/>
                <w:sz w:val="15"/>
                <w:szCs w:val="15"/>
              </w:rPr>
              <w:t>否有委</w:t>
            </w:r>
            <w:r>
              <w:rPr>
                <w:rFonts w:ascii="宋体" w:hAnsi="宋体" w:cs="宋体" w:eastAsia="宋体" w:hint="default"/>
                <w:spacing w:val="-72"/>
                <w:sz w:val="15"/>
                <w:szCs w:val="15"/>
              </w:rPr>
              <w:t> </w:t>
            </w:r>
            <w:r>
              <w:rPr>
                <w:rFonts w:ascii="宋体" w:hAnsi="宋体" w:cs="宋体" w:eastAsia="宋体" w:hint="default"/>
                <w:sz w:val="15"/>
                <w:szCs w:val="15"/>
              </w:rPr>
              <w:t>托理财</w:t>
            </w:r>
            <w:r>
              <w:rPr>
                <w:rFonts w:ascii="宋体" w:hAnsi="宋体" w:cs="宋体" w:eastAsia="宋体" w:hint="default"/>
                <w:spacing w:val="-72"/>
                <w:sz w:val="15"/>
                <w:szCs w:val="15"/>
              </w:rPr>
              <w:t> </w:t>
            </w:r>
            <w:r>
              <w:rPr>
                <w:rFonts w:ascii="宋体" w:hAnsi="宋体" w:cs="宋体" w:eastAsia="宋体" w:hint="default"/>
                <w:sz w:val="15"/>
                <w:szCs w:val="15"/>
              </w:rPr>
              <w:t>计划</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23" w:right="98"/>
              <w:jc w:val="right"/>
              <w:rPr>
                <w:rFonts w:ascii="宋体" w:hAnsi="宋体" w:cs="宋体" w:eastAsia="宋体" w:hint="default"/>
                <w:sz w:val="15"/>
                <w:szCs w:val="15"/>
              </w:rPr>
            </w:pPr>
            <w:r>
              <w:rPr>
                <w:rFonts w:ascii="宋体" w:hAnsi="宋体" w:cs="宋体" w:eastAsia="宋体" w:hint="default"/>
                <w:spacing w:val="-1"/>
                <w:sz w:val="15"/>
                <w:szCs w:val="15"/>
              </w:rPr>
              <w:t>减值准备</w:t>
            </w:r>
            <w:r>
              <w:rPr>
                <w:rFonts w:ascii="宋体" w:hAnsi="宋体" w:cs="宋体" w:eastAsia="宋体" w:hint="default"/>
                <w:w w:val="100"/>
                <w:sz w:val="15"/>
                <w:szCs w:val="15"/>
              </w:rPr>
              <w:t> </w:t>
            </w:r>
            <w:r>
              <w:rPr>
                <w:rFonts w:ascii="宋体" w:hAnsi="宋体" w:cs="宋体" w:eastAsia="宋体" w:hint="default"/>
                <w:spacing w:val="-1"/>
                <w:sz w:val="15"/>
                <w:szCs w:val="15"/>
              </w:rPr>
              <w:t>计提金额</w:t>
            </w:r>
            <w:r>
              <w:rPr>
                <w:rFonts w:ascii="宋体" w:hAnsi="宋体" w:cs="宋体" w:eastAsia="宋体" w:hint="default"/>
                <w:w w:val="100"/>
                <w:sz w:val="15"/>
                <w:szCs w:val="15"/>
              </w:rPr>
              <w:t> </w:t>
            </w:r>
            <w:r>
              <w:rPr>
                <w:rFonts w:ascii="宋体" w:hAnsi="宋体" w:cs="宋体" w:eastAsia="宋体" w:hint="default"/>
                <w:spacing w:val="-1"/>
                <w:sz w:val="15"/>
                <w:szCs w:val="15"/>
              </w:rPr>
              <w:t>(</w:t>
            </w:r>
            <w:r>
              <w:rPr>
                <w:rFonts w:ascii="宋体" w:hAnsi="宋体" w:cs="宋体" w:eastAsia="宋体" w:hint="default"/>
                <w:spacing w:val="-1"/>
                <w:sz w:val="15"/>
                <w:szCs w:val="15"/>
              </w:rPr>
              <w:t>如有</w:t>
            </w:r>
            <w:r>
              <w:rPr>
                <w:rFonts w:ascii="宋体" w:hAnsi="宋体" w:cs="宋体" w:eastAsia="宋体" w:hint="default"/>
                <w:spacing w:val="-1"/>
                <w:sz w:val="15"/>
                <w:szCs w:val="15"/>
              </w:rPr>
              <w:t>)</w:t>
            </w:r>
          </w:p>
        </w:tc>
      </w:tr>
      <w:tr>
        <w:trPr>
          <w:trHeight w:val="59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招商银行点金公司理财日益</w:t>
            </w:r>
          </w:p>
          <w:p>
            <w:pPr>
              <w:pStyle w:val="TableParagraph"/>
              <w:spacing w:line="240" w:lineRule="auto"/>
              <w:ind w:left="103" w:right="358"/>
              <w:jc w:val="left"/>
              <w:rPr>
                <w:rFonts w:ascii="宋体" w:hAnsi="宋体" w:cs="宋体" w:eastAsia="宋体" w:hint="default"/>
                <w:sz w:val="15"/>
                <w:szCs w:val="15"/>
              </w:rPr>
            </w:pPr>
            <w:r>
              <w:rPr>
                <w:rFonts w:ascii="宋体" w:hAnsi="宋体" w:cs="宋体" w:eastAsia="宋体" w:hint="default"/>
                <w:spacing w:val="-2"/>
                <w:sz w:val="15"/>
                <w:szCs w:val="15"/>
              </w:rPr>
              <w:t>月鑫理财计划（日益月鑫</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92090</w:t>
            </w:r>
            <w:r>
              <w:rPr>
                <w:rFonts w:ascii="宋体" w:hAnsi="宋体" w:cs="宋体" w:eastAsia="宋体" w:hint="default"/>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sz w:val="15"/>
              </w:rPr>
              <w:t>2018/8/17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sz w:val="15"/>
              </w:rPr>
              <w:t>2018/11/15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49"/>
              <w:jc w:val="left"/>
              <w:rPr>
                <w:rFonts w:ascii="宋体" w:hAnsi="宋体" w:cs="宋体" w:eastAsia="宋体" w:hint="default"/>
                <w:sz w:val="15"/>
                <w:szCs w:val="15"/>
              </w:rPr>
            </w:pPr>
            <w:r>
              <w:rPr>
                <w:rFonts w:ascii="宋体" w:hAnsi="宋体" w:cs="宋体" w:eastAsia="宋体" w:hint="default"/>
                <w:sz w:val="15"/>
                <w:szCs w:val="15"/>
              </w:rPr>
              <w:t>自有</w:t>
            </w:r>
            <w:r>
              <w:rPr>
                <w:rFonts w:ascii="宋体" w:hAnsi="宋体" w:cs="宋体" w:eastAsia="宋体" w:hint="default"/>
                <w:spacing w:val="-73"/>
                <w:sz w:val="15"/>
                <w:szCs w:val="15"/>
              </w:rPr>
              <w:t> </w:t>
            </w: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43"/>
              <w:jc w:val="left"/>
              <w:rPr>
                <w:rFonts w:ascii="宋体" w:hAnsi="宋体" w:cs="宋体" w:eastAsia="宋体" w:hint="default"/>
                <w:sz w:val="15"/>
                <w:szCs w:val="15"/>
              </w:rPr>
            </w:pPr>
            <w:r>
              <w:rPr>
                <w:rFonts w:ascii="宋体" w:hAnsi="宋体" w:cs="宋体" w:eastAsia="宋体" w:hint="default"/>
                <w:sz w:val="15"/>
                <w:szCs w:val="15"/>
              </w:rPr>
              <w:t>银行理</w:t>
            </w:r>
            <w:r>
              <w:rPr>
                <w:rFonts w:ascii="宋体" w:hAnsi="宋体" w:cs="宋体" w:eastAsia="宋体" w:hint="default"/>
                <w:spacing w:val="-72"/>
                <w:sz w:val="15"/>
                <w:szCs w:val="15"/>
              </w:rPr>
              <w:t> </w:t>
            </w: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49"/>
              <w:jc w:val="left"/>
              <w:rPr>
                <w:rFonts w:ascii="宋体" w:hAnsi="宋体" w:cs="宋体" w:eastAsia="宋体" w:hint="default"/>
                <w:sz w:val="15"/>
                <w:szCs w:val="15"/>
              </w:rPr>
            </w:pPr>
            <w:r>
              <w:rPr>
                <w:rFonts w:ascii="宋体" w:hAnsi="宋体" w:cs="宋体" w:eastAsia="宋体" w:hint="default"/>
                <w:sz w:val="15"/>
                <w:szCs w:val="15"/>
              </w:rPr>
              <w:t>浮动</w:t>
            </w:r>
            <w:r>
              <w:rPr>
                <w:rFonts w:ascii="宋体" w:hAnsi="宋体" w:cs="宋体" w:eastAsia="宋体" w:hint="default"/>
                <w:spacing w:val="-73"/>
                <w:sz w:val="15"/>
                <w:szCs w:val="15"/>
              </w:rPr>
              <w:t> </w:t>
            </w: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96"/>
              <w:jc w:val="right"/>
              <w:rPr>
                <w:rFonts w:ascii="宋体" w:hAnsi="宋体" w:cs="宋体" w:eastAsia="宋体" w:hint="default"/>
                <w:sz w:val="15"/>
                <w:szCs w:val="15"/>
              </w:rPr>
            </w:pPr>
            <w:r>
              <w:rPr>
                <w:rFonts w:ascii="宋体"/>
                <w:sz w:val="15"/>
              </w:rPr>
              <w:t>54</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5,000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招商银行日益月鑫理财计划</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B </w:t>
            </w:r>
            <w:r>
              <w:rPr>
                <w:rFonts w:ascii="宋体" w:hAnsi="宋体" w:cs="宋体" w:eastAsia="宋体" w:hint="default"/>
                <w:sz w:val="15"/>
                <w:szCs w:val="15"/>
              </w:rPr>
              <w:t>款（日益月鑫</w:t>
            </w:r>
            <w:r>
              <w:rPr>
                <w:rFonts w:ascii="宋体" w:hAnsi="宋体" w:cs="宋体" w:eastAsia="宋体" w:hint="default"/>
                <w:spacing w:val="-40"/>
                <w:sz w:val="15"/>
                <w:szCs w:val="15"/>
              </w:rPr>
              <w:t> </w:t>
            </w:r>
            <w:r>
              <w:rPr>
                <w:rFonts w:ascii="宋体" w:hAnsi="宋体" w:cs="宋体" w:eastAsia="宋体" w:hint="default"/>
                <w:sz w:val="15"/>
                <w:szCs w:val="15"/>
              </w:rPr>
              <w:t>92030</w:t>
            </w:r>
            <w:r>
              <w:rPr>
                <w:rFonts w:ascii="宋体" w:hAnsi="宋体" w:cs="宋体" w:eastAsia="宋体" w:hint="default"/>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5,500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2018/8/20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2018/9/19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6"/>
              <w:jc w:val="right"/>
              <w:rPr>
                <w:rFonts w:ascii="宋体" w:hAnsi="宋体" w:cs="宋体" w:eastAsia="宋体" w:hint="default"/>
                <w:sz w:val="15"/>
                <w:szCs w:val="15"/>
              </w:rPr>
            </w:pPr>
            <w:r>
              <w:rPr>
                <w:rFonts w:ascii="宋体"/>
                <w:sz w:val="15"/>
              </w:rPr>
              <w:t>40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5"/>
                <w:szCs w:val="15"/>
              </w:rPr>
            </w:pPr>
            <w:r>
              <w:rPr>
                <w:rFonts w:ascii="宋体"/>
                <w:spacing w:val="-1"/>
                <w:sz w:val="15"/>
              </w:rPr>
              <w:t>5,500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招商银行点金公司理财日益</w:t>
            </w:r>
          </w:p>
          <w:p>
            <w:pPr>
              <w:pStyle w:val="TableParagraph"/>
              <w:spacing w:line="240" w:lineRule="auto"/>
              <w:ind w:left="103" w:right="358"/>
              <w:jc w:val="left"/>
              <w:rPr>
                <w:rFonts w:ascii="宋体" w:hAnsi="宋体" w:cs="宋体" w:eastAsia="宋体" w:hint="default"/>
                <w:sz w:val="15"/>
                <w:szCs w:val="15"/>
              </w:rPr>
            </w:pPr>
            <w:r>
              <w:rPr>
                <w:rFonts w:ascii="宋体" w:hAnsi="宋体" w:cs="宋体" w:eastAsia="宋体" w:hint="default"/>
                <w:spacing w:val="-2"/>
                <w:sz w:val="15"/>
                <w:szCs w:val="15"/>
              </w:rPr>
              <w:t>月鑫理财计划（日益月鑫</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92060</w:t>
            </w:r>
            <w:r>
              <w:rPr>
                <w:rFonts w:ascii="宋体" w:hAnsi="宋体" w:cs="宋体" w:eastAsia="宋体" w:hint="default"/>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4,000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sz w:val="15"/>
              </w:rPr>
              <w:t>2018/9/5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sz w:val="15"/>
              </w:rPr>
              <w:t>2018/11/5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149"/>
              <w:jc w:val="left"/>
              <w:rPr>
                <w:rFonts w:ascii="宋体" w:hAnsi="宋体" w:cs="宋体" w:eastAsia="宋体" w:hint="default"/>
                <w:sz w:val="15"/>
                <w:szCs w:val="15"/>
              </w:rPr>
            </w:pPr>
            <w:r>
              <w:rPr>
                <w:rFonts w:ascii="宋体" w:hAnsi="宋体" w:cs="宋体" w:eastAsia="宋体" w:hint="default"/>
                <w:sz w:val="15"/>
                <w:szCs w:val="15"/>
              </w:rPr>
              <w:t>自有</w:t>
            </w:r>
            <w:r>
              <w:rPr>
                <w:rFonts w:ascii="宋体" w:hAnsi="宋体" w:cs="宋体" w:eastAsia="宋体" w:hint="default"/>
                <w:spacing w:val="-73"/>
                <w:sz w:val="15"/>
                <w:szCs w:val="15"/>
              </w:rPr>
              <w:t> </w:t>
            </w: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143"/>
              <w:jc w:val="left"/>
              <w:rPr>
                <w:rFonts w:ascii="宋体" w:hAnsi="宋体" w:cs="宋体" w:eastAsia="宋体" w:hint="default"/>
                <w:sz w:val="15"/>
                <w:szCs w:val="15"/>
              </w:rPr>
            </w:pPr>
            <w:r>
              <w:rPr>
                <w:rFonts w:ascii="宋体" w:hAnsi="宋体" w:cs="宋体" w:eastAsia="宋体" w:hint="default"/>
                <w:sz w:val="15"/>
                <w:szCs w:val="15"/>
              </w:rPr>
              <w:t>银行理</w:t>
            </w:r>
            <w:r>
              <w:rPr>
                <w:rFonts w:ascii="宋体" w:hAnsi="宋体" w:cs="宋体" w:eastAsia="宋体" w:hint="default"/>
                <w:spacing w:val="-72"/>
                <w:sz w:val="15"/>
                <w:szCs w:val="15"/>
              </w:rPr>
              <w:t> </w:t>
            </w: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149"/>
              <w:jc w:val="left"/>
              <w:rPr>
                <w:rFonts w:ascii="宋体" w:hAnsi="宋体" w:cs="宋体" w:eastAsia="宋体" w:hint="default"/>
                <w:sz w:val="15"/>
                <w:szCs w:val="15"/>
              </w:rPr>
            </w:pPr>
            <w:r>
              <w:rPr>
                <w:rFonts w:ascii="宋体" w:hAnsi="宋体" w:cs="宋体" w:eastAsia="宋体" w:hint="default"/>
                <w:sz w:val="15"/>
                <w:szCs w:val="15"/>
              </w:rPr>
              <w:t>浮动</w:t>
            </w:r>
            <w:r>
              <w:rPr>
                <w:rFonts w:ascii="宋体" w:hAnsi="宋体" w:cs="宋体" w:eastAsia="宋体" w:hint="default"/>
                <w:spacing w:val="-73"/>
                <w:sz w:val="15"/>
                <w:szCs w:val="15"/>
              </w:rPr>
              <w:t> </w:t>
            </w: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96"/>
              <w:jc w:val="right"/>
              <w:rPr>
                <w:rFonts w:ascii="宋体" w:hAnsi="宋体" w:cs="宋体" w:eastAsia="宋体" w:hint="default"/>
                <w:sz w:val="15"/>
                <w:szCs w:val="15"/>
              </w:rPr>
            </w:pPr>
            <w:r>
              <w:rPr>
                <w:rFonts w:ascii="宋体"/>
                <w:sz w:val="15"/>
              </w:rPr>
              <w:t>29</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4,000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招商银行日益月鑫理财计划</w:t>
            </w:r>
            <w:r>
              <w:rPr>
                <w:rFonts w:ascii="宋体" w:hAnsi="宋体" w:cs="宋体" w:eastAsia="宋体" w:hint="default"/>
                <w:spacing w:val="-41"/>
                <w:sz w:val="15"/>
                <w:szCs w:val="15"/>
              </w:rPr>
              <w:t> </w:t>
            </w:r>
            <w:r>
              <w:rPr>
                <w:rFonts w:ascii="宋体" w:hAnsi="宋体" w:cs="宋体" w:eastAsia="宋体" w:hint="default"/>
                <w:sz w:val="15"/>
                <w:szCs w:val="15"/>
              </w:rPr>
              <w:t>B</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款（日益月鑫</w:t>
            </w:r>
            <w:r>
              <w:rPr>
                <w:rFonts w:ascii="宋体" w:hAnsi="宋体" w:cs="宋体" w:eastAsia="宋体" w:hint="default"/>
                <w:spacing w:val="-41"/>
                <w:sz w:val="15"/>
                <w:szCs w:val="15"/>
              </w:rPr>
              <w:t> </w:t>
            </w:r>
            <w:r>
              <w:rPr>
                <w:rFonts w:ascii="宋体" w:hAnsi="宋体" w:cs="宋体" w:eastAsia="宋体" w:hint="default"/>
                <w:sz w:val="15"/>
                <w:szCs w:val="15"/>
              </w:rPr>
              <w:t>90090</w:t>
            </w:r>
            <w:r>
              <w:rPr>
                <w:rFonts w:ascii="宋体" w:hAnsi="宋体" w:cs="宋体" w:eastAsia="宋体" w:hint="default"/>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2018/9/28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2018/12/28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6"/>
              <w:jc w:val="right"/>
              <w:rPr>
                <w:rFonts w:ascii="宋体" w:hAnsi="宋体" w:cs="宋体" w:eastAsia="宋体" w:hint="default"/>
                <w:sz w:val="15"/>
                <w:szCs w:val="15"/>
              </w:rPr>
            </w:pPr>
            <w:r>
              <w:rPr>
                <w:rFonts w:ascii="宋体"/>
                <w:sz w:val="15"/>
              </w:rPr>
              <w:t>51</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5"/>
                <w:szCs w:val="15"/>
              </w:rPr>
            </w:pPr>
            <w:r>
              <w:rPr>
                <w:rFonts w:ascii="宋体"/>
                <w:spacing w:val="-1"/>
                <w:sz w:val="15"/>
              </w:rPr>
              <w:t>5,000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招商银行日益月鑫理财计划</w:t>
            </w:r>
            <w:r>
              <w:rPr>
                <w:rFonts w:ascii="宋体" w:hAnsi="宋体" w:cs="宋体" w:eastAsia="宋体" w:hint="default"/>
                <w:spacing w:val="-41"/>
                <w:sz w:val="15"/>
                <w:szCs w:val="15"/>
              </w:rPr>
              <w:t> </w:t>
            </w:r>
            <w:r>
              <w:rPr>
                <w:rFonts w:ascii="宋体" w:hAnsi="宋体" w:cs="宋体" w:eastAsia="宋体" w:hint="default"/>
                <w:sz w:val="15"/>
                <w:szCs w:val="15"/>
              </w:rPr>
              <w:t>B</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款（日益月鑫</w:t>
            </w:r>
            <w:r>
              <w:rPr>
                <w:rFonts w:ascii="宋体" w:hAnsi="宋体" w:cs="宋体" w:eastAsia="宋体" w:hint="default"/>
                <w:spacing w:val="-41"/>
                <w:sz w:val="15"/>
                <w:szCs w:val="15"/>
              </w:rPr>
              <w:t> </w:t>
            </w:r>
            <w:r>
              <w:rPr>
                <w:rFonts w:ascii="宋体" w:hAnsi="宋体" w:cs="宋体" w:eastAsia="宋体" w:hint="default"/>
                <w:sz w:val="15"/>
                <w:szCs w:val="15"/>
              </w:rPr>
              <w:t>90030</w:t>
            </w:r>
            <w:r>
              <w:rPr>
                <w:rFonts w:ascii="宋体" w:hAnsi="宋体" w:cs="宋体" w:eastAsia="宋体" w:hint="default"/>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3,000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2018/9/28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2018/10/29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6"/>
              <w:jc w:val="right"/>
              <w:rPr>
                <w:rFonts w:ascii="宋体" w:hAnsi="宋体" w:cs="宋体" w:eastAsia="宋体" w:hint="default"/>
                <w:sz w:val="15"/>
                <w:szCs w:val="15"/>
              </w:rPr>
            </w:pPr>
            <w:r>
              <w:rPr>
                <w:rFonts w:ascii="宋体"/>
                <w:sz w:val="15"/>
              </w:rPr>
              <w:t>10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5"/>
                <w:szCs w:val="15"/>
              </w:rPr>
            </w:pPr>
            <w:r>
              <w:rPr>
                <w:rFonts w:ascii="宋体"/>
                <w:spacing w:val="-1"/>
                <w:sz w:val="15"/>
              </w:rPr>
              <w:t>3,000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招商银行日益月鑫理财计划</w:t>
            </w:r>
            <w:r>
              <w:rPr>
                <w:rFonts w:ascii="宋体" w:hAnsi="宋体" w:cs="宋体" w:eastAsia="宋体" w:hint="default"/>
                <w:spacing w:val="-41"/>
                <w:sz w:val="15"/>
                <w:szCs w:val="15"/>
              </w:rPr>
              <w:t> </w:t>
            </w:r>
            <w:r>
              <w:rPr>
                <w:rFonts w:ascii="宋体" w:hAnsi="宋体" w:cs="宋体" w:eastAsia="宋体" w:hint="default"/>
                <w:sz w:val="15"/>
                <w:szCs w:val="15"/>
              </w:rPr>
              <w:t>B</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款（日益月鑫</w:t>
            </w:r>
            <w:r>
              <w:rPr>
                <w:rFonts w:ascii="宋体" w:hAnsi="宋体" w:cs="宋体" w:eastAsia="宋体" w:hint="default"/>
                <w:spacing w:val="-41"/>
                <w:sz w:val="15"/>
                <w:szCs w:val="15"/>
              </w:rPr>
              <w:t> </w:t>
            </w:r>
            <w:r>
              <w:rPr>
                <w:rFonts w:ascii="宋体" w:hAnsi="宋体" w:cs="宋体" w:eastAsia="宋体" w:hint="default"/>
                <w:sz w:val="15"/>
                <w:szCs w:val="15"/>
              </w:rPr>
              <w:t>90030</w:t>
            </w:r>
            <w:r>
              <w:rPr>
                <w:rFonts w:ascii="宋体" w:hAnsi="宋体" w:cs="宋体" w:eastAsia="宋体" w:hint="default"/>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3,000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sz w:val="15"/>
              </w:rPr>
              <w:t>2018/10/31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sz w:val="15"/>
              </w:rPr>
              <w:t>2018/11/30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6"/>
              <w:jc w:val="right"/>
              <w:rPr>
                <w:rFonts w:ascii="宋体" w:hAnsi="宋体" w:cs="宋体" w:eastAsia="宋体" w:hint="default"/>
                <w:sz w:val="15"/>
                <w:szCs w:val="15"/>
              </w:rPr>
            </w:pPr>
            <w:r>
              <w:rPr>
                <w:rFonts w:ascii="宋体"/>
                <w:sz w:val="15"/>
              </w:rPr>
              <w:t>10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3,000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招商银行日益月鑫理财计划</w:t>
            </w:r>
            <w:r>
              <w:rPr>
                <w:rFonts w:ascii="宋体" w:hAnsi="宋体" w:cs="宋体" w:eastAsia="宋体" w:hint="default"/>
                <w:spacing w:val="-41"/>
                <w:sz w:val="15"/>
                <w:szCs w:val="15"/>
              </w:rPr>
              <w:t> </w:t>
            </w:r>
            <w:r>
              <w:rPr>
                <w:rFonts w:ascii="宋体" w:hAnsi="宋体" w:cs="宋体" w:eastAsia="宋体" w:hint="default"/>
                <w:sz w:val="15"/>
                <w:szCs w:val="15"/>
              </w:rPr>
              <w:t>B</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款（日益月鑫</w:t>
            </w:r>
            <w:r>
              <w:rPr>
                <w:rFonts w:ascii="宋体" w:hAnsi="宋体" w:cs="宋体" w:eastAsia="宋体" w:hint="default"/>
                <w:spacing w:val="-41"/>
                <w:sz w:val="15"/>
                <w:szCs w:val="15"/>
              </w:rPr>
              <w:t> </w:t>
            </w:r>
            <w:r>
              <w:rPr>
                <w:rFonts w:ascii="宋体" w:hAnsi="宋体" w:cs="宋体" w:eastAsia="宋体" w:hint="default"/>
                <w:sz w:val="15"/>
                <w:szCs w:val="15"/>
              </w:rPr>
              <w:t>90090</w:t>
            </w:r>
            <w:r>
              <w:rPr>
                <w:rFonts w:ascii="宋体" w:hAnsi="宋体" w:cs="宋体" w:eastAsia="宋体" w:hint="default"/>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4,500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w:t>
            </w:r>
            <w:r>
              <w:rPr>
                <w:rFonts w:ascii="宋体"/>
                <w:spacing w:val="-3"/>
                <w:sz w:val="15"/>
              </w:rPr>
              <w:t> </w:t>
            </w:r>
            <w:r>
              <w:rPr>
                <w:rFonts w:ascii="宋体"/>
                <w:sz w:val="15"/>
              </w:rPr>
              <w:t>11/7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2019/2/5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596"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招商银行点金公司理财日益</w:t>
            </w:r>
          </w:p>
          <w:p>
            <w:pPr>
              <w:pStyle w:val="TableParagraph"/>
              <w:spacing w:line="240" w:lineRule="auto"/>
              <w:ind w:left="103" w:right="358"/>
              <w:jc w:val="left"/>
              <w:rPr>
                <w:rFonts w:ascii="宋体" w:hAnsi="宋体" w:cs="宋体" w:eastAsia="宋体" w:hint="default"/>
                <w:sz w:val="15"/>
                <w:szCs w:val="15"/>
              </w:rPr>
            </w:pPr>
            <w:r>
              <w:rPr>
                <w:rFonts w:ascii="宋体" w:hAnsi="宋体" w:cs="宋体" w:eastAsia="宋体" w:hint="default"/>
                <w:spacing w:val="-2"/>
                <w:sz w:val="15"/>
                <w:szCs w:val="15"/>
              </w:rPr>
              <w:t>月鑫理财计划（日益月鑫</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92090</w:t>
            </w:r>
            <w:r>
              <w:rPr>
                <w:rFonts w:ascii="宋体" w:hAnsi="宋体" w:cs="宋体" w:eastAsia="宋体" w:hint="default"/>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sz w:val="15"/>
              </w:rPr>
              <w:t>2018/12/4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sz w:val="15"/>
              </w:rPr>
              <w:t>2019/3/4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49"/>
              <w:jc w:val="left"/>
              <w:rPr>
                <w:rFonts w:ascii="宋体" w:hAnsi="宋体" w:cs="宋体" w:eastAsia="宋体" w:hint="default"/>
                <w:sz w:val="15"/>
                <w:szCs w:val="15"/>
              </w:rPr>
            </w:pPr>
            <w:r>
              <w:rPr>
                <w:rFonts w:ascii="宋体" w:hAnsi="宋体" w:cs="宋体" w:eastAsia="宋体" w:hint="default"/>
                <w:sz w:val="15"/>
                <w:szCs w:val="15"/>
              </w:rPr>
              <w:t>自有</w:t>
            </w:r>
            <w:r>
              <w:rPr>
                <w:rFonts w:ascii="宋体" w:hAnsi="宋体" w:cs="宋体" w:eastAsia="宋体" w:hint="default"/>
                <w:spacing w:val="-73"/>
                <w:sz w:val="15"/>
                <w:szCs w:val="15"/>
              </w:rPr>
              <w:t> </w:t>
            </w: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43"/>
              <w:jc w:val="left"/>
              <w:rPr>
                <w:rFonts w:ascii="宋体" w:hAnsi="宋体" w:cs="宋体" w:eastAsia="宋体" w:hint="default"/>
                <w:sz w:val="15"/>
                <w:szCs w:val="15"/>
              </w:rPr>
            </w:pPr>
            <w:r>
              <w:rPr>
                <w:rFonts w:ascii="宋体" w:hAnsi="宋体" w:cs="宋体" w:eastAsia="宋体" w:hint="default"/>
                <w:sz w:val="15"/>
                <w:szCs w:val="15"/>
              </w:rPr>
              <w:t>银行理</w:t>
            </w:r>
            <w:r>
              <w:rPr>
                <w:rFonts w:ascii="宋体" w:hAnsi="宋体" w:cs="宋体" w:eastAsia="宋体" w:hint="default"/>
                <w:spacing w:val="-72"/>
                <w:sz w:val="15"/>
                <w:szCs w:val="15"/>
              </w:rPr>
              <w:t> </w:t>
            </w: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49"/>
              <w:jc w:val="left"/>
              <w:rPr>
                <w:rFonts w:ascii="宋体" w:hAnsi="宋体" w:cs="宋体" w:eastAsia="宋体" w:hint="default"/>
                <w:sz w:val="15"/>
                <w:szCs w:val="15"/>
              </w:rPr>
            </w:pPr>
            <w:r>
              <w:rPr>
                <w:rFonts w:ascii="宋体" w:hAnsi="宋体" w:cs="宋体" w:eastAsia="宋体" w:hint="default"/>
                <w:sz w:val="15"/>
                <w:szCs w:val="15"/>
              </w:rPr>
              <w:t>浮动</w:t>
            </w:r>
            <w:r>
              <w:rPr>
                <w:rFonts w:ascii="宋体" w:hAnsi="宋体" w:cs="宋体" w:eastAsia="宋体" w:hint="default"/>
                <w:spacing w:val="-73"/>
                <w:sz w:val="15"/>
                <w:szCs w:val="15"/>
              </w:rPr>
              <w:t> </w:t>
            </w: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招商银行朝招金（多元稳健</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型）理财计划</w:t>
            </w:r>
            <w:r>
              <w:rPr>
                <w:rFonts w:ascii="宋体" w:hAnsi="宋体" w:cs="宋体" w:eastAsia="宋体" w:hint="default"/>
                <w:spacing w:val="-39"/>
                <w:sz w:val="15"/>
                <w:szCs w:val="15"/>
              </w:rPr>
              <w:t> </w:t>
            </w:r>
            <w:r>
              <w:rPr>
                <w:rFonts w:ascii="宋体" w:hAnsi="宋体" w:cs="宋体" w:eastAsia="宋体" w:hint="default"/>
                <w:sz w:val="15"/>
                <w:szCs w:val="15"/>
              </w:rPr>
              <w:t>7007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32,170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sz w:val="15"/>
              </w:rPr>
              <w:t>2018/1/1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6"/>
              <w:jc w:val="right"/>
              <w:rPr>
                <w:rFonts w:ascii="宋体" w:hAnsi="宋体" w:cs="宋体" w:eastAsia="宋体" w:hint="default"/>
                <w:sz w:val="15"/>
                <w:szCs w:val="15"/>
              </w:rPr>
            </w:pPr>
            <w:r>
              <w:rPr>
                <w:rFonts w:ascii="宋体"/>
                <w:sz w:val="15"/>
              </w:rPr>
              <w:t>53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2"/>
                <w:sz w:val="15"/>
              </w:rPr>
              <w:t>24,820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招商银行朝招金（多元稳健</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型）理财计划</w:t>
            </w:r>
            <w:r>
              <w:rPr>
                <w:rFonts w:ascii="宋体" w:hAnsi="宋体" w:cs="宋体" w:eastAsia="宋体" w:hint="default"/>
                <w:spacing w:val="-39"/>
                <w:sz w:val="15"/>
                <w:szCs w:val="15"/>
              </w:rPr>
              <w:t> </w:t>
            </w:r>
            <w:r>
              <w:rPr>
                <w:rFonts w:ascii="宋体" w:hAnsi="宋体" w:cs="宋体" w:eastAsia="宋体" w:hint="default"/>
                <w:sz w:val="15"/>
                <w:szCs w:val="15"/>
              </w:rPr>
              <w:t>7008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4,180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sz w:val="15"/>
              </w:rPr>
              <w:t>2018/1/2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6"/>
              <w:jc w:val="right"/>
              <w:rPr>
                <w:rFonts w:ascii="宋体" w:hAnsi="宋体" w:cs="宋体" w:eastAsia="宋体" w:hint="default"/>
                <w:sz w:val="15"/>
                <w:szCs w:val="15"/>
              </w:rPr>
            </w:pPr>
            <w:r>
              <w:rPr>
                <w:rFonts w:ascii="宋体"/>
                <w:sz w:val="15"/>
              </w:rPr>
              <w:t>54</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4,180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招商银行股份有限公司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招商银行朝招金（多元稳健</w:t>
            </w: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pacing w:val="-8"/>
                <w:sz w:val="15"/>
                <w:szCs w:val="15"/>
              </w:rPr>
              <w:t>型）理财计划</w:t>
            </w:r>
            <w:r>
              <w:rPr>
                <w:rFonts w:ascii="宋体" w:hAnsi="宋体" w:cs="宋体" w:eastAsia="宋体" w:hint="default"/>
                <w:spacing w:val="6"/>
                <w:sz w:val="15"/>
                <w:szCs w:val="15"/>
              </w:rPr>
              <w:t> </w:t>
            </w:r>
            <w:r>
              <w:rPr>
                <w:rFonts w:ascii="宋体" w:hAnsi="宋体" w:cs="宋体" w:eastAsia="宋体" w:hint="default"/>
                <w:sz w:val="15"/>
                <w:szCs w:val="15"/>
              </w:rPr>
              <w:t>/</w:t>
            </w:r>
            <w:r>
              <w:rPr>
                <w:rFonts w:ascii="宋体" w:hAnsi="宋体" w:cs="宋体" w:eastAsia="宋体" w:hint="default"/>
                <w:sz w:val="15"/>
                <w:szCs w:val="15"/>
              </w:rPr>
              <w:t>招商银行朝招</w:t>
            </w:r>
            <w:r>
              <w:rPr>
                <w:rFonts w:ascii="宋体" w:hAnsi="宋体" w:cs="宋体" w:eastAsia="宋体" w:hint="default"/>
                <w:w w:val="100"/>
                <w:sz w:val="15"/>
                <w:szCs w:val="15"/>
              </w:rPr>
              <w:t> </w:t>
            </w:r>
            <w:r>
              <w:rPr>
                <w:rFonts w:ascii="宋体" w:hAnsi="宋体" w:cs="宋体" w:eastAsia="宋体" w:hint="default"/>
                <w:sz w:val="15"/>
                <w:szCs w:val="15"/>
              </w:rPr>
              <w:t>金（多元积极型）理财计划</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2,000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sz w:val="15"/>
              </w:rPr>
              <w:t>2017/1/6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49"/>
              <w:jc w:val="left"/>
              <w:rPr>
                <w:rFonts w:ascii="宋体" w:hAnsi="宋体" w:cs="宋体" w:eastAsia="宋体" w:hint="default"/>
                <w:sz w:val="15"/>
                <w:szCs w:val="15"/>
              </w:rPr>
            </w:pPr>
            <w:r>
              <w:rPr>
                <w:rFonts w:ascii="宋体" w:hAnsi="宋体" w:cs="宋体" w:eastAsia="宋体" w:hint="default"/>
                <w:sz w:val="15"/>
                <w:szCs w:val="15"/>
              </w:rPr>
              <w:t>自有</w:t>
            </w:r>
            <w:r>
              <w:rPr>
                <w:rFonts w:ascii="宋体" w:hAnsi="宋体" w:cs="宋体" w:eastAsia="宋体" w:hint="default"/>
                <w:spacing w:val="-73"/>
                <w:sz w:val="15"/>
                <w:szCs w:val="15"/>
              </w:rPr>
              <w:t> </w:t>
            </w: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43"/>
              <w:jc w:val="left"/>
              <w:rPr>
                <w:rFonts w:ascii="宋体" w:hAnsi="宋体" w:cs="宋体" w:eastAsia="宋体" w:hint="default"/>
                <w:sz w:val="15"/>
                <w:szCs w:val="15"/>
              </w:rPr>
            </w:pPr>
            <w:r>
              <w:rPr>
                <w:rFonts w:ascii="宋体" w:hAnsi="宋体" w:cs="宋体" w:eastAsia="宋体" w:hint="default"/>
                <w:sz w:val="15"/>
                <w:szCs w:val="15"/>
              </w:rPr>
              <w:t>银行理</w:t>
            </w:r>
            <w:r>
              <w:rPr>
                <w:rFonts w:ascii="宋体" w:hAnsi="宋体" w:cs="宋体" w:eastAsia="宋体" w:hint="default"/>
                <w:spacing w:val="-72"/>
                <w:sz w:val="15"/>
                <w:szCs w:val="15"/>
              </w:rPr>
              <w:t> </w:t>
            </w: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49"/>
              <w:jc w:val="left"/>
              <w:rPr>
                <w:rFonts w:ascii="宋体" w:hAnsi="宋体" w:cs="宋体" w:eastAsia="宋体" w:hint="default"/>
                <w:sz w:val="15"/>
                <w:szCs w:val="15"/>
              </w:rPr>
            </w:pPr>
            <w:r>
              <w:rPr>
                <w:rFonts w:ascii="宋体" w:hAnsi="宋体" w:cs="宋体" w:eastAsia="宋体" w:hint="default"/>
                <w:sz w:val="15"/>
                <w:szCs w:val="15"/>
              </w:rPr>
              <w:t>浮动</w:t>
            </w:r>
            <w:r>
              <w:rPr>
                <w:rFonts w:ascii="宋体" w:hAnsi="宋体" w:cs="宋体" w:eastAsia="宋体" w:hint="default"/>
                <w:spacing w:val="-73"/>
                <w:sz w:val="15"/>
                <w:szCs w:val="15"/>
              </w:rPr>
              <w:t> </w:t>
            </w: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2,000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中国银行股份有限公司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中银集富理财计划</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2017-382-HQ</w:t>
            </w:r>
            <w:r>
              <w:rPr>
                <w:rFonts w:ascii="宋体" w:hAnsi="宋体" w:cs="宋体" w:eastAsia="宋体" w:hint="default"/>
                <w:spacing w:val="-42"/>
                <w:sz w:val="15"/>
                <w:szCs w:val="15"/>
              </w:rPr>
              <w:t> </w:t>
            </w:r>
            <w:r>
              <w:rPr>
                <w:rFonts w:ascii="宋体" w:hAnsi="宋体" w:cs="宋体" w:eastAsia="宋体" w:hint="default"/>
                <w:sz w:val="15"/>
                <w:szCs w:val="15"/>
              </w:rPr>
              <w:t>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9,800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2017/10/12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2018/4/12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7"/>
              <w:jc w:val="right"/>
              <w:rPr>
                <w:rFonts w:ascii="宋体" w:hAnsi="宋体" w:cs="宋体" w:eastAsia="宋体" w:hint="default"/>
                <w:sz w:val="15"/>
                <w:szCs w:val="15"/>
              </w:rPr>
            </w:pPr>
            <w:r>
              <w:rPr>
                <w:rFonts w:ascii="宋体"/>
                <w:spacing w:val="-1"/>
                <w:sz w:val="15"/>
              </w:rPr>
              <w:t>239</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5"/>
                <w:szCs w:val="15"/>
              </w:rPr>
            </w:pPr>
            <w:r>
              <w:rPr>
                <w:rFonts w:ascii="宋体"/>
                <w:spacing w:val="-1"/>
                <w:sz w:val="15"/>
              </w:rPr>
              <w:t>9,800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中国银行股份有限公司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中银平稳</w:t>
            </w:r>
            <w:r>
              <w:rPr>
                <w:rFonts w:ascii="宋体" w:hAnsi="宋体" w:cs="宋体" w:eastAsia="宋体" w:hint="default"/>
                <w:sz w:val="15"/>
                <w:szCs w:val="15"/>
              </w:rPr>
              <w:t>-</w:t>
            </w:r>
            <w:r>
              <w:rPr>
                <w:rFonts w:ascii="宋体" w:hAnsi="宋体" w:cs="宋体" w:eastAsia="宋体" w:hint="default"/>
                <w:sz w:val="15"/>
                <w:szCs w:val="15"/>
              </w:rPr>
              <w:t>智荟系列</w:t>
            </w:r>
            <w:r>
              <w:rPr>
                <w:rFonts w:ascii="宋体" w:hAnsi="宋体" w:cs="宋体" w:eastAsia="宋体" w:hint="default"/>
                <w:spacing w:val="-40"/>
                <w:sz w:val="15"/>
                <w:szCs w:val="15"/>
              </w:rPr>
              <w:t> </w:t>
            </w:r>
            <w:r>
              <w:rPr>
                <w:rFonts w:ascii="宋体" w:hAnsi="宋体" w:cs="宋体" w:eastAsia="宋体" w:hint="default"/>
                <w:sz w:val="15"/>
                <w:szCs w:val="15"/>
              </w:rPr>
              <w:t>18855</w:t>
            </w:r>
            <w:r>
              <w:rPr>
                <w:rFonts w:ascii="宋体" w:hAnsi="宋体" w:cs="宋体" w:eastAsia="宋体" w:hint="default"/>
                <w:spacing w:val="-39"/>
                <w:sz w:val="15"/>
                <w:szCs w:val="15"/>
              </w:rPr>
              <w:t> </w:t>
            </w:r>
            <w:r>
              <w:rPr>
                <w:rFonts w:ascii="宋体" w:hAnsi="宋体" w:cs="宋体" w:eastAsia="宋体" w:hint="default"/>
                <w:sz w:val="15"/>
                <w:szCs w:val="15"/>
              </w:rPr>
              <w:t>期</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（深圳）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sz w:val="15"/>
              </w:rPr>
              <w:t>2018/4/20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sz w:val="15"/>
              </w:rPr>
              <w:t>2018/9/28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7"/>
              <w:jc w:val="right"/>
              <w:rPr>
                <w:rFonts w:ascii="宋体" w:hAnsi="宋体" w:cs="宋体" w:eastAsia="宋体" w:hint="default"/>
                <w:sz w:val="15"/>
                <w:szCs w:val="15"/>
              </w:rPr>
            </w:pPr>
            <w:r>
              <w:rPr>
                <w:rFonts w:ascii="宋体"/>
                <w:spacing w:val="-1"/>
                <w:sz w:val="15"/>
              </w:rPr>
              <w:t>210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2"/>
                <w:sz w:val="15"/>
              </w:rPr>
              <w:t>10,000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中国银行股份有限公司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中银智富</w:t>
            </w:r>
            <w:r>
              <w:rPr>
                <w:rFonts w:ascii="宋体" w:hAnsi="宋体" w:cs="宋体" w:eastAsia="宋体" w:hint="default"/>
                <w:sz w:val="15"/>
                <w:szCs w:val="15"/>
              </w:rPr>
              <w:t>-</w:t>
            </w:r>
            <w:r>
              <w:rPr>
                <w:rFonts w:ascii="宋体" w:hAnsi="宋体" w:cs="宋体" w:eastAsia="宋体" w:hint="default"/>
                <w:sz w:val="15"/>
                <w:szCs w:val="15"/>
              </w:rPr>
              <w:t>融荟系列理财计划</w:t>
            </w:r>
          </w:p>
          <w:p>
            <w:pPr>
              <w:pStyle w:val="TableParagraph"/>
              <w:tabs>
                <w:tab w:pos="890" w:val="left" w:leader="none"/>
              </w:tabs>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(182</w:t>
            </w:r>
            <w:r>
              <w:rPr>
                <w:rFonts w:ascii="宋体" w:hAnsi="宋体" w:cs="宋体" w:eastAsia="宋体" w:hint="default"/>
                <w:spacing w:val="-40"/>
                <w:sz w:val="15"/>
                <w:szCs w:val="15"/>
              </w:rPr>
              <w:t> </w:t>
            </w:r>
            <w:r>
              <w:rPr>
                <w:rFonts w:ascii="宋体" w:hAnsi="宋体" w:cs="宋体" w:eastAsia="宋体" w:hint="default"/>
                <w:sz w:val="15"/>
                <w:szCs w:val="15"/>
              </w:rPr>
              <w:t>天</w:t>
            </w:r>
            <w:r>
              <w:rPr>
                <w:rFonts w:ascii="宋体" w:hAnsi="宋体" w:cs="宋体" w:eastAsia="宋体" w:hint="default"/>
                <w:sz w:val="15"/>
                <w:szCs w:val="15"/>
              </w:rPr>
              <w:t>)</w:t>
              <w:tab/>
              <w:t>AMHQRH182DHW</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9,700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2018/10/10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2019/4/10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银行理</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财产品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浮动</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7" w:footer="1218" w:top="1320" w:bottom="140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p>
      <w:pPr>
        <w:pStyle w:val="Heading5"/>
        <w:spacing w:line="274" w:lineRule="exact" w:before="36"/>
        <w:ind w:left="138" w:right="0"/>
        <w:jc w:val="left"/>
        <w:rPr>
          <w:b w:val="0"/>
          <w:bCs w:val="0"/>
        </w:rPr>
      </w:pPr>
      <w:r>
        <w:rPr/>
        <w:t>其他情况</w:t>
      </w:r>
      <w:r>
        <w:rPr>
          <w:b w:val="0"/>
          <w:bCs w:val="0"/>
        </w:rPr>
      </w:r>
    </w:p>
    <w:p>
      <w:pPr>
        <w:pStyle w:val="BodyText"/>
        <w:tabs>
          <w:tab w:pos="980" w:val="left" w:leader="none"/>
        </w:tabs>
        <w:spacing w:line="272" w:lineRule="exact" w:before="27"/>
        <w:ind w:right="7263"/>
        <w:jc w:val="left"/>
      </w:pPr>
      <w:r>
        <w:rPr>
          <w:spacing w:val="-1"/>
        </w:rPr>
        <w:t>√适用</w:t>
        <w:tab/>
      </w:r>
      <w:r>
        <w:rPr>
          <w:spacing w:val="-2"/>
        </w:rPr>
        <w:t>□不适用</w:t>
      </w:r>
      <w:r>
        <w:rPr>
          <w:spacing w:val="-99"/>
        </w:rPr>
        <w:t> </w:t>
      </w:r>
      <w:r>
        <w:rPr>
          <w:spacing w:val="-99"/>
        </w:rPr>
      </w:r>
      <w:r>
        <w:rPr/>
        <w:t>无。</w:t>
      </w:r>
    </w:p>
    <w:p>
      <w:pPr>
        <w:spacing w:line="240" w:lineRule="auto" w:before="3"/>
        <w:rPr>
          <w:rFonts w:ascii="宋体" w:hAnsi="宋体" w:cs="宋体" w:eastAsia="宋体" w:hint="default"/>
          <w:sz w:val="26"/>
          <w:szCs w:val="26"/>
        </w:rPr>
      </w:pPr>
    </w:p>
    <w:p>
      <w:pPr>
        <w:pStyle w:val="Heading5"/>
        <w:spacing w:line="240" w:lineRule="auto"/>
        <w:ind w:left="13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tabs>
          <w:tab w:pos="980" w:val="left" w:leader="none"/>
        </w:tabs>
        <w:spacing w:line="240" w:lineRule="auto" w:before="58"/>
        <w:ind w:right="0"/>
        <w:jc w:val="left"/>
      </w:pPr>
      <w:r>
        <w:rPr>
          <w:spacing w:val="-1"/>
        </w:rPr>
        <w:t>□适用</w:t>
        <w:tab/>
      </w:r>
      <w:r>
        <w:rPr>
          <w:spacing w:val="-2"/>
        </w:rPr>
        <w:t>√不适用</w:t>
      </w:r>
    </w:p>
    <w:p>
      <w:pPr>
        <w:spacing w:line="240" w:lineRule="auto" w:before="2"/>
        <w:rPr>
          <w:rFonts w:ascii="宋体" w:hAnsi="宋体" w:cs="宋体" w:eastAsia="宋体" w:hint="default"/>
          <w:sz w:val="28"/>
          <w:szCs w:val="28"/>
        </w:rPr>
      </w:pPr>
    </w:p>
    <w:p>
      <w:pPr>
        <w:pStyle w:val="Heading5"/>
        <w:tabs>
          <w:tab w:pos="562" w:val="left" w:leader="none"/>
        </w:tabs>
        <w:spacing w:line="240" w:lineRule="auto"/>
        <w:ind w:left="138" w:right="0"/>
        <w:jc w:val="left"/>
        <w:rPr>
          <w:b w:val="0"/>
          <w:bCs w:val="0"/>
        </w:rPr>
      </w:pPr>
      <w:r>
        <w:rPr>
          <w:rFonts w:ascii="宋体" w:hAnsi="宋体" w:cs="宋体" w:eastAsia="宋体" w:hint="default"/>
          <w:w w:val="95"/>
        </w:rPr>
        <w:t>2.</w:t>
        <w:tab/>
      </w:r>
      <w:r>
        <w:rPr/>
        <w:t>委托贷款情况</w:t>
      </w:r>
      <w:r>
        <w:rPr>
          <w:b w:val="0"/>
          <w:bCs w:val="0"/>
        </w:rPr>
      </w:r>
    </w:p>
    <w:p>
      <w:pPr>
        <w:pStyle w:val="Heading5"/>
        <w:spacing w:line="240" w:lineRule="auto" w:before="56"/>
        <w:ind w:left="13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pStyle w:val="BodyText"/>
        <w:tabs>
          <w:tab w:pos="980" w:val="left" w:leader="none"/>
        </w:tabs>
        <w:spacing w:line="240" w:lineRule="auto" w:before="58"/>
        <w:ind w:right="0"/>
        <w:jc w:val="left"/>
      </w:pPr>
      <w:r>
        <w:rPr>
          <w:spacing w:val="-1"/>
        </w:rPr>
        <w:t>□适用</w:t>
        <w:tab/>
      </w:r>
      <w:r>
        <w:rPr>
          <w:spacing w:val="-2"/>
        </w:rPr>
        <w:t>√不适用</w:t>
      </w:r>
    </w:p>
    <w:p>
      <w:pPr>
        <w:spacing w:line="240" w:lineRule="auto" w:before="2"/>
        <w:rPr>
          <w:rFonts w:ascii="宋体" w:hAnsi="宋体" w:cs="宋体" w:eastAsia="宋体" w:hint="default"/>
          <w:sz w:val="23"/>
          <w:szCs w:val="23"/>
        </w:rPr>
      </w:pPr>
    </w:p>
    <w:p>
      <w:pPr>
        <w:pStyle w:val="Heading2"/>
        <w:spacing w:line="240" w:lineRule="auto"/>
        <w:ind w:left="138" w:right="0"/>
        <w:jc w:val="left"/>
        <w:rPr>
          <w:b w:val="0"/>
          <w:bCs w:val="0"/>
        </w:rPr>
      </w:pPr>
      <w:r>
        <w:rPr/>
        <w:t>其他情况</w:t>
      </w:r>
      <w:r>
        <w:rPr>
          <w:b w:val="0"/>
          <w:bCs w:val="0"/>
        </w:rPr>
      </w:r>
    </w:p>
    <w:p>
      <w:pPr>
        <w:pStyle w:val="BodyText"/>
        <w:tabs>
          <w:tab w:pos="980" w:val="left" w:leader="none"/>
        </w:tabs>
        <w:spacing w:line="240" w:lineRule="auto" w:before="4"/>
        <w:ind w:right="0"/>
        <w:jc w:val="left"/>
      </w:pPr>
      <w:r>
        <w:rPr>
          <w:spacing w:val="-1"/>
        </w:rPr>
        <w:t>□适用</w:t>
        <w:tab/>
      </w:r>
      <w:r>
        <w:rPr>
          <w:spacing w:val="-2"/>
        </w:rPr>
        <w:t>√不适用</w:t>
      </w:r>
    </w:p>
    <w:p>
      <w:pPr>
        <w:spacing w:line="240" w:lineRule="auto" w:before="2"/>
        <w:rPr>
          <w:rFonts w:ascii="宋体" w:hAnsi="宋体" w:cs="宋体" w:eastAsia="宋体" w:hint="default"/>
          <w:sz w:val="28"/>
          <w:szCs w:val="28"/>
        </w:rPr>
      </w:pPr>
    </w:p>
    <w:p>
      <w:pPr>
        <w:pStyle w:val="Heading5"/>
        <w:spacing w:line="240" w:lineRule="auto"/>
        <w:ind w:left="138"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2"/>
        <w:rPr>
          <w:rFonts w:ascii="宋体" w:hAnsi="宋体" w:cs="宋体" w:eastAsia="宋体" w:hint="default"/>
          <w:sz w:val="20"/>
          <w:szCs w:val="20"/>
        </w:rPr>
      </w:pPr>
    </w:p>
    <w:p>
      <w:pPr>
        <w:pStyle w:val="Heading2"/>
        <w:spacing w:line="240" w:lineRule="auto"/>
        <w:ind w:left="138" w:right="0"/>
        <w:jc w:val="left"/>
        <w:rPr>
          <w:b w:val="0"/>
          <w:bCs w:val="0"/>
        </w:rPr>
      </w:pPr>
      <w:r>
        <w:rPr/>
        <w:t>其他情况</w:t>
      </w:r>
      <w:r>
        <w:rPr>
          <w:b w:val="0"/>
          <w:bCs w:val="0"/>
        </w:rPr>
      </w:r>
    </w:p>
    <w:p>
      <w:pPr>
        <w:pStyle w:val="BodyText"/>
        <w:tabs>
          <w:tab w:pos="980" w:val="left" w:leader="none"/>
        </w:tabs>
        <w:spacing w:line="240" w:lineRule="auto" w:before="4"/>
        <w:ind w:right="0"/>
        <w:jc w:val="left"/>
      </w:pPr>
      <w:r>
        <w:rPr>
          <w:spacing w:val="-1"/>
        </w:rPr>
        <w:t>□适用</w:t>
        <w:tab/>
      </w:r>
      <w:r>
        <w:rPr>
          <w:spacing w:val="-2"/>
        </w:rPr>
        <w:t>√不适用</w:t>
      </w:r>
    </w:p>
    <w:p>
      <w:pPr>
        <w:spacing w:line="240" w:lineRule="auto" w:before="2"/>
        <w:rPr>
          <w:rFonts w:ascii="宋体" w:hAnsi="宋体" w:cs="宋体" w:eastAsia="宋体" w:hint="default"/>
          <w:sz w:val="28"/>
          <w:szCs w:val="28"/>
        </w:rPr>
      </w:pPr>
    </w:p>
    <w:p>
      <w:pPr>
        <w:pStyle w:val="Heading5"/>
        <w:spacing w:line="240" w:lineRule="auto"/>
        <w:ind w:left="13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tabs>
          <w:tab w:pos="980" w:val="left" w:leader="none"/>
        </w:tabs>
        <w:spacing w:line="240" w:lineRule="auto" w:before="58"/>
        <w:ind w:right="0"/>
        <w:jc w:val="left"/>
      </w:pPr>
      <w:r>
        <w:rPr>
          <w:spacing w:val="-1"/>
        </w:rPr>
        <w:t>□适用</w:t>
        <w:tab/>
      </w:r>
      <w:r>
        <w:rPr>
          <w:spacing w:val="-2"/>
        </w:rPr>
        <w:t>√不适用</w:t>
      </w:r>
    </w:p>
    <w:p>
      <w:pPr>
        <w:spacing w:line="240" w:lineRule="auto" w:before="2"/>
        <w:rPr>
          <w:rFonts w:ascii="宋体" w:hAnsi="宋体" w:cs="宋体" w:eastAsia="宋体" w:hint="default"/>
          <w:sz w:val="28"/>
          <w:szCs w:val="28"/>
        </w:rPr>
      </w:pPr>
    </w:p>
    <w:p>
      <w:pPr>
        <w:pStyle w:val="Heading5"/>
        <w:tabs>
          <w:tab w:pos="562" w:val="left" w:leader="none"/>
        </w:tabs>
        <w:spacing w:line="240" w:lineRule="auto"/>
        <w:ind w:left="138" w:right="0"/>
        <w:jc w:val="left"/>
        <w:rPr>
          <w:b w:val="0"/>
          <w:bCs w:val="0"/>
        </w:rPr>
      </w:pPr>
      <w:r>
        <w:rPr>
          <w:rFonts w:ascii="宋体" w:hAnsi="宋体" w:cs="宋体" w:eastAsia="宋体" w:hint="default"/>
          <w:w w:val="95"/>
        </w:rPr>
        <w:t>3.</w:t>
        <w:tab/>
      </w:r>
      <w:r>
        <w:rPr/>
        <w:t>其他情况</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2"/>
        <w:rPr>
          <w:rFonts w:ascii="宋体" w:hAnsi="宋体" w:cs="宋体" w:eastAsia="宋体" w:hint="default"/>
          <w:sz w:val="28"/>
          <w:szCs w:val="28"/>
        </w:rPr>
      </w:pPr>
    </w:p>
    <w:p>
      <w:pPr>
        <w:pStyle w:val="Heading5"/>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tabs>
          <w:tab w:pos="980" w:val="left" w:leader="none"/>
        </w:tabs>
        <w:spacing w:line="240" w:lineRule="auto" w:before="58"/>
        <w:ind w:right="0"/>
        <w:jc w:val="left"/>
      </w:pPr>
      <w:r>
        <w:rPr>
          <w:spacing w:val="-1"/>
        </w:rPr>
        <w:t>□适用</w:t>
        <w:tab/>
      </w:r>
      <w:r>
        <w:rPr>
          <w:spacing w:val="-2"/>
        </w:rPr>
        <w:t>√不适用</w:t>
      </w:r>
    </w:p>
    <w:p>
      <w:pPr>
        <w:spacing w:line="240" w:lineRule="auto" w:before="2"/>
        <w:rPr>
          <w:rFonts w:ascii="宋体" w:hAnsi="宋体" w:cs="宋体" w:eastAsia="宋体" w:hint="default"/>
          <w:sz w:val="28"/>
          <w:szCs w:val="28"/>
        </w:rPr>
      </w:pPr>
    </w:p>
    <w:p>
      <w:pPr>
        <w:pStyle w:val="Heading5"/>
        <w:spacing w:line="240" w:lineRule="auto"/>
        <w:ind w:left="138" w:right="0"/>
        <w:jc w:val="left"/>
        <w:rPr>
          <w:b w:val="0"/>
          <w:bCs w:val="0"/>
        </w:rPr>
      </w:pPr>
      <w:r>
        <w:rPr/>
        <w:t>十六、其他重大事项的说明</w:t>
      </w:r>
      <w:r>
        <w:rPr>
          <w:b w:val="0"/>
          <w:bCs w:val="0"/>
        </w:rPr>
      </w:r>
    </w:p>
    <w:p>
      <w:pPr>
        <w:pStyle w:val="BodyText"/>
        <w:spacing w:line="240" w:lineRule="auto" w:before="59"/>
        <w:ind w:right="0"/>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5"/>
        <w:tabs>
          <w:tab w:pos="989" w:val="left" w:leader="none"/>
        </w:tabs>
        <w:spacing w:line="290" w:lineRule="auto"/>
        <w:ind w:left="138" w:right="557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14"/>
        <w:ind w:right="0"/>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5"/>
        <w:tabs>
          <w:tab w:pos="781" w:val="left" w:leader="none"/>
        </w:tabs>
        <w:spacing w:line="240" w:lineRule="auto"/>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tabs>
          <w:tab w:pos="980" w:val="left" w:leader="none"/>
        </w:tabs>
        <w:spacing w:line="240" w:lineRule="auto" w:before="56"/>
        <w:ind w:left="558" w:right="118" w:hanging="420"/>
        <w:jc w:val="left"/>
      </w:pPr>
      <w:r>
        <w:rPr>
          <w:spacing w:val="-1"/>
        </w:rPr>
        <w:t>√适用</w:t>
        <w:tab/>
      </w:r>
      <w:r>
        <w:rPr>
          <w:spacing w:val="-2"/>
        </w:rPr>
        <w:t>□不适用</w:t>
      </w:r>
      <w:r>
        <w:rPr>
          <w:spacing w:val="-99"/>
        </w:rPr>
        <w:t> </w:t>
      </w:r>
      <w:r>
        <w:rPr>
          <w:spacing w:val="-99"/>
        </w:rPr>
      </w:r>
      <w:r>
        <w:rPr>
          <w:spacing w:val="-2"/>
        </w:rPr>
        <w:t>报告期内，公司积极履行社会责任的具体情况详见与本公告同时登载于上交所网站的《三六</w:t>
      </w:r>
    </w:p>
    <w:p>
      <w:pPr>
        <w:pStyle w:val="BodyText"/>
        <w:spacing w:line="240" w:lineRule="auto" w:before="133"/>
        <w:ind w:right="0"/>
        <w:jc w:val="left"/>
      </w:pPr>
      <w:r>
        <w:rPr/>
        <w:t>零安全科技股份有限公司</w:t>
      </w:r>
      <w:r>
        <w:rPr>
          <w:spacing w:val="-57"/>
        </w:rPr>
        <w:t> </w:t>
      </w:r>
      <w:r>
        <w:rPr>
          <w:rFonts w:ascii="宋体" w:hAnsi="宋体" w:cs="宋体" w:eastAsia="宋体" w:hint="default"/>
        </w:rPr>
        <w:t>2018</w:t>
      </w:r>
      <w:r>
        <w:rPr>
          <w:rFonts w:ascii="宋体" w:hAnsi="宋体" w:cs="宋体" w:eastAsia="宋体" w:hint="default"/>
          <w:spacing w:val="-57"/>
        </w:rPr>
        <w:t> </w:t>
      </w:r>
      <w:r>
        <w:rPr/>
        <w:t>年度社会责任报告》。</w:t>
      </w:r>
    </w:p>
    <w:p>
      <w:pPr>
        <w:spacing w:after="0" w:line="240" w:lineRule="auto"/>
        <w:jc w:val="left"/>
        <w:sectPr>
          <w:headerReference w:type="default" r:id="rId37"/>
          <w:footerReference w:type="default" r:id="rId38"/>
          <w:pgSz w:w="11910" w:h="16840"/>
          <w:pgMar w:header="855" w:footer="1217" w:top="1320" w:bottom="1400" w:left="1660" w:right="1160"/>
          <w:pgNumType w:start="62"/>
        </w:sectPr>
      </w:pPr>
    </w:p>
    <w:p>
      <w:pPr>
        <w:spacing w:line="240" w:lineRule="auto" w:before="4"/>
        <w:rPr>
          <w:rFonts w:ascii="宋体" w:hAnsi="宋体" w:cs="宋体" w:eastAsia="宋体" w:hint="default"/>
          <w:sz w:val="9"/>
          <w:szCs w:val="9"/>
        </w:rPr>
      </w:pPr>
    </w:p>
    <w:p>
      <w:pPr>
        <w:pStyle w:val="Heading5"/>
        <w:tabs>
          <w:tab w:pos="781" w:val="left" w:leader="none"/>
        </w:tabs>
        <w:spacing w:line="240" w:lineRule="auto" w:before="36"/>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5"/>
        <w:tabs>
          <w:tab w:pos="562" w:val="left" w:leader="none"/>
        </w:tabs>
        <w:spacing w:line="240" w:lineRule="auto" w:before="58"/>
        <w:ind w:left="138" w:right="0"/>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2"/>
        <w:rPr>
          <w:rFonts w:ascii="宋体" w:hAnsi="宋体" w:cs="宋体" w:eastAsia="宋体" w:hint="default"/>
          <w:sz w:val="24"/>
          <w:szCs w:val="24"/>
        </w:rPr>
      </w:pPr>
    </w:p>
    <w:p>
      <w:pPr>
        <w:pStyle w:val="Heading5"/>
        <w:tabs>
          <w:tab w:pos="562" w:val="left" w:leader="none"/>
        </w:tabs>
        <w:spacing w:line="240" w:lineRule="auto"/>
        <w:ind w:left="138" w:right="0"/>
        <w:jc w:val="left"/>
        <w:rPr>
          <w:b w:val="0"/>
          <w:bCs w:val="0"/>
        </w:rPr>
      </w:pPr>
      <w:r>
        <w:rPr>
          <w:rFonts w:ascii="宋体" w:hAnsi="宋体" w:cs="宋体" w:eastAsia="宋体" w:hint="default"/>
          <w:w w:val="95"/>
        </w:rPr>
        <w:t>2.</w:t>
        <w:tab/>
      </w:r>
      <w:r>
        <w:rPr/>
        <w:t>重点排污单位之外的公司的环保情况说明</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5"/>
        <w:tabs>
          <w:tab w:pos="562" w:val="left" w:leader="none"/>
        </w:tabs>
        <w:spacing w:line="240" w:lineRule="auto"/>
        <w:ind w:left="138" w:right="0"/>
        <w:jc w:val="left"/>
        <w:rPr>
          <w:b w:val="0"/>
          <w:bCs w:val="0"/>
        </w:rPr>
      </w:pPr>
      <w:r>
        <w:rPr>
          <w:rFonts w:ascii="宋体" w:hAnsi="宋体" w:cs="宋体" w:eastAsia="宋体" w:hint="default"/>
          <w:w w:val="95"/>
        </w:rPr>
        <w:t>3.</w:t>
        <w:tab/>
      </w:r>
      <w:r>
        <w:rPr/>
        <w:t>重点排污单位之外的公司未披露环境信息的原因说明</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5"/>
        <w:tabs>
          <w:tab w:pos="562" w:val="left" w:leader="none"/>
        </w:tabs>
        <w:spacing w:line="240" w:lineRule="auto"/>
        <w:ind w:left="138" w:right="0"/>
        <w:jc w:val="left"/>
        <w:rPr>
          <w:b w:val="0"/>
          <w:bCs w:val="0"/>
        </w:rPr>
      </w:pPr>
      <w:r>
        <w:rPr>
          <w:rFonts w:ascii="宋体" w:hAnsi="宋体" w:cs="宋体" w:eastAsia="宋体" w:hint="default"/>
          <w:w w:val="95"/>
        </w:rPr>
        <w:t>4.</w:t>
        <w:tab/>
      </w:r>
      <w:r>
        <w:rPr/>
        <w:t>报告期内披露环境信息内容的后续进展或变化情况的说明</w:t>
      </w:r>
      <w:r>
        <w:rPr>
          <w:b w:val="0"/>
          <w:bCs w:val="0"/>
        </w:rPr>
      </w:r>
    </w:p>
    <w:p>
      <w:pPr>
        <w:pStyle w:val="BodyText"/>
        <w:spacing w:line="240" w:lineRule="auto" w:before="59"/>
        <w:ind w:right="0"/>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5"/>
        <w:tabs>
          <w:tab w:pos="781" w:val="left" w:leader="none"/>
        </w:tabs>
        <w:spacing w:line="240" w:lineRule="auto"/>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4"/>
        <w:rPr>
          <w:rFonts w:ascii="宋体" w:hAnsi="宋体" w:cs="宋体" w:eastAsia="宋体" w:hint="default"/>
          <w:sz w:val="28"/>
          <w:szCs w:val="28"/>
        </w:rPr>
      </w:pPr>
    </w:p>
    <w:p>
      <w:pPr>
        <w:pStyle w:val="Heading5"/>
        <w:spacing w:line="240" w:lineRule="auto"/>
        <w:ind w:left="138" w:right="0"/>
        <w:jc w:val="left"/>
        <w:rPr>
          <w:b w:val="0"/>
          <w:bCs w:val="0"/>
        </w:rPr>
      </w:pPr>
      <w:r>
        <w:rPr/>
        <w:t>十八、可转换公司债券情况</w:t>
      </w:r>
      <w:r>
        <w:rPr>
          <w:b w:val="0"/>
          <w:bCs w:val="0"/>
        </w:rPr>
      </w:r>
    </w:p>
    <w:p>
      <w:pPr>
        <w:pStyle w:val="Heading5"/>
        <w:spacing w:line="240" w:lineRule="auto" w:before="56"/>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tabs>
          <w:tab w:pos="980" w:val="left" w:leader="none"/>
        </w:tabs>
        <w:spacing w:line="240" w:lineRule="auto" w:before="32"/>
        <w:ind w:right="0"/>
        <w:jc w:val="left"/>
      </w:pPr>
      <w:r>
        <w:rPr>
          <w:spacing w:val="-1"/>
        </w:rPr>
        <w:t>□适用</w:t>
        <w:tab/>
      </w:r>
      <w:r>
        <w:rPr>
          <w:spacing w:val="-2"/>
        </w:rPr>
        <w:t>√不适用</w:t>
      </w:r>
    </w:p>
    <w:p>
      <w:pPr>
        <w:spacing w:line="240" w:lineRule="auto" w:before="2"/>
        <w:rPr>
          <w:rFonts w:ascii="宋体" w:hAnsi="宋体" w:cs="宋体" w:eastAsia="宋体" w:hint="default"/>
          <w:sz w:val="28"/>
          <w:szCs w:val="28"/>
        </w:rPr>
      </w:pPr>
    </w:p>
    <w:p>
      <w:pPr>
        <w:pStyle w:val="Heading5"/>
        <w:spacing w:line="240" w:lineRule="auto"/>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30"/>
        <w:ind w:right="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5"/>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72" w:lineRule="exact" w:before="59"/>
        <w:ind w:right="5996"/>
        <w:jc w:val="left"/>
      </w:pPr>
      <w:r>
        <w:rPr/>
        <w:t>□适用</w:t>
      </w:r>
      <w:r>
        <w:rPr>
          <w:spacing w:val="-2"/>
        </w:rPr>
        <w:t> </w:t>
      </w:r>
      <w:r>
        <w:rPr/>
        <w:t>√不适用</w:t>
      </w:r>
      <w:r>
        <w:rPr>
          <w:w w:val="100"/>
        </w:rPr>
        <w:t> </w:t>
      </w:r>
      <w:r>
        <w:rPr>
          <w:spacing w:val="-2"/>
        </w:rPr>
        <w:t>报告期转债累计转股情况</w:t>
      </w:r>
    </w:p>
    <w:p>
      <w:pPr>
        <w:pStyle w:val="BodyText"/>
        <w:spacing w:line="249" w:lineRule="exact"/>
        <w:ind w:right="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5"/>
        <w:spacing w:line="240" w:lineRule="auto"/>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32"/>
        <w:ind w:right="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5"/>
        <w:spacing w:line="240" w:lineRule="auto"/>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980" w:val="left" w:leader="none"/>
        </w:tabs>
        <w:spacing w:line="240" w:lineRule="auto" w:before="29"/>
        <w:ind w:right="0"/>
        <w:jc w:val="left"/>
      </w:pPr>
      <w:r>
        <w:rPr>
          <w:spacing w:val="-1"/>
        </w:rPr>
        <w:t>□适用</w:t>
        <w:tab/>
      </w:r>
      <w:r>
        <w:rPr>
          <w:spacing w:val="-2"/>
        </w:rPr>
        <w:t>√不适用</w:t>
      </w:r>
    </w:p>
    <w:p>
      <w:pPr>
        <w:spacing w:line="240" w:lineRule="auto" w:before="9"/>
        <w:rPr>
          <w:rFonts w:ascii="宋体" w:hAnsi="宋体" w:cs="宋体" w:eastAsia="宋体" w:hint="default"/>
          <w:sz w:val="28"/>
          <w:szCs w:val="28"/>
        </w:rPr>
      </w:pPr>
    </w:p>
    <w:p>
      <w:pPr>
        <w:pStyle w:val="Heading5"/>
        <w:spacing w:line="240" w:lineRule="auto"/>
        <w:ind w:left="138" w:right="0"/>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980" w:val="left" w:leader="none"/>
        </w:tabs>
        <w:spacing w:line="240" w:lineRule="auto" w:before="29"/>
        <w:ind w:right="0"/>
        <w:jc w:val="left"/>
      </w:pPr>
      <w:r>
        <w:rPr>
          <w:spacing w:val="-1"/>
        </w:rPr>
        <w:t>□适用</w:t>
        <w:tab/>
      </w:r>
      <w:r>
        <w:rPr>
          <w:spacing w:val="-2"/>
        </w:rPr>
        <w:t>√不适用</w:t>
      </w:r>
    </w:p>
    <w:p>
      <w:pPr>
        <w:spacing w:after="0" w:line="240" w:lineRule="auto"/>
        <w:jc w:val="left"/>
        <w:sectPr>
          <w:pgSz w:w="11910" w:h="16840"/>
          <w:pgMar w:header="855" w:footer="1217" w:top="1320" w:bottom="1400" w:left="1660" w:right="11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1"/>
        <w:tabs>
          <w:tab w:pos="1259" w:val="left" w:leader="none"/>
        </w:tabs>
        <w:spacing w:line="240" w:lineRule="auto"/>
        <w:ind w:right="5"/>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11"/>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9"/>
          <w:footerReference w:type="default" r:id="rId40"/>
          <w:pgSz w:w="16840" w:h="11910" w:orient="landscape"/>
          <w:pgMar w:header="857" w:footer="1218" w:top="1320" w:bottom="1400" w:left="1220" w:right="1300"/>
          <w:pgNumType w:start="64"/>
        </w:sectPr>
      </w:pPr>
    </w:p>
    <w:p>
      <w:pPr>
        <w:pStyle w:val="Heading2"/>
        <w:spacing w:line="271" w:lineRule="auto" w:before="26"/>
        <w:ind w:left="220" w:right="0"/>
        <w:jc w:val="both"/>
        <w:rPr>
          <w:b w:val="0"/>
          <w:bCs w:val="0"/>
        </w:rPr>
      </w:pPr>
      <w:r>
        <w:rPr/>
        <w:t>一、</w:t>
      </w:r>
      <w:r>
        <w:rPr>
          <w:spacing w:val="115"/>
        </w:rPr>
        <w:t> </w:t>
      </w:r>
      <w:r>
        <w:rPr/>
        <w:t>普通股股本变动情况</w:t>
      </w:r>
      <w:r>
        <w:rPr>
          <w:w w:val="99"/>
        </w:rPr>
        <w:t> </w:t>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0"/>
        </w:rPr>
        <w:t> </w:t>
      </w:r>
      <w:r>
        <w:rPr/>
        <w:t>普通股股份变动情况表</w:t>
      </w:r>
      <w:r>
        <w:rPr>
          <w:w w:val="99"/>
        </w:rPr>
        <w:t> </w:t>
      </w:r>
      <w:r>
        <w:rPr>
          <w:rFonts w:ascii="宋体" w:hAnsi="宋体" w:cs="宋体" w:eastAsia="宋体" w:hint="default"/>
        </w:rPr>
        <w:t>1</w:t>
      </w:r>
      <w:r>
        <w:rPr/>
        <w:t>、</w:t>
      </w:r>
      <w:r>
        <w:rPr>
          <w:spacing w:val="-65"/>
        </w:rPr>
        <w:t> </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7"/>
          <w:szCs w:val="27"/>
        </w:rPr>
      </w:pPr>
    </w:p>
    <w:p>
      <w:pPr>
        <w:pStyle w:val="BodyText"/>
        <w:spacing w:line="240" w:lineRule="auto"/>
        <w:ind w:left="220" w:right="0"/>
        <w:jc w:val="left"/>
      </w:pPr>
      <w:r>
        <w:rPr/>
        <w:t>单位：股</w:t>
      </w:r>
    </w:p>
    <w:p>
      <w:pPr>
        <w:spacing w:after="0" w:line="240" w:lineRule="auto"/>
        <w:jc w:val="left"/>
        <w:sectPr>
          <w:type w:val="continuous"/>
          <w:pgSz w:w="16840" w:h="11910" w:orient="landscape"/>
          <w:pgMar w:top="1320" w:bottom="1400" w:left="1220" w:right="1300"/>
          <w:cols w:num="2" w:equalWidth="0">
            <w:col w:w="3230" w:space="9804"/>
            <w:col w:w="1286"/>
          </w:cols>
        </w:sectPr>
      </w:pPr>
    </w:p>
    <w:p>
      <w:pPr>
        <w:spacing w:line="240" w:lineRule="auto" w:before="5"/>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668"/>
        <w:gridCol w:w="1404"/>
        <w:gridCol w:w="684"/>
        <w:gridCol w:w="1616"/>
        <w:gridCol w:w="595"/>
        <w:gridCol w:w="1478"/>
        <w:gridCol w:w="680"/>
        <w:gridCol w:w="1608"/>
        <w:gridCol w:w="1606"/>
        <w:gridCol w:w="751"/>
      </w:tblGrid>
      <w:tr>
        <w:trPr>
          <w:trHeight w:val="322" w:hRule="exact"/>
        </w:trPr>
        <w:tc>
          <w:tcPr>
            <w:tcW w:w="3668" w:type="dxa"/>
            <w:vMerge w:val="restart"/>
            <w:tcBorders>
              <w:top w:val="single" w:sz="4" w:space="0" w:color="000000"/>
              <w:left w:val="single" w:sz="4" w:space="0" w:color="000000"/>
              <w:right w:val="single" w:sz="4" w:space="0" w:color="000000"/>
            </w:tcBorders>
          </w:tcPr>
          <w:p>
            <w:pPr/>
          </w:p>
        </w:tc>
        <w:tc>
          <w:tcPr>
            <w:tcW w:w="20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9" w:right="0"/>
              <w:jc w:val="left"/>
              <w:rPr>
                <w:rFonts w:ascii="宋体" w:hAnsi="宋体" w:cs="宋体" w:eastAsia="宋体" w:hint="default"/>
                <w:sz w:val="24"/>
                <w:szCs w:val="24"/>
              </w:rPr>
            </w:pPr>
            <w:r>
              <w:rPr>
                <w:rFonts w:ascii="宋体" w:hAnsi="宋体" w:cs="宋体" w:eastAsia="宋体" w:hint="default"/>
                <w:sz w:val="24"/>
                <w:szCs w:val="24"/>
              </w:rPr>
              <w:t>本次变动前</w:t>
            </w:r>
          </w:p>
        </w:tc>
        <w:tc>
          <w:tcPr>
            <w:tcW w:w="59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4"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7"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943" w:hRule="exact"/>
        </w:trPr>
        <w:tc>
          <w:tcPr>
            <w:tcW w:w="3668" w:type="dxa"/>
            <w:vMerge/>
            <w:tcBorders>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56" w:right="0"/>
              <w:jc w:val="left"/>
              <w:rPr>
                <w:rFonts w:ascii="宋体" w:hAnsi="宋体" w:cs="宋体" w:eastAsia="宋体" w:hint="default"/>
                <w:sz w:val="24"/>
                <w:szCs w:val="24"/>
              </w:rPr>
            </w:pPr>
            <w:r>
              <w:rPr>
                <w:rFonts w:ascii="宋体" w:hAnsi="宋体" w:cs="宋体" w:eastAsia="宋体" w:hint="default"/>
                <w:sz w:val="24"/>
                <w:szCs w:val="24"/>
              </w:rPr>
              <w:t>数量</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6" w:right="0"/>
              <w:jc w:val="left"/>
              <w:rPr>
                <w:rFonts w:ascii="宋体" w:hAnsi="宋体" w:cs="宋体" w:eastAsia="宋体" w:hint="default"/>
                <w:sz w:val="24"/>
                <w:szCs w:val="24"/>
              </w:rPr>
            </w:pPr>
            <w:r>
              <w:rPr>
                <w:rFonts w:ascii="宋体" w:hAnsi="宋体" w:cs="宋体" w:eastAsia="宋体" w:hint="default"/>
                <w:sz w:val="24"/>
                <w:szCs w:val="24"/>
              </w:rPr>
              <w:t>比</w:t>
            </w:r>
          </w:p>
          <w:p>
            <w:pPr>
              <w:pStyle w:val="TableParagraph"/>
              <w:spacing w:line="312" w:lineRule="exact" w:before="29"/>
              <w:ind w:left="156" w:right="156" w:firstLine="60"/>
              <w:jc w:val="left"/>
              <w:rPr>
                <w:rFonts w:ascii="宋体" w:hAnsi="宋体" w:cs="宋体" w:eastAsia="宋体" w:hint="default"/>
                <w:sz w:val="24"/>
                <w:szCs w:val="24"/>
              </w:rPr>
            </w:pPr>
            <w:r>
              <w:rPr>
                <w:rFonts w:ascii="宋体" w:hAnsi="宋体" w:cs="宋体" w:eastAsia="宋体" w:hint="default"/>
                <w:sz w:val="24"/>
                <w:szCs w:val="24"/>
              </w:rPr>
              <w:t>例 </w:t>
            </w:r>
            <w:r>
              <w:rPr>
                <w:rFonts w:ascii="宋体" w:hAnsi="宋体" w:cs="宋体" w:eastAsia="宋体" w:hint="default"/>
                <w:sz w:val="24"/>
                <w:szCs w:val="24"/>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21" w:right="0"/>
              <w:jc w:val="left"/>
              <w:rPr>
                <w:rFonts w:ascii="宋体" w:hAnsi="宋体" w:cs="宋体" w:eastAsia="宋体" w:hint="default"/>
                <w:sz w:val="24"/>
                <w:szCs w:val="24"/>
              </w:rPr>
            </w:pPr>
            <w:r>
              <w:rPr>
                <w:rFonts w:ascii="宋体" w:hAnsi="宋体" w:cs="宋体" w:eastAsia="宋体" w:hint="default"/>
                <w:sz w:val="24"/>
                <w:szCs w:val="24"/>
              </w:rPr>
              <w:t>发行新股</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87" w:right="185"/>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213" w:right="214"/>
              <w:jc w:val="left"/>
              <w:rPr>
                <w:rFonts w:ascii="宋体" w:hAnsi="宋体" w:cs="宋体" w:eastAsia="宋体" w:hint="default"/>
                <w:sz w:val="24"/>
                <w:szCs w:val="24"/>
              </w:rPr>
            </w:pPr>
            <w:r>
              <w:rPr>
                <w:rFonts w:ascii="宋体" w:hAnsi="宋体" w:cs="宋体" w:eastAsia="宋体" w:hint="default"/>
                <w:sz w:val="24"/>
                <w:szCs w:val="24"/>
              </w:rPr>
              <w:t>其 他</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小计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数量</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89" w:right="131" w:hanging="60"/>
              <w:jc w:val="left"/>
              <w:rPr>
                <w:rFonts w:ascii="宋体" w:hAnsi="宋体" w:cs="宋体" w:eastAsia="宋体" w:hint="default"/>
                <w:sz w:val="24"/>
                <w:szCs w:val="24"/>
              </w:rPr>
            </w:pPr>
            <w:r>
              <w:rPr>
                <w:rFonts w:ascii="宋体" w:hAnsi="宋体" w:cs="宋体" w:eastAsia="宋体" w:hint="default"/>
                <w:sz w:val="24"/>
                <w:szCs w:val="24"/>
              </w:rPr>
              <w:t>比例 </w:t>
            </w:r>
            <w:r>
              <w:rPr>
                <w:rFonts w:ascii="宋体" w:hAnsi="宋体" w:cs="宋体" w:eastAsia="宋体" w:hint="default"/>
                <w:sz w:val="24"/>
                <w:szCs w:val="24"/>
              </w:rPr>
              <w:t>(%)</w:t>
            </w:r>
          </w:p>
        </w:tc>
      </w:tr>
      <w:tr>
        <w:trPr>
          <w:trHeight w:val="28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一、有限售条件股份</w:t>
            </w:r>
            <w:r>
              <w:rPr>
                <w:rFonts w:ascii="宋体" w:hAnsi="宋体" w:cs="宋体" w:eastAsia="宋体" w:hint="default"/>
                <w:sz w:val="21"/>
                <w:szCs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9"/>
                <w:sz w:val="21"/>
              </w:rPr>
              <w:t>0</w:t>
            </w:r>
            <w:r>
              <w:rPr>
                <w:rFonts w:ascii="宋体"/>
                <w:sz w:val="21"/>
              </w:rPr>
            </w:r>
          </w:p>
        </w:tc>
        <w:tc>
          <w:tcPr>
            <w:tcW w:w="684"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6,366,872,724</w:t>
            </w:r>
            <w:r>
              <w:rPr>
                <w:rFonts w:ascii="宋体"/>
                <w:sz w:val="21"/>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b/>
                <w:w w:val="95"/>
                <w:sz w:val="21"/>
              </w:rPr>
              <w:t>6,366,872,724</w:t>
            </w:r>
            <w:r>
              <w:rPr>
                <w:rFonts w:ascii="宋体"/>
                <w:sz w:val="21"/>
              </w:rPr>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6,366,872,724</w:t>
            </w:r>
            <w:r>
              <w:rPr>
                <w:rFonts w:ascii="宋体"/>
                <w:sz w:val="21"/>
              </w:rPr>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b/>
                <w:sz w:val="21"/>
              </w:rPr>
              <w:t>94.13</w:t>
            </w:r>
            <w:r>
              <w:rPr>
                <w:rFonts w:ascii="宋体"/>
                <w:sz w:val="21"/>
              </w:rPr>
            </w:r>
          </w:p>
        </w:tc>
      </w:tr>
      <w:tr>
        <w:trPr>
          <w:trHeight w:val="28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6,366,872,724</w:t>
            </w:r>
          </w:p>
        </w:tc>
        <w:tc>
          <w:tcPr>
            <w:tcW w:w="59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6,366,872,724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6,366,872,724</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94.13</w:t>
            </w:r>
          </w:p>
        </w:tc>
      </w:tr>
      <w:tr>
        <w:trPr>
          <w:trHeight w:val="284"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其中：境内非国有法人持股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5,424,384,021</w:t>
            </w:r>
          </w:p>
        </w:tc>
        <w:tc>
          <w:tcPr>
            <w:tcW w:w="59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5,424,384,021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5,424,384,021</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80.19</w:t>
            </w:r>
          </w:p>
        </w:tc>
      </w:tr>
      <w:tr>
        <w:trPr>
          <w:trHeight w:val="281"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942,488,703</w:t>
            </w:r>
          </w:p>
        </w:tc>
        <w:tc>
          <w:tcPr>
            <w:tcW w:w="59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942,488,703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942,488,703</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13.94</w:t>
            </w:r>
          </w:p>
        </w:tc>
      </w:tr>
      <w:tr>
        <w:trPr>
          <w:trHeight w:val="28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二、无限售条件流通股份</w:t>
            </w:r>
            <w:r>
              <w:rPr>
                <w:rFonts w:ascii="宋体" w:hAnsi="宋体" w:cs="宋体" w:eastAsia="宋体" w:hint="default"/>
                <w:sz w:val="24"/>
                <w:szCs w:val="24"/>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397,182,443</w:t>
            </w:r>
            <w:r>
              <w:rPr>
                <w:rFonts w:ascii="宋体"/>
                <w:sz w:val="21"/>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100</w:t>
            </w:r>
            <w:r>
              <w:rPr>
                <w:rFonts w:ascii="宋体"/>
                <w:sz w:val="21"/>
              </w:rPr>
            </w:r>
          </w:p>
        </w:tc>
        <w:tc>
          <w:tcPr>
            <w:tcW w:w="161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397,182,443</w:t>
            </w:r>
            <w:r>
              <w:rPr>
                <w:rFonts w:ascii="宋体"/>
                <w:sz w:val="21"/>
              </w:rPr>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b/>
                <w:sz w:val="21"/>
              </w:rPr>
              <w:t>5.87</w:t>
            </w:r>
            <w:r>
              <w:rPr>
                <w:rFonts w:ascii="宋体"/>
                <w:sz w:val="21"/>
              </w:rPr>
            </w:r>
          </w:p>
        </w:tc>
      </w:tr>
      <w:tr>
        <w:trPr>
          <w:trHeight w:val="28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397,182,443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61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397,182,443</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sz w:val="21"/>
              </w:rPr>
              <w:t>5.87</w:t>
            </w:r>
          </w:p>
        </w:tc>
      </w:tr>
      <w:tr>
        <w:trPr>
          <w:trHeight w:val="281"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、境内上市的外资股</w:t>
            </w:r>
          </w:p>
        </w:tc>
        <w:tc>
          <w:tcPr>
            <w:tcW w:w="140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、境外上市的外资股</w:t>
            </w:r>
          </w:p>
        </w:tc>
        <w:tc>
          <w:tcPr>
            <w:tcW w:w="140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40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三、普通股股份总数</w:t>
            </w:r>
            <w:r>
              <w:rPr>
                <w:rFonts w:ascii="宋体" w:hAnsi="宋体" w:cs="宋体" w:eastAsia="宋体" w:hint="default"/>
                <w:sz w:val="21"/>
                <w:szCs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b/>
                <w:w w:val="95"/>
                <w:sz w:val="21"/>
              </w:rPr>
              <w:t>397,182,443</w:t>
            </w:r>
            <w:r>
              <w:rPr>
                <w:rFonts w:ascii="宋体"/>
                <w:sz w:val="21"/>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b/>
                <w:sz w:val="21"/>
              </w:rPr>
              <w:t>100</w:t>
            </w:r>
            <w:r>
              <w:rPr>
                <w:rFonts w:ascii="宋体"/>
                <w:sz w:val="21"/>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b/>
                <w:w w:val="95"/>
                <w:sz w:val="21"/>
              </w:rPr>
              <w:t>6,366,872,724</w:t>
            </w:r>
            <w:r>
              <w:rPr>
                <w:rFonts w:ascii="宋体"/>
                <w:sz w:val="21"/>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6,366,872,724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6,764,055,167</w:t>
            </w:r>
            <w:r>
              <w:rPr>
                <w:rFonts w:ascii="宋体"/>
                <w:sz w:val="21"/>
              </w:rPr>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b/>
                <w:sz w:val="21"/>
              </w:rPr>
              <w:t>100</w:t>
            </w:r>
            <w:r>
              <w:rPr>
                <w:rFonts w:ascii="宋体"/>
                <w:sz w:val="21"/>
              </w:rPr>
            </w:r>
          </w:p>
        </w:tc>
      </w:tr>
    </w:tbl>
    <w:p>
      <w:pPr>
        <w:spacing w:after="0" w:line="241" w:lineRule="exact"/>
        <w:jc w:val="left"/>
        <w:rPr>
          <w:rFonts w:ascii="宋体" w:hAnsi="宋体" w:cs="宋体" w:eastAsia="宋体" w:hint="default"/>
          <w:sz w:val="21"/>
          <w:szCs w:val="21"/>
        </w:rPr>
        <w:sectPr>
          <w:type w:val="continuous"/>
          <w:pgSz w:w="16840" w:h="11910" w:orient="landscape"/>
          <w:pgMar w:top="1320" w:bottom="140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2"/>
        <w:spacing w:line="240" w:lineRule="auto" w:before="26"/>
        <w:ind w:left="220" w:right="0"/>
        <w:jc w:val="left"/>
        <w:rPr>
          <w:b w:val="0"/>
          <w:bCs w:val="0"/>
        </w:rPr>
      </w:pPr>
      <w:r>
        <w:rPr>
          <w:rFonts w:ascii="宋体" w:hAnsi="宋体" w:cs="宋体" w:eastAsia="宋体" w:hint="default"/>
        </w:rPr>
        <w:t>2</w:t>
      </w:r>
      <w:r>
        <w:rPr/>
        <w:t>、</w:t>
      </w:r>
      <w:r>
        <w:rPr>
          <w:spacing w:val="-66"/>
        </w:rPr>
        <w:t> </w:t>
      </w:r>
      <w:r>
        <w:rPr/>
        <w:t>普通股股份变动情况说明</w:t>
      </w:r>
      <w:r>
        <w:rPr>
          <w:b w:val="0"/>
          <w:bCs w:val="0"/>
        </w:rPr>
      </w:r>
    </w:p>
    <w:p>
      <w:pPr>
        <w:pStyle w:val="BodyText"/>
        <w:tabs>
          <w:tab w:pos="1062" w:val="left" w:leader="none"/>
        </w:tabs>
        <w:spacing w:line="273" w:lineRule="exact" w:before="64"/>
        <w:ind w:left="220" w:right="0"/>
        <w:jc w:val="left"/>
      </w:pPr>
      <w:r>
        <w:rPr/>
        <w:t>√适用</w:t>
        <w:tab/>
        <w:t>□不适用</w:t>
      </w:r>
    </w:p>
    <w:p>
      <w:pPr>
        <w:pStyle w:val="BodyText"/>
        <w:spacing w:line="357" w:lineRule="auto"/>
        <w:ind w:left="220" w:right="119" w:firstLine="420"/>
        <w:jc w:val="both"/>
      </w:pPr>
      <w:r>
        <w:rPr/>
        <w:t>根据中国证监会于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26</w:t>
      </w:r>
      <w:r>
        <w:rPr>
          <w:rFonts w:ascii="宋体" w:hAnsi="宋体" w:cs="宋体" w:eastAsia="宋体" w:hint="default"/>
          <w:spacing w:val="-55"/>
        </w:rPr>
        <w:t> </w:t>
      </w:r>
      <w:r>
        <w:rPr/>
        <w:t>日核发的《关于核准江南嘉捷电梯股份有限公司重大资产重组及向天津奇信志成科技有限公司等发行股份购买资</w:t>
      </w:r>
      <w:r>
        <w:rPr>
          <w:w w:val="100"/>
        </w:rPr>
        <w:t> </w:t>
      </w:r>
      <w:r>
        <w:rPr>
          <w:spacing w:val="-5"/>
        </w:rPr>
        <w:t>产的批复》（证监许可〔</w:t>
      </w:r>
      <w:r>
        <w:rPr>
          <w:rFonts w:ascii="宋体" w:hAnsi="宋体" w:cs="宋体" w:eastAsia="宋体" w:hint="default"/>
          <w:spacing w:val="-5"/>
        </w:rPr>
        <w:t>2018</w:t>
      </w:r>
      <w:r>
        <w:rPr>
          <w:spacing w:val="-5"/>
        </w:rPr>
        <w:t>〕</w:t>
      </w:r>
      <w:r>
        <w:rPr>
          <w:rFonts w:ascii="宋体" w:hAnsi="宋体" w:cs="宋体" w:eastAsia="宋体" w:hint="default"/>
          <w:spacing w:val="-5"/>
        </w:rPr>
        <w:t>214</w:t>
      </w:r>
      <w:r>
        <w:rPr>
          <w:rFonts w:ascii="宋体" w:hAnsi="宋体" w:cs="宋体" w:eastAsia="宋体" w:hint="default"/>
          <w:spacing w:val="-47"/>
        </w:rPr>
        <w:t> </w:t>
      </w:r>
      <w:r>
        <w:rPr>
          <w:spacing w:val="-5"/>
        </w:rPr>
        <w:t>号），公司向奇信志成等</w:t>
      </w:r>
      <w:r>
        <w:rPr>
          <w:spacing w:val="-45"/>
        </w:rPr>
        <w:t> </w:t>
      </w:r>
      <w:r>
        <w:rPr>
          <w:rFonts w:ascii="宋体" w:hAnsi="宋体" w:cs="宋体" w:eastAsia="宋体" w:hint="default"/>
        </w:rPr>
        <w:t>42</w:t>
      </w:r>
      <w:r>
        <w:rPr>
          <w:rFonts w:ascii="宋体" w:hAnsi="宋体" w:cs="宋体" w:eastAsia="宋体" w:hint="default"/>
          <w:spacing w:val="-45"/>
        </w:rPr>
        <w:t> </w:t>
      </w:r>
      <w:r>
        <w:rPr/>
        <w:t>名原三六零科技股东发行股份购买三六零科技</w:t>
      </w:r>
      <w:r>
        <w:rPr>
          <w:spacing w:val="-44"/>
        </w:rPr>
        <w:t> </w:t>
      </w:r>
      <w:r>
        <w:rPr>
          <w:rFonts w:ascii="宋体" w:hAnsi="宋体" w:cs="宋体" w:eastAsia="宋体" w:hint="default"/>
        </w:rPr>
        <w:t>100%</w:t>
      </w:r>
      <w:r>
        <w:rPr/>
        <w:t>股权与上市公司全部资产及负债置换</w:t>
      </w:r>
      <w:r>
        <w:rPr>
          <w:spacing w:val="-101"/>
        </w:rPr>
        <w:t> </w:t>
      </w:r>
      <w:r>
        <w:rPr>
          <w:spacing w:val="-101"/>
        </w:rPr>
      </w:r>
      <w:r>
        <w:rPr/>
        <w:t>后的差额部分，本次非公开发行股份数量合计为</w:t>
      </w:r>
      <w:r>
        <w:rPr>
          <w:spacing w:val="-54"/>
        </w:rPr>
        <w:t> </w:t>
      </w:r>
      <w:r>
        <w:rPr>
          <w:rFonts w:ascii="宋体" w:hAnsi="宋体" w:cs="宋体" w:eastAsia="宋体" w:hint="default"/>
        </w:rPr>
        <w:t>6,366,872,724</w:t>
      </w:r>
      <w:r>
        <w:rPr>
          <w:rFonts w:ascii="宋体" w:hAnsi="宋体" w:cs="宋体" w:eastAsia="宋体" w:hint="default"/>
          <w:spacing w:val="-55"/>
        </w:rPr>
        <w:t> </w:t>
      </w:r>
      <w:r>
        <w:rPr/>
        <w:t>股，上述新增股份已于</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7"/>
        </w:rPr>
        <w:t> </w:t>
      </w:r>
      <w:r>
        <w:rPr>
          <w:rFonts w:ascii="宋体" w:hAnsi="宋体" w:cs="宋体" w:eastAsia="宋体" w:hint="default"/>
        </w:rPr>
        <w:t>2</w:t>
      </w:r>
      <w:r>
        <w:rPr>
          <w:rFonts w:ascii="宋体" w:hAnsi="宋体" w:cs="宋体" w:eastAsia="宋体" w:hint="default"/>
          <w:spacing w:val="-55"/>
        </w:rPr>
        <w:t> </w:t>
      </w:r>
      <w:r>
        <w:rPr/>
        <w:t>月</w:t>
      </w:r>
      <w:r>
        <w:rPr>
          <w:spacing w:val="-57"/>
        </w:rPr>
        <w:t> </w:t>
      </w:r>
      <w:r>
        <w:rPr>
          <w:rFonts w:ascii="宋体" w:hAnsi="宋体" w:cs="宋体" w:eastAsia="宋体" w:hint="default"/>
        </w:rPr>
        <w:t>26</w:t>
      </w:r>
      <w:r>
        <w:rPr>
          <w:rFonts w:ascii="宋体" w:hAnsi="宋体" w:cs="宋体" w:eastAsia="宋体" w:hint="default"/>
          <w:spacing w:val="-55"/>
        </w:rPr>
        <w:t> </w:t>
      </w:r>
      <w:r>
        <w:rPr/>
        <w:t>日在中国证券登记结算有限责任公司上海分公司</w:t>
      </w:r>
    </w:p>
    <w:p>
      <w:pPr>
        <w:pStyle w:val="BodyText"/>
        <w:spacing w:line="240" w:lineRule="auto" w:before="31"/>
        <w:ind w:left="220" w:right="0"/>
        <w:jc w:val="left"/>
      </w:pPr>
      <w:r>
        <w:rPr/>
        <w:t>办理股份登记手续，登记完毕后，公司股份总数为</w:t>
      </w:r>
      <w:r>
        <w:rPr>
          <w:spacing w:val="-55"/>
        </w:rPr>
        <w:t> </w:t>
      </w:r>
      <w:r>
        <w:rPr>
          <w:rFonts w:ascii="宋体" w:hAnsi="宋体" w:cs="宋体" w:eastAsia="宋体" w:hint="default"/>
        </w:rPr>
        <w:t>6,764,055,167</w:t>
      </w:r>
      <w:r>
        <w:rPr>
          <w:rFonts w:ascii="宋体" w:hAnsi="宋体" w:cs="宋体" w:eastAsia="宋体" w:hint="default"/>
          <w:spacing w:val="-55"/>
        </w:rPr>
        <w:t> </w:t>
      </w:r>
      <w:r>
        <w:rPr/>
        <w:t>股。</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2"/>
        <w:spacing w:line="240" w:lineRule="auto"/>
        <w:ind w:left="220" w:right="0"/>
        <w:jc w:val="left"/>
        <w:rPr>
          <w:b w:val="0"/>
          <w:bCs w:val="0"/>
        </w:rPr>
      </w:pPr>
      <w:r>
        <w:rPr>
          <w:rFonts w:ascii="宋体" w:hAnsi="宋体" w:cs="宋体" w:eastAsia="宋体" w:hint="default"/>
        </w:rPr>
        <w:t>3</w:t>
      </w:r>
      <w:r>
        <w:rPr/>
        <w:t>、</w:t>
      </w:r>
      <w:r>
        <w:rPr>
          <w:spacing w:val="-66"/>
        </w:rPr>
        <w:t> </w:t>
      </w:r>
      <w:r>
        <w:rPr/>
        <w:t>普通股股份变动对最近一年和最近一期每股收益、每股净资产等财务指标的影响（如有）</w:t>
      </w:r>
      <w:r>
        <w:rPr>
          <w:b w:val="0"/>
          <w:bCs w:val="0"/>
        </w:rPr>
      </w:r>
    </w:p>
    <w:p>
      <w:pPr>
        <w:pStyle w:val="BodyText"/>
        <w:tabs>
          <w:tab w:pos="1062" w:val="left" w:leader="none"/>
        </w:tabs>
        <w:spacing w:line="274" w:lineRule="exact" w:before="64"/>
        <w:ind w:left="220" w:right="0"/>
        <w:jc w:val="left"/>
      </w:pPr>
      <w:r>
        <w:rPr/>
        <w:t>√适用</w:t>
        <w:tab/>
        <w:t>□不适用</w:t>
      </w:r>
    </w:p>
    <w:p>
      <w:pPr>
        <w:pStyle w:val="BodyText"/>
        <w:spacing w:line="274" w:lineRule="exact"/>
        <w:ind w:left="640" w:right="0"/>
        <w:jc w:val="left"/>
      </w:pPr>
      <w:r>
        <w:rPr>
          <w:spacing w:val="-2"/>
        </w:rPr>
        <w:t>报告期内，公司因重组上市以非公开方式发行股份</w:t>
      </w:r>
      <w:r>
        <w:rPr/>
        <w:t> </w:t>
      </w:r>
      <w:r>
        <w:rPr>
          <w:rFonts w:ascii="宋体" w:hAnsi="宋体" w:cs="宋体" w:eastAsia="宋体" w:hint="default"/>
          <w:spacing w:val="-1"/>
        </w:rPr>
        <w:t>6,366,872,724</w:t>
      </w:r>
      <w:r>
        <w:rPr>
          <w:rFonts w:ascii="宋体" w:hAnsi="宋体" w:cs="宋体" w:eastAsia="宋体" w:hint="default"/>
          <w:spacing w:val="10"/>
        </w:rPr>
        <w:t> </w:t>
      </w:r>
      <w:r>
        <w:rPr>
          <w:spacing w:val="-2"/>
        </w:rPr>
        <w:t>股。在计算每股收益等财务指标时，公司在本次重组过程中为购买三六零科技而</w:t>
      </w:r>
    </w:p>
    <w:p>
      <w:pPr>
        <w:pStyle w:val="BodyText"/>
        <w:spacing w:line="357" w:lineRule="auto" w:before="133"/>
        <w:ind w:left="220" w:right="0"/>
        <w:jc w:val="left"/>
      </w:pPr>
      <w:r>
        <w:rPr>
          <w:spacing w:val="-1"/>
        </w:rPr>
        <w:t>发行的</w:t>
      </w:r>
      <w:r>
        <w:rPr/>
        <w:t> </w:t>
      </w:r>
      <w:r>
        <w:rPr>
          <w:rFonts w:ascii="宋体" w:hAnsi="宋体" w:cs="宋体" w:eastAsia="宋体" w:hint="default"/>
          <w:spacing w:val="-1"/>
        </w:rPr>
        <w:t>6,366,872,724</w:t>
      </w:r>
      <w:r>
        <w:rPr>
          <w:rFonts w:ascii="宋体" w:hAnsi="宋体" w:cs="宋体" w:eastAsia="宋体" w:hint="default"/>
        </w:rPr>
        <w:t> </w:t>
      </w:r>
      <w:r>
        <w:rPr>
          <w:spacing w:val="-2"/>
        </w:rPr>
        <w:t>股，视同自本年年初即存在。本年重组的普通股加权数系公司重组前已发行普通股的加权数。计算上年普通股加权平均数时，系</w:t>
      </w:r>
      <w:r>
        <w:rPr>
          <w:spacing w:val="-91"/>
        </w:rPr>
        <w:t> </w:t>
      </w:r>
      <w:r>
        <w:rPr>
          <w:spacing w:val="-91"/>
        </w:rPr>
      </w:r>
      <w:r>
        <w:rPr/>
        <w:t>在三六零科技上年普通股加权平均数的基础上乘以本次重组中本公司与三六零科技的换股比例计算得出。</w:t>
      </w:r>
    </w:p>
    <w:p>
      <w:pPr>
        <w:spacing w:line="240" w:lineRule="auto" w:before="4"/>
        <w:rPr>
          <w:rFonts w:ascii="宋体" w:hAnsi="宋体" w:cs="宋体" w:eastAsia="宋体" w:hint="default"/>
          <w:sz w:val="27"/>
          <w:szCs w:val="27"/>
        </w:rPr>
      </w:pPr>
    </w:p>
    <w:p>
      <w:pPr>
        <w:pStyle w:val="Heading2"/>
        <w:spacing w:line="240" w:lineRule="auto"/>
        <w:ind w:left="220" w:right="0"/>
        <w:jc w:val="left"/>
        <w:rPr>
          <w:b w:val="0"/>
          <w:bCs w:val="0"/>
        </w:rPr>
      </w:pPr>
      <w:r>
        <w:rPr>
          <w:rFonts w:ascii="宋体" w:hAnsi="宋体" w:cs="宋体" w:eastAsia="宋体" w:hint="default"/>
        </w:rPr>
        <w:t>4</w:t>
      </w:r>
      <w:r>
        <w:rPr/>
        <w:t>、</w:t>
      </w:r>
      <w:r>
        <w:rPr>
          <w:spacing w:val="-66"/>
        </w:rPr>
        <w:t> </w:t>
      </w:r>
      <w:r>
        <w:rPr/>
        <w:t>公司认为必要或证券监管机构要求披露的其他内容</w:t>
      </w:r>
      <w:r>
        <w:rPr>
          <w:b w:val="0"/>
          <w:bCs w:val="0"/>
        </w:rPr>
      </w:r>
    </w:p>
    <w:p>
      <w:pPr>
        <w:pStyle w:val="BodyText"/>
        <w:tabs>
          <w:tab w:pos="1062" w:val="left" w:leader="none"/>
        </w:tabs>
        <w:spacing w:line="240" w:lineRule="auto" w:before="61"/>
        <w:ind w:left="220" w:right="0"/>
        <w:jc w:val="left"/>
      </w:pPr>
      <w:r>
        <w:rPr/>
        <w:t>□适用</w:t>
        <w:tab/>
        <w:t>√不适用</w:t>
      </w:r>
    </w:p>
    <w:p>
      <w:pPr>
        <w:spacing w:line="240" w:lineRule="auto" w:before="13"/>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6840" w:h="11910" w:orient="landscape"/>
          <w:pgMar w:header="857" w:footer="1218" w:top="1320" w:bottom="1400" w:left="1220" w:right="1400"/>
        </w:sectPr>
      </w:pPr>
    </w:p>
    <w:p>
      <w:pPr>
        <w:pStyle w:val="Heading2"/>
        <w:spacing w:line="240" w:lineRule="auto" w:before="26"/>
        <w:ind w:left="220" w:right="-18"/>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10"/>
        </w:rPr>
        <w:t> </w:t>
      </w:r>
      <w:r>
        <w:rPr/>
        <w:t>限售股份变动情况</w:t>
      </w:r>
      <w:r>
        <w:rPr>
          <w:b w:val="0"/>
          <w:bCs w:val="0"/>
        </w:rPr>
      </w:r>
    </w:p>
    <w:p>
      <w:pPr>
        <w:pStyle w:val="BodyText"/>
        <w:spacing w:line="240" w:lineRule="auto" w:before="33"/>
        <w:ind w:left="22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2"/>
        <w:ind w:left="220" w:right="0"/>
        <w:jc w:val="left"/>
      </w:pPr>
      <w:r>
        <w:rPr/>
        <w:t>单位</w:t>
      </w:r>
      <w:r>
        <w:rPr>
          <w:rFonts w:ascii="宋体" w:hAnsi="宋体" w:cs="宋体" w:eastAsia="宋体" w:hint="default"/>
        </w:rPr>
        <w:t>:</w:t>
      </w:r>
      <w:r>
        <w:rPr>
          <w:rFonts w:ascii="宋体" w:hAnsi="宋体" w:cs="宋体" w:eastAsia="宋体" w:hint="default"/>
          <w:spacing w:val="2"/>
        </w:rPr>
        <w:t> </w:t>
      </w:r>
      <w:r>
        <w:rPr/>
        <w:t>股</w:t>
      </w:r>
    </w:p>
    <w:p>
      <w:pPr>
        <w:spacing w:after="0" w:line="240" w:lineRule="auto"/>
        <w:jc w:val="left"/>
        <w:sectPr>
          <w:type w:val="continuous"/>
          <w:pgSz w:w="16840" w:h="11910" w:orient="landscape"/>
          <w:pgMar w:top="1320" w:bottom="1400" w:left="1220" w:right="1400"/>
          <w:cols w:num="2" w:equalWidth="0">
            <w:col w:w="2714" w:space="10320"/>
            <w:col w:w="118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674"/>
        <w:gridCol w:w="991"/>
        <w:gridCol w:w="1135"/>
        <w:gridCol w:w="1582"/>
        <w:gridCol w:w="1579"/>
        <w:gridCol w:w="1942"/>
        <w:gridCol w:w="1985"/>
      </w:tblGrid>
      <w:tr>
        <w:trPr>
          <w:trHeight w:val="55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年初限</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售股数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73" w:lineRule="exact"/>
              <w:ind w:left="141"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本年增加限售</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9"/>
              <w:jc w:val="right"/>
              <w:rPr>
                <w:rFonts w:ascii="宋体" w:hAnsi="宋体" w:cs="宋体" w:eastAsia="宋体" w:hint="default"/>
                <w:sz w:val="21"/>
                <w:szCs w:val="21"/>
              </w:rPr>
            </w:pPr>
            <w:r>
              <w:rPr>
                <w:rFonts w:ascii="宋体" w:hAnsi="宋体" w:cs="宋体" w:eastAsia="宋体" w:hint="default"/>
                <w:spacing w:val="-1"/>
                <w:sz w:val="21"/>
                <w:szCs w:val="21"/>
              </w:rPr>
              <w:t>年末限售股数</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7"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55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天津奇信志成科技有限公司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3,296,744,163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3,296,744,163</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val="restart"/>
            <w:tcBorders>
              <w:top w:val="single" w:sz="4" w:space="0" w:color="000000"/>
              <w:left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3</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9"/>
                <w:sz w:val="21"/>
                <w:szCs w:val="21"/>
              </w:rPr>
              <w:t>相关股东因重组上</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9"/>
                <w:sz w:val="21"/>
                <w:szCs w:val="21"/>
              </w:rPr>
              <w:t>市所获得的全部限</w:t>
            </w:r>
          </w:p>
        </w:tc>
      </w:tr>
      <w:tr>
        <w:trPr>
          <w:trHeight w:val="283"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周鸿祎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821,281,583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821,281,583</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pacing w:val="3"/>
                <w:sz w:val="21"/>
                <w:szCs w:val="21"/>
              </w:rPr>
              <w:t>重大资产重组取得</w:t>
            </w:r>
          </w:p>
        </w:tc>
        <w:tc>
          <w:tcPr>
            <w:tcW w:w="1985" w:type="dxa"/>
            <w:vMerge/>
            <w:tcBorders>
              <w:left w:val="single" w:sz="4" w:space="0" w:color="000000"/>
              <w:bottom w:val="single" w:sz="4" w:space="0" w:color="000000"/>
              <w:right w:val="single" w:sz="4" w:space="0" w:color="000000"/>
            </w:tcBorders>
          </w:tcPr>
          <w:p>
            <w:pPr/>
          </w:p>
        </w:tc>
      </w:tr>
    </w:tbl>
    <w:p>
      <w:pPr>
        <w:spacing w:after="0"/>
        <w:sectPr>
          <w:type w:val="continuous"/>
          <w:pgSz w:w="16840" w:h="11910" w:orient="landscape"/>
          <w:pgMar w:top="1320" w:bottom="1400" w:left="1220" w:right="14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07" w:type="dxa"/>
        <w:tblLayout w:type="fixed"/>
        <w:tblCellMar>
          <w:top w:w="0" w:type="dxa"/>
          <w:left w:w="0" w:type="dxa"/>
          <w:bottom w:w="0" w:type="dxa"/>
          <w:right w:w="0" w:type="dxa"/>
        </w:tblCellMar>
        <w:tblLook w:val="01E0"/>
      </w:tblPr>
      <w:tblGrid>
        <w:gridCol w:w="4674"/>
        <w:gridCol w:w="991"/>
        <w:gridCol w:w="1135"/>
        <w:gridCol w:w="1582"/>
        <w:gridCol w:w="1579"/>
        <w:gridCol w:w="1942"/>
        <w:gridCol w:w="1985"/>
      </w:tblGrid>
      <w:tr>
        <w:trPr>
          <w:trHeight w:val="281" w:hRule="exact"/>
        </w:trPr>
        <w:tc>
          <w:tcPr>
            <w:tcW w:w="46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val="restart"/>
            <w:tcBorders>
              <w:top w:val="single" w:sz="4" w:space="0" w:color="000000"/>
              <w:left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8"/>
                <w:sz w:val="21"/>
                <w:szCs w:val="21"/>
              </w:rPr>
              <w:t>售股的</w:t>
            </w:r>
            <w:r>
              <w:rPr>
                <w:rFonts w:ascii="宋体" w:hAnsi="宋体" w:cs="宋体" w:eastAsia="宋体" w:hint="default"/>
                <w:spacing w:val="33"/>
                <w:sz w:val="21"/>
                <w:szCs w:val="21"/>
              </w:rPr>
              <w:t> </w:t>
            </w:r>
            <w:r>
              <w:rPr>
                <w:rFonts w:ascii="宋体" w:hAnsi="宋体" w:cs="宋体" w:eastAsia="宋体" w:hint="default"/>
                <w:spacing w:val="5"/>
                <w:sz w:val="21"/>
                <w:szCs w:val="21"/>
              </w:rPr>
              <w:t>70%</w:t>
            </w:r>
            <w:r>
              <w:rPr>
                <w:rFonts w:ascii="宋体" w:hAnsi="宋体" w:cs="宋体" w:eastAsia="宋体" w:hint="default"/>
                <w:spacing w:val="5"/>
                <w:sz w:val="21"/>
                <w:szCs w:val="21"/>
              </w:rPr>
              <w:t>解锁；</w:t>
            </w:r>
          </w:p>
          <w:p>
            <w:pPr>
              <w:pStyle w:val="TableParagraph"/>
              <w:spacing w:line="237" w:lineRule="auto"/>
              <w:ind w:left="103" w:right="89"/>
              <w:jc w:val="both"/>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17"/>
                <w:sz w:val="21"/>
                <w:szCs w:val="21"/>
              </w:rPr>
              <w:t> </w:t>
            </w:r>
            <w:r>
              <w:rPr>
                <w:rFonts w:ascii="宋体" w:hAnsi="宋体" w:cs="宋体" w:eastAsia="宋体" w:hint="default"/>
                <w:sz w:val="21"/>
                <w:szCs w:val="21"/>
              </w:rPr>
              <w:t>年度承诺业绩</w:t>
            </w:r>
            <w:r>
              <w:rPr>
                <w:rFonts w:ascii="宋体" w:hAnsi="宋体" w:cs="宋体" w:eastAsia="宋体" w:hint="default"/>
                <w:w w:val="100"/>
                <w:sz w:val="21"/>
                <w:szCs w:val="21"/>
              </w:rPr>
              <w:t> </w:t>
            </w:r>
            <w:r>
              <w:rPr>
                <w:rFonts w:ascii="宋体" w:hAnsi="宋体" w:cs="宋体" w:eastAsia="宋体" w:hint="default"/>
                <w:spacing w:val="8"/>
                <w:sz w:val="21"/>
                <w:szCs w:val="21"/>
              </w:rPr>
              <w:t>的专项审计报告公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告后且全部业绩补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8"/>
                <w:sz w:val="21"/>
                <w:szCs w:val="21"/>
              </w:rPr>
              <w:t>偿义务履行完毕之</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0"/>
                <w:sz w:val="21"/>
                <w:szCs w:val="21"/>
              </w:rPr>
              <w:t>日，相关股东因重</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8"/>
                <w:sz w:val="21"/>
                <w:szCs w:val="21"/>
              </w:rPr>
              <w:t>组上市所获得的全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部限售股剩余部分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全部解锁。</w:t>
            </w:r>
          </w:p>
        </w:tc>
      </w:tr>
      <w:tr>
        <w:trPr>
          <w:trHeight w:val="2180"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天津众信股权投资合伙企业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190,878,127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190,878,127</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17"/>
              <w:ind w:left="103" w:right="10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的上市公司股份</w:t>
            </w:r>
          </w:p>
        </w:tc>
        <w:tc>
          <w:tcPr>
            <w:tcW w:w="1985" w:type="dxa"/>
            <w:vMerge/>
            <w:tcBorders>
              <w:left w:val="single" w:sz="4" w:space="0" w:color="000000"/>
              <w:bottom w:val="single" w:sz="4" w:space="0" w:color="000000"/>
              <w:right w:val="single" w:sz="4" w:space="0" w:color="000000"/>
            </w:tcBorders>
          </w:tcPr>
          <w:p>
            <w:pPr/>
          </w:p>
        </w:tc>
      </w:tr>
      <w:tr>
        <w:trPr>
          <w:trHeight w:val="55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天津欣新盛股权投资合伙企业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277,307,438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277,307,438</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37" w:lineRule="auto"/>
              <w:ind w:left="103" w:right="29"/>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8"/>
                <w:sz w:val="21"/>
                <w:szCs w:val="21"/>
              </w:rPr>
              <w:t>相关股东因重组上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市所获得的全部限</w:t>
            </w:r>
          </w:p>
          <w:p>
            <w:pPr>
              <w:pStyle w:val="TableParagraph"/>
              <w:spacing w:line="237" w:lineRule="auto"/>
              <w:ind w:left="103" w:right="84"/>
              <w:jc w:val="both"/>
              <w:rPr>
                <w:rFonts w:ascii="宋体" w:hAnsi="宋体" w:cs="宋体" w:eastAsia="宋体" w:hint="default"/>
                <w:sz w:val="21"/>
                <w:szCs w:val="21"/>
              </w:rPr>
            </w:pPr>
            <w:r>
              <w:rPr>
                <w:rFonts w:ascii="宋体" w:hAnsi="宋体" w:cs="宋体" w:eastAsia="宋体" w:hint="default"/>
                <w:spacing w:val="8"/>
                <w:sz w:val="21"/>
                <w:szCs w:val="21"/>
              </w:rPr>
              <w:t>售股的</w:t>
            </w:r>
            <w:r>
              <w:rPr>
                <w:rFonts w:ascii="宋体" w:hAnsi="宋体" w:cs="宋体" w:eastAsia="宋体" w:hint="default"/>
                <w:spacing w:val="30"/>
                <w:sz w:val="21"/>
                <w:szCs w:val="21"/>
              </w:rPr>
              <w:t> </w:t>
            </w:r>
            <w:r>
              <w:rPr>
                <w:rFonts w:ascii="宋体" w:hAnsi="宋体" w:cs="宋体" w:eastAsia="宋体" w:hint="default"/>
                <w:spacing w:val="5"/>
                <w:sz w:val="21"/>
                <w:szCs w:val="21"/>
              </w:rPr>
              <w:t>40%</w:t>
            </w:r>
            <w:r>
              <w:rPr>
                <w:rFonts w:ascii="宋体" w:hAnsi="宋体" w:cs="宋体" w:eastAsia="宋体" w:hint="default"/>
                <w:spacing w:val="5"/>
                <w:sz w:val="21"/>
                <w:szCs w:val="21"/>
              </w:rPr>
              <w:t>解锁；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2019</w:t>
            </w:r>
            <w:r>
              <w:rPr>
                <w:rFonts w:ascii="宋体" w:hAnsi="宋体" w:cs="宋体" w:eastAsia="宋体" w:hint="default"/>
                <w:spacing w:val="-17"/>
                <w:sz w:val="21"/>
                <w:szCs w:val="21"/>
              </w:rPr>
              <w:t> </w:t>
            </w:r>
            <w:r>
              <w:rPr>
                <w:rFonts w:ascii="宋体" w:hAnsi="宋体" w:cs="宋体" w:eastAsia="宋体" w:hint="default"/>
                <w:sz w:val="21"/>
                <w:szCs w:val="21"/>
              </w:rPr>
              <w:t>年度承诺业绩</w:t>
            </w:r>
            <w:r>
              <w:rPr>
                <w:rFonts w:ascii="宋体" w:hAnsi="宋体" w:cs="宋体" w:eastAsia="宋体" w:hint="default"/>
                <w:w w:val="100"/>
                <w:sz w:val="21"/>
                <w:szCs w:val="21"/>
              </w:rPr>
              <w:t> </w:t>
            </w:r>
            <w:r>
              <w:rPr>
                <w:rFonts w:ascii="宋体" w:hAnsi="宋体" w:cs="宋体" w:eastAsia="宋体" w:hint="default"/>
                <w:spacing w:val="8"/>
                <w:sz w:val="21"/>
                <w:szCs w:val="21"/>
              </w:rPr>
              <w:t>的专项审计报告公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0"/>
                <w:sz w:val="21"/>
                <w:szCs w:val="21"/>
              </w:rPr>
              <w:t>告后且 </w:t>
            </w:r>
            <w:r>
              <w:rPr>
                <w:rFonts w:ascii="宋体" w:hAnsi="宋体" w:cs="宋体" w:eastAsia="宋体" w:hint="default"/>
                <w:sz w:val="21"/>
                <w:szCs w:val="21"/>
              </w:rPr>
              <w:t>2017</w:t>
            </w:r>
            <w:r>
              <w:rPr>
                <w:rFonts w:ascii="宋体" w:hAnsi="宋体" w:cs="宋体" w:eastAsia="宋体" w:hint="default"/>
                <w:spacing w:val="36"/>
                <w:sz w:val="21"/>
                <w:szCs w:val="21"/>
              </w:rPr>
              <w:t> </w:t>
            </w:r>
            <w:r>
              <w:rPr>
                <w:rFonts w:ascii="宋体" w:hAnsi="宋体" w:cs="宋体" w:eastAsia="宋体" w:hint="default"/>
                <w:spacing w:val="13"/>
                <w:sz w:val="21"/>
                <w:szCs w:val="21"/>
              </w:rPr>
              <w:t>年至</w:t>
            </w:r>
            <w:r>
              <w:rPr>
                <w:rFonts w:ascii="宋体" w:hAnsi="宋体" w:cs="宋体" w:eastAsia="宋体" w:hint="default"/>
                <w:sz w:val="21"/>
                <w:szCs w:val="21"/>
              </w:rPr>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17"/>
                <w:sz w:val="21"/>
                <w:szCs w:val="21"/>
              </w:rPr>
              <w:t> </w:t>
            </w:r>
            <w:r>
              <w:rPr>
                <w:rFonts w:ascii="宋体" w:hAnsi="宋体" w:cs="宋体" w:eastAsia="宋体" w:hint="default"/>
                <w:sz w:val="21"/>
                <w:szCs w:val="21"/>
              </w:rPr>
              <w:t>年业绩补偿义</w:t>
            </w:r>
            <w:r>
              <w:rPr>
                <w:rFonts w:ascii="宋体" w:hAnsi="宋体" w:cs="宋体" w:eastAsia="宋体" w:hint="default"/>
                <w:w w:val="100"/>
                <w:sz w:val="21"/>
                <w:szCs w:val="21"/>
              </w:rPr>
              <w:t> </w:t>
            </w:r>
            <w:r>
              <w:rPr>
                <w:rFonts w:ascii="宋体" w:hAnsi="宋体" w:cs="宋体" w:eastAsia="宋体" w:hint="default"/>
                <w:spacing w:val="9"/>
                <w:sz w:val="21"/>
                <w:szCs w:val="21"/>
              </w:rPr>
              <w:t>务履行完毕之日，</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8"/>
                <w:sz w:val="21"/>
                <w:szCs w:val="21"/>
              </w:rPr>
              <w:t>相关股东因重组上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市所获得的全部限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售股的</w:t>
            </w:r>
            <w:r>
              <w:rPr>
                <w:rFonts w:ascii="宋体" w:hAnsi="宋体" w:cs="宋体" w:eastAsia="宋体" w:hint="default"/>
                <w:spacing w:val="31"/>
                <w:sz w:val="21"/>
                <w:szCs w:val="21"/>
              </w:rPr>
              <w:t> </w:t>
            </w:r>
            <w:r>
              <w:rPr>
                <w:rFonts w:ascii="宋体" w:hAnsi="宋体" w:cs="宋体" w:eastAsia="宋体" w:hint="default"/>
                <w:spacing w:val="5"/>
                <w:sz w:val="21"/>
                <w:szCs w:val="21"/>
              </w:rPr>
              <w:t>30%</w:t>
            </w:r>
            <w:r>
              <w:rPr>
                <w:rFonts w:ascii="宋体" w:hAnsi="宋体" w:cs="宋体" w:eastAsia="宋体" w:hint="default"/>
                <w:spacing w:val="5"/>
                <w:sz w:val="21"/>
                <w:szCs w:val="21"/>
              </w:rPr>
              <w:t>解锁；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2020</w:t>
            </w:r>
            <w:r>
              <w:rPr>
                <w:rFonts w:ascii="宋体" w:hAnsi="宋体" w:cs="宋体" w:eastAsia="宋体" w:hint="default"/>
                <w:spacing w:val="-17"/>
                <w:sz w:val="21"/>
                <w:szCs w:val="21"/>
              </w:rPr>
              <w:t> </w:t>
            </w:r>
            <w:r>
              <w:rPr>
                <w:rFonts w:ascii="宋体" w:hAnsi="宋体" w:cs="宋体" w:eastAsia="宋体" w:hint="default"/>
                <w:sz w:val="21"/>
                <w:szCs w:val="21"/>
              </w:rPr>
              <w:t>年度承诺业绩</w:t>
            </w:r>
            <w:r>
              <w:rPr>
                <w:rFonts w:ascii="宋体" w:hAnsi="宋体" w:cs="宋体" w:eastAsia="宋体" w:hint="default"/>
                <w:w w:val="100"/>
                <w:sz w:val="21"/>
                <w:szCs w:val="21"/>
              </w:rPr>
              <w:t> </w:t>
            </w:r>
            <w:r>
              <w:rPr>
                <w:rFonts w:ascii="宋体" w:hAnsi="宋体" w:cs="宋体" w:eastAsia="宋体" w:hint="default"/>
                <w:spacing w:val="8"/>
                <w:sz w:val="21"/>
                <w:szCs w:val="21"/>
              </w:rPr>
              <w:t>的专项审计报告公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告后且全部业绩补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8"/>
                <w:sz w:val="21"/>
                <w:szCs w:val="21"/>
              </w:rPr>
              <w:t>偿义务履行完毕之</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日，相关股东因重</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8"/>
                <w:sz w:val="21"/>
                <w:szCs w:val="21"/>
              </w:rPr>
              <w:t>组上市所获得的全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部限售股剩余部分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全部解锁。</w:t>
            </w:r>
          </w:p>
        </w:tc>
      </w:tr>
      <w:tr>
        <w:trPr>
          <w:trHeight w:val="55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北京红杉懿远股权投资中心</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185,795,997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185,795,997</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7"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天津信心奇缘股权投资合伙企业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144,646,170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144,646,170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5"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齐向东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121,207,120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宋体" w:hAnsi="宋体" w:cs="宋体" w:eastAsia="宋体" w:hint="default"/>
                <w:sz w:val="21"/>
                <w:szCs w:val="21"/>
              </w:rPr>
            </w:pPr>
            <w:r>
              <w:rPr>
                <w:rFonts w:ascii="宋体"/>
                <w:spacing w:val="-1"/>
                <w:sz w:val="21"/>
              </w:rPr>
              <w:t>121,207,120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浙江海宁国安睿威投资合伙企业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110,922,953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110,922,953</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天津聚信股权投资合伙企业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105,908,028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105,908,028</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深圳市平安置业投资有限公司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88,738,428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88,738,428</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天津天信股权投资合伙企业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86,142,906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86,142,906</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5"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南京瑞联一号投资中心</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69,326,916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69,326,916</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金砖丝路</w:t>
            </w:r>
            <w:r>
              <w:rPr>
                <w:rFonts w:ascii="宋体" w:hAnsi="宋体" w:cs="宋体" w:eastAsia="宋体" w:hint="default"/>
                <w:sz w:val="21"/>
                <w:szCs w:val="21"/>
              </w:rPr>
              <w:t>(</w:t>
            </w:r>
            <w:r>
              <w:rPr>
                <w:rFonts w:ascii="宋体" w:hAnsi="宋体" w:cs="宋体" w:eastAsia="宋体" w:hint="default"/>
                <w:sz w:val="21"/>
                <w:szCs w:val="21"/>
              </w:rPr>
              <w:t>银川</w:t>
            </w:r>
            <w:r>
              <w:rPr>
                <w:rFonts w:ascii="宋体" w:hAnsi="宋体" w:cs="宋体" w:eastAsia="宋体" w:hint="default"/>
                <w:sz w:val="21"/>
                <w:szCs w:val="21"/>
              </w:rPr>
              <w:t>)</w:t>
            </w:r>
            <w:r>
              <w:rPr>
                <w:rFonts w:ascii="宋体" w:hAnsi="宋体" w:cs="宋体" w:eastAsia="宋体" w:hint="default"/>
                <w:sz w:val="21"/>
                <w:szCs w:val="21"/>
              </w:rPr>
              <w:t>股权投资合伙企业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69,326,916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69,326,916</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7"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汇臻资本管理</w:t>
            </w:r>
            <w:r>
              <w:rPr>
                <w:rFonts w:ascii="宋体" w:hAnsi="宋体" w:cs="宋体" w:eastAsia="宋体" w:hint="default"/>
                <w:sz w:val="21"/>
                <w:szCs w:val="21"/>
              </w:rPr>
              <w:t>(</w:t>
            </w:r>
            <w:r>
              <w:rPr>
                <w:rFonts w:ascii="宋体" w:hAnsi="宋体" w:cs="宋体" w:eastAsia="宋体" w:hint="default"/>
                <w:sz w:val="21"/>
                <w:szCs w:val="21"/>
              </w:rPr>
              <w:t>深圳</w:t>
            </w:r>
            <w:r>
              <w:rPr>
                <w:rFonts w:ascii="宋体" w:hAnsi="宋体" w:cs="宋体" w:eastAsia="宋体" w:hint="default"/>
                <w:sz w:val="21"/>
                <w:szCs w:val="21"/>
              </w:rPr>
              <w:t>)</w:t>
            </w:r>
            <w:r>
              <w:rPr>
                <w:rFonts w:ascii="宋体" w:hAnsi="宋体" w:cs="宋体" w:eastAsia="宋体" w:hint="default"/>
                <w:sz w:val="21"/>
                <w:szCs w:val="21"/>
              </w:rPr>
              <w:t>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55,461,532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55,461,532</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57" w:footer="1218" w:top="1320" w:bottom="1400" w:left="1220" w:right="14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07" w:type="dxa"/>
        <w:tblLayout w:type="fixed"/>
        <w:tblCellMar>
          <w:top w:w="0" w:type="dxa"/>
          <w:left w:w="0" w:type="dxa"/>
          <w:bottom w:w="0" w:type="dxa"/>
          <w:right w:w="0" w:type="dxa"/>
        </w:tblCellMar>
        <w:tblLook w:val="01E0"/>
      </w:tblPr>
      <w:tblGrid>
        <w:gridCol w:w="4674"/>
        <w:gridCol w:w="991"/>
        <w:gridCol w:w="1135"/>
        <w:gridCol w:w="1582"/>
        <w:gridCol w:w="1579"/>
        <w:gridCol w:w="1942"/>
        <w:gridCol w:w="1985"/>
      </w:tblGrid>
      <w:tr>
        <w:trPr>
          <w:trHeight w:val="55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宁波博睿维森股权投资合伙企业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55,461,532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55,461,532</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val="restart"/>
            <w:tcBorders>
              <w:top w:val="single" w:sz="4" w:space="0" w:color="000000"/>
              <w:left w:val="single" w:sz="4" w:space="0" w:color="000000"/>
              <w:right w:val="single" w:sz="4" w:space="0" w:color="000000"/>
            </w:tcBorders>
          </w:tcPr>
          <w:p>
            <w:pPr/>
          </w:p>
        </w:tc>
      </w:tr>
      <w:tr>
        <w:trPr>
          <w:trHeight w:val="55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深圳华晟领优股权投资合伙企业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49,915,288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49,915,288</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阳光人寿保险股份有限公司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47,142,280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47,142,280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5"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北京融嘉汇能投资管理中心</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41,596,148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41,596,148</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烟台民和昊虎投资中心</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36,050,019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36,050,019</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瑞金市华融瑞泽一号投资中心</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36,050,019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36,050,019</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7"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苏州太平国发通融贰号投资企业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27,730,767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27,730,767</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上海绿廪创舸投资合伙企业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27,730,767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宋体" w:hAnsi="宋体" w:cs="宋体" w:eastAsia="宋体" w:hint="default"/>
                <w:sz w:val="21"/>
                <w:szCs w:val="21"/>
              </w:rPr>
            </w:pPr>
            <w:r>
              <w:rPr>
                <w:rFonts w:ascii="宋体"/>
                <w:spacing w:val="-1"/>
                <w:sz w:val="21"/>
              </w:rPr>
              <w:t>27,730,767</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5"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上海赛领博达科电投资管理中心</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27,730,767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27,730,767</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芒果文创</w:t>
            </w:r>
            <w:r>
              <w:rPr>
                <w:rFonts w:ascii="宋体" w:hAnsi="宋体" w:cs="宋体" w:eastAsia="宋体" w:hint="default"/>
                <w:sz w:val="21"/>
                <w:szCs w:val="21"/>
              </w:rPr>
              <w:t>(</w:t>
            </w:r>
            <w:r>
              <w:rPr>
                <w:rFonts w:ascii="宋体" w:hAnsi="宋体" w:cs="宋体" w:eastAsia="宋体" w:hint="default"/>
                <w:sz w:val="21"/>
                <w:szCs w:val="21"/>
              </w:rPr>
              <w:t>上海）股权投资基金合伙企业</w:t>
            </w:r>
            <w:r>
              <w:rPr>
                <w:rFonts w:ascii="宋体" w:hAnsi="宋体" w:cs="宋体" w:eastAsia="宋体" w:hint="default"/>
                <w:sz w:val="21"/>
                <w:szCs w:val="21"/>
              </w:rPr>
              <w:t>(</w:t>
            </w:r>
            <w:r>
              <w:rPr>
                <w:rFonts w:ascii="宋体" w:hAnsi="宋体" w:cs="宋体" w:eastAsia="宋体" w:hint="default"/>
                <w:sz w:val="21"/>
                <w:szCs w:val="21"/>
              </w:rPr>
              <w:t>有限合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27,730,767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27,730,767</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珠江人寿保险股份有限公司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27,730,767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27,730,767</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横店集团控股有限公司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27,730,767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27,730,767</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5"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杭州以盈投资管理合伙企业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27,730,767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27,730,767</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宁波建虎启融股权投资合伙企业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27,730,767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27,730,767</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7"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招商财富资产管理有限公司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27,730,767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27,730,767</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281"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宁波执一奇元股权投资中心</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27,730,767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27,730,767</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tc>
        <w:tc>
          <w:tcPr>
            <w:tcW w:w="1985"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57" w:footer="1218" w:top="1320" w:bottom="1400" w:left="1220" w:right="14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07" w:type="dxa"/>
        <w:tblLayout w:type="fixed"/>
        <w:tblCellMar>
          <w:top w:w="0" w:type="dxa"/>
          <w:left w:w="0" w:type="dxa"/>
          <w:bottom w:w="0" w:type="dxa"/>
          <w:right w:w="0" w:type="dxa"/>
        </w:tblCellMar>
        <w:tblLook w:val="01E0"/>
      </w:tblPr>
      <w:tblGrid>
        <w:gridCol w:w="4674"/>
        <w:gridCol w:w="991"/>
        <w:gridCol w:w="1135"/>
        <w:gridCol w:w="1582"/>
        <w:gridCol w:w="1579"/>
        <w:gridCol w:w="1942"/>
        <w:gridCol w:w="1985"/>
      </w:tblGrid>
      <w:tr>
        <w:trPr>
          <w:trHeight w:val="281" w:hRule="exact"/>
        </w:trPr>
        <w:tc>
          <w:tcPr>
            <w:tcW w:w="46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val="restart"/>
            <w:tcBorders>
              <w:top w:val="single" w:sz="4" w:space="0" w:color="000000"/>
              <w:left w:val="single" w:sz="4" w:space="0" w:color="000000"/>
              <w:right w:val="single" w:sz="4" w:space="0" w:color="000000"/>
            </w:tcBorders>
          </w:tcPr>
          <w:p>
            <w:pPr/>
          </w:p>
        </w:tc>
      </w:tr>
      <w:tr>
        <w:trPr>
          <w:trHeight w:val="557"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金砖丝路</w:t>
            </w:r>
            <w:r>
              <w:rPr>
                <w:rFonts w:ascii="宋体" w:hAnsi="宋体" w:cs="宋体" w:eastAsia="宋体" w:hint="default"/>
                <w:sz w:val="21"/>
                <w:szCs w:val="21"/>
              </w:rPr>
              <w:t>(</w:t>
            </w:r>
            <w:r>
              <w:rPr>
                <w:rFonts w:ascii="宋体" w:hAnsi="宋体" w:cs="宋体" w:eastAsia="宋体" w:hint="default"/>
                <w:sz w:val="21"/>
                <w:szCs w:val="21"/>
              </w:rPr>
              <w:t>深圳</w:t>
            </w:r>
            <w:r>
              <w:rPr>
                <w:rFonts w:ascii="宋体" w:hAnsi="宋体" w:cs="宋体" w:eastAsia="宋体" w:hint="default"/>
                <w:sz w:val="21"/>
                <w:szCs w:val="21"/>
              </w:rPr>
              <w:t>)</w:t>
            </w:r>
            <w:r>
              <w:rPr>
                <w:rFonts w:ascii="宋体" w:hAnsi="宋体" w:cs="宋体" w:eastAsia="宋体" w:hint="default"/>
                <w:sz w:val="21"/>
                <w:szCs w:val="21"/>
              </w:rPr>
              <w:t>股权投资合伙企业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27,730,767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27,730,767</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宁波挚信一期股权投资合伙企业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24,957,644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宋体" w:hAnsi="宋体" w:cs="宋体" w:eastAsia="宋体" w:hint="default"/>
                <w:sz w:val="21"/>
                <w:szCs w:val="21"/>
              </w:rPr>
            </w:pPr>
            <w:r>
              <w:rPr>
                <w:rFonts w:ascii="宋体"/>
                <w:spacing w:val="-1"/>
                <w:sz w:val="21"/>
              </w:rPr>
              <w:t>24,957,644</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上海永挣投资管理有限公司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22,184,635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22,184,635</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5"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锐普文华</w:t>
            </w:r>
            <w:r>
              <w:rPr>
                <w:rFonts w:ascii="宋体" w:hAnsi="宋体" w:cs="宋体" w:eastAsia="宋体" w:hint="default"/>
                <w:sz w:val="21"/>
                <w:szCs w:val="21"/>
              </w:rPr>
              <w:t>(</w:t>
            </w:r>
            <w:r>
              <w:rPr>
                <w:rFonts w:ascii="宋体" w:hAnsi="宋体" w:cs="宋体" w:eastAsia="宋体" w:hint="default"/>
                <w:sz w:val="21"/>
                <w:szCs w:val="21"/>
              </w:rPr>
              <w:t>天津</w:t>
            </w:r>
            <w:r>
              <w:rPr>
                <w:rFonts w:ascii="宋体" w:hAnsi="宋体" w:cs="宋体" w:eastAsia="宋体" w:hint="default"/>
                <w:sz w:val="21"/>
                <w:szCs w:val="21"/>
              </w:rPr>
              <w:t>)</w:t>
            </w:r>
            <w:r>
              <w:rPr>
                <w:rFonts w:ascii="宋体" w:hAnsi="宋体" w:cs="宋体" w:eastAsia="宋体" w:hint="default"/>
                <w:sz w:val="21"/>
                <w:szCs w:val="21"/>
              </w:rPr>
              <w:t>投资中心</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22,184,635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22,184,635</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苏州工业园区元禾重元并购股权投资基金合伙企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13,865,383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13,865,383</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北京凯金阿尔法资产管理中心</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13,865,383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13,865,383</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中金佳立</w:t>
            </w:r>
            <w:r>
              <w:rPr>
                <w:rFonts w:ascii="宋体" w:hAnsi="宋体" w:cs="宋体" w:eastAsia="宋体" w:hint="default"/>
                <w:sz w:val="21"/>
                <w:szCs w:val="21"/>
              </w:rPr>
              <w:t>(</w:t>
            </w:r>
            <w:r>
              <w:rPr>
                <w:rFonts w:ascii="宋体" w:hAnsi="宋体" w:cs="宋体" w:eastAsia="宋体" w:hint="default"/>
                <w:sz w:val="21"/>
                <w:szCs w:val="21"/>
              </w:rPr>
              <w:t>天津</w:t>
            </w:r>
            <w:r>
              <w:rPr>
                <w:rFonts w:ascii="宋体" w:hAnsi="宋体" w:cs="宋体" w:eastAsia="宋体" w:hint="default"/>
                <w:sz w:val="21"/>
                <w:szCs w:val="21"/>
              </w:rPr>
              <w:t>)</w:t>
            </w:r>
            <w:r>
              <w:rPr>
                <w:rFonts w:ascii="宋体" w:hAnsi="宋体" w:cs="宋体" w:eastAsia="宋体" w:hint="default"/>
                <w:sz w:val="21"/>
                <w:szCs w:val="21"/>
              </w:rPr>
              <w:t>投资中心</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13,865,383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13,865,383</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5"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朗泰传富投资</w:t>
            </w:r>
            <w:r>
              <w:rPr>
                <w:rFonts w:ascii="宋体" w:hAnsi="宋体" w:cs="宋体" w:eastAsia="宋体" w:hint="default"/>
                <w:sz w:val="21"/>
                <w:szCs w:val="21"/>
              </w:rPr>
              <w:t>(</w:t>
            </w:r>
            <w:r>
              <w:rPr>
                <w:rFonts w:ascii="宋体" w:hAnsi="宋体" w:cs="宋体" w:eastAsia="宋体" w:hint="default"/>
                <w:sz w:val="21"/>
                <w:szCs w:val="21"/>
              </w:rPr>
              <w:t>深圳</w:t>
            </w:r>
            <w:r>
              <w:rPr>
                <w:rFonts w:ascii="宋体" w:hAnsi="宋体" w:cs="宋体" w:eastAsia="宋体" w:hint="default"/>
                <w:sz w:val="21"/>
                <w:szCs w:val="21"/>
              </w:rPr>
              <w:t>)</w:t>
            </w:r>
            <w:r>
              <w:rPr>
                <w:rFonts w:ascii="宋体" w:hAnsi="宋体" w:cs="宋体" w:eastAsia="宋体" w:hint="default"/>
                <w:sz w:val="21"/>
                <w:szCs w:val="21"/>
              </w:rPr>
              <w:t>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13,865,383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13,865,383</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金华市普华百川股权投资合伙企业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13,865,383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13,865,383</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7"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嘉兴英飞投资中心</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12,478,822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12,478,822</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嘉兴云启网加创业投资合伙企业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12,478,822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宋体" w:hAnsi="宋体" w:cs="宋体" w:eastAsia="宋体" w:hint="default"/>
                <w:sz w:val="21"/>
                <w:szCs w:val="21"/>
              </w:rPr>
            </w:pPr>
            <w:r>
              <w:rPr>
                <w:rFonts w:ascii="宋体"/>
                <w:spacing w:val="-1"/>
                <w:sz w:val="21"/>
              </w:rPr>
              <w:t>12,478,822</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right w:val="single" w:sz="4" w:space="0" w:color="000000"/>
            </w:tcBorders>
          </w:tcPr>
          <w:p>
            <w:pPr/>
          </w:p>
        </w:tc>
      </w:tr>
      <w:tr>
        <w:trPr>
          <w:trHeight w:val="55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千采壹号</w:t>
            </w:r>
            <w:r>
              <w:rPr>
                <w:rFonts w:ascii="宋体" w:hAnsi="宋体" w:cs="宋体" w:eastAsia="宋体" w:hint="default"/>
                <w:sz w:val="21"/>
                <w:szCs w:val="21"/>
              </w:rPr>
              <w:t>(</w:t>
            </w:r>
            <w:r>
              <w:rPr>
                <w:rFonts w:ascii="宋体" w:hAnsi="宋体" w:cs="宋体" w:eastAsia="宋体" w:hint="default"/>
                <w:sz w:val="21"/>
                <w:szCs w:val="21"/>
              </w:rPr>
              <w:t>象山</w:t>
            </w:r>
            <w:r>
              <w:rPr>
                <w:rFonts w:ascii="宋体" w:hAnsi="宋体" w:cs="宋体" w:eastAsia="宋体" w:hint="default"/>
                <w:sz w:val="21"/>
                <w:szCs w:val="21"/>
              </w:rPr>
              <w:t>)</w:t>
            </w:r>
            <w:r>
              <w:rPr>
                <w:rFonts w:ascii="宋体" w:hAnsi="宋体" w:cs="宋体" w:eastAsia="宋体" w:hint="default"/>
                <w:sz w:val="21"/>
                <w:szCs w:val="21"/>
              </w:rPr>
              <w:t>股权投资合伙企业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8,319,251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8,319,251</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重大资产重组取得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p>
        </w:tc>
        <w:tc>
          <w:tcPr>
            <w:tcW w:w="1985" w:type="dxa"/>
            <w:vMerge/>
            <w:tcBorders>
              <w:left w:val="single" w:sz="4" w:space="0" w:color="000000"/>
              <w:bottom w:val="single" w:sz="4" w:space="0" w:color="000000"/>
              <w:right w:val="single" w:sz="4" w:space="0" w:color="000000"/>
            </w:tcBorders>
          </w:tcPr>
          <w:p>
            <w:pPr/>
          </w:p>
        </w:tc>
      </w:tr>
      <w:tr>
        <w:trPr>
          <w:trHeight w:val="28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6,366,872,724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6,366,872,724</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Times New Roman" w:hAnsi="Times New Roman" w:cs="Times New Roman" w:eastAsia="Times New Roman" w:hint="default"/>
          <w:sz w:val="23"/>
          <w:szCs w:val="23"/>
        </w:rPr>
      </w:pPr>
    </w:p>
    <w:p>
      <w:pPr>
        <w:pStyle w:val="Heading2"/>
        <w:tabs>
          <w:tab w:pos="1060" w:val="left" w:leader="none"/>
        </w:tabs>
        <w:spacing w:line="240" w:lineRule="auto" w:before="26"/>
        <w:ind w:left="220" w:right="0"/>
        <w:jc w:val="left"/>
        <w:rPr>
          <w:b w:val="0"/>
          <w:bCs w:val="0"/>
        </w:rPr>
      </w:pPr>
      <w:r>
        <w:rPr/>
        <w:t>二、</w:t>
        <w:tab/>
        <w:t>证券发行与上市情况</w:t>
      </w:r>
      <w:r>
        <w:rPr>
          <w:b w:val="0"/>
          <w:bCs w:val="0"/>
        </w:rPr>
      </w:r>
    </w:p>
    <w:p>
      <w:pPr>
        <w:pStyle w:val="Heading2"/>
        <w:tabs>
          <w:tab w:pos="1060" w:val="left" w:leader="none"/>
        </w:tabs>
        <w:spacing w:line="240" w:lineRule="auto" w:before="58"/>
        <w:ind w:left="220"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截至报告期内证券发行情况</w:t>
      </w:r>
      <w:r>
        <w:rPr>
          <w:b w:val="0"/>
          <w:bCs w:val="0"/>
        </w:rPr>
      </w:r>
    </w:p>
    <w:p>
      <w:pPr>
        <w:pStyle w:val="BodyText"/>
        <w:spacing w:line="240" w:lineRule="auto" w:before="61"/>
        <w:ind w:left="220" w:right="0"/>
        <w:jc w:val="left"/>
      </w:pPr>
      <w:r>
        <w:rPr/>
        <w:t>√适用 □不适用</w:t>
      </w:r>
    </w:p>
    <w:p>
      <w:pPr>
        <w:spacing w:after="0" w:line="240" w:lineRule="auto"/>
        <w:jc w:val="left"/>
        <w:sectPr>
          <w:pgSz w:w="16840" w:h="11910" w:orient="landscape"/>
          <w:pgMar w:header="857" w:footer="1218" w:top="1320" w:bottom="1400" w:left="1220" w:right="1400"/>
        </w:sectPr>
      </w:pPr>
    </w:p>
    <w:p>
      <w:pPr>
        <w:spacing w:line="240" w:lineRule="auto" w:before="0"/>
        <w:rPr>
          <w:rFonts w:ascii="宋体" w:hAnsi="宋体" w:cs="宋体" w:eastAsia="宋体" w:hint="default"/>
          <w:sz w:val="20"/>
          <w:szCs w:val="20"/>
        </w:rPr>
      </w:pPr>
    </w:p>
    <w:p>
      <w:pPr>
        <w:pStyle w:val="BodyText"/>
        <w:tabs>
          <w:tab w:pos="1051" w:val="left" w:leader="none"/>
        </w:tabs>
        <w:spacing w:line="240" w:lineRule="auto" w:before="167"/>
        <w:ind w:left="0" w:right="119"/>
        <w:jc w:val="right"/>
      </w:pPr>
      <w:r>
        <w:rPr>
          <w:spacing w:val="-1"/>
        </w:rPr>
        <w:t>单位：股</w:t>
        <w:tab/>
        <w:t>币种：人民币</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858"/>
        <w:gridCol w:w="2249"/>
        <w:gridCol w:w="1277"/>
        <w:gridCol w:w="1700"/>
        <w:gridCol w:w="2268"/>
        <w:gridCol w:w="1985"/>
        <w:gridCol w:w="2552"/>
      </w:tblGrid>
      <w:tr>
        <w:trPr>
          <w:trHeight w:val="55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股票及其衍生</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证券的种类</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98"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（或利率）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07"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6" w:right="0"/>
              <w:jc w:val="left"/>
              <w:rPr>
                <w:rFonts w:ascii="宋体" w:hAnsi="宋体" w:cs="宋体" w:eastAsia="宋体" w:hint="default"/>
                <w:sz w:val="21"/>
                <w:szCs w:val="21"/>
              </w:rPr>
            </w:pPr>
            <w:r>
              <w:rPr>
                <w:rFonts w:ascii="宋体" w:hAnsi="宋体" w:cs="宋体" w:eastAsia="宋体" w:hint="default"/>
                <w:sz w:val="21"/>
                <w:szCs w:val="21"/>
              </w:rPr>
              <w:t>获准上市交易数量</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0" w:right="0"/>
              <w:jc w:val="left"/>
              <w:rPr>
                <w:rFonts w:ascii="宋体" w:hAnsi="宋体" w:cs="宋体" w:eastAsia="宋体" w:hint="default"/>
                <w:sz w:val="21"/>
                <w:szCs w:val="21"/>
              </w:rPr>
            </w:pPr>
            <w:r>
              <w:rPr>
                <w:rFonts w:ascii="宋体" w:hAnsi="宋体" w:cs="宋体" w:eastAsia="宋体" w:hint="default"/>
                <w:sz w:val="21"/>
                <w:szCs w:val="21"/>
              </w:rPr>
              <w:t>交易终止日期</w:t>
            </w:r>
          </w:p>
        </w:tc>
      </w:tr>
      <w:tr>
        <w:trPr>
          <w:trHeight w:val="283" w:hRule="exact"/>
        </w:trPr>
        <w:tc>
          <w:tcPr>
            <w:tcW w:w="1388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28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7.89</w:t>
            </w:r>
            <w:r>
              <w:rPr>
                <w:rFonts w:ascii="宋体" w:hAnsi="宋体" w:cs="宋体" w:eastAsia="宋体" w:hint="default"/>
                <w:spacing w:val="-50"/>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center"/>
              <w:rPr>
                <w:rFonts w:ascii="宋体" w:hAnsi="宋体" w:cs="宋体" w:eastAsia="宋体" w:hint="default"/>
                <w:sz w:val="21"/>
                <w:szCs w:val="21"/>
              </w:rPr>
            </w:pPr>
            <w:r>
              <w:rPr>
                <w:rFonts w:ascii="宋体"/>
                <w:sz w:val="21"/>
              </w:rPr>
              <w:t>6,366,872,724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sz w:val="21"/>
              </w:rPr>
              <w:t>6,366,872,724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5"/>
        <w:rPr>
          <w:rFonts w:ascii="宋体" w:hAnsi="宋体" w:cs="宋体" w:eastAsia="宋体" w:hint="default"/>
          <w:sz w:val="15"/>
          <w:szCs w:val="15"/>
        </w:rPr>
      </w:pPr>
    </w:p>
    <w:p>
      <w:pPr>
        <w:pStyle w:val="BodyText"/>
        <w:spacing w:line="275" w:lineRule="exact" w:before="36"/>
        <w:ind w:left="220" w:right="0"/>
        <w:jc w:val="left"/>
      </w:pPr>
      <w:r>
        <w:rPr/>
        <w:t>截至报告期内证券发行情况的说明（存续期内利率不同的债券，请分别说明）：</w:t>
      </w:r>
    </w:p>
    <w:p>
      <w:pPr>
        <w:pStyle w:val="BodyText"/>
        <w:tabs>
          <w:tab w:pos="1062" w:val="left" w:leader="none"/>
        </w:tabs>
        <w:spacing w:line="273" w:lineRule="exact"/>
        <w:ind w:left="220" w:right="0"/>
        <w:jc w:val="left"/>
      </w:pPr>
      <w:r>
        <w:rPr/>
        <w:t>√适用</w:t>
        <w:tab/>
        <w:t>□不适用</w:t>
      </w:r>
    </w:p>
    <w:p>
      <w:pPr>
        <w:pStyle w:val="BodyText"/>
        <w:spacing w:line="273" w:lineRule="exact"/>
        <w:ind w:left="700" w:right="0"/>
        <w:jc w:val="left"/>
      </w:pPr>
      <w:r>
        <w:rPr>
          <w:spacing w:val="-3"/>
        </w:rPr>
        <w:t>报告期内，公司通过非公开发行股份数量合计为</w:t>
      </w:r>
      <w:r>
        <w:rPr>
          <w:spacing w:val="-48"/>
        </w:rPr>
        <w:t> </w:t>
      </w:r>
      <w:r>
        <w:rPr>
          <w:rFonts w:ascii="宋体" w:hAnsi="宋体" w:cs="宋体" w:eastAsia="宋体" w:hint="default"/>
        </w:rPr>
        <w:t>6,366,872,724</w:t>
      </w:r>
      <w:r>
        <w:rPr>
          <w:rFonts w:ascii="宋体" w:hAnsi="宋体" w:cs="宋体" w:eastAsia="宋体" w:hint="default"/>
          <w:spacing w:val="-49"/>
        </w:rPr>
        <w:t> </w:t>
      </w:r>
      <w:r>
        <w:rPr>
          <w:spacing w:val="-10"/>
        </w:rPr>
        <w:t>股，于</w:t>
      </w:r>
      <w:r>
        <w:rPr>
          <w:spacing w:val="-48"/>
        </w:rPr>
        <w:t> </w:t>
      </w:r>
      <w:r>
        <w:rPr>
          <w:rFonts w:ascii="宋体" w:hAnsi="宋体" w:cs="宋体" w:eastAsia="宋体" w:hint="default"/>
        </w:rPr>
        <w:t>2018</w:t>
      </w:r>
      <w:r>
        <w:rPr>
          <w:rFonts w:ascii="宋体" w:hAnsi="宋体" w:cs="宋体" w:eastAsia="宋体" w:hint="default"/>
          <w:spacing w:val="-51"/>
        </w:rPr>
        <w:t> </w:t>
      </w:r>
      <w:r>
        <w:rPr/>
        <w:t>年</w:t>
      </w:r>
      <w:r>
        <w:rPr>
          <w:spacing w:val="-49"/>
        </w:rPr>
        <w:t> </w:t>
      </w:r>
      <w:r>
        <w:rPr>
          <w:rFonts w:ascii="宋体" w:hAnsi="宋体" w:cs="宋体" w:eastAsia="宋体" w:hint="default"/>
        </w:rPr>
        <w:t>2</w:t>
      </w:r>
      <w:r>
        <w:rPr>
          <w:rFonts w:ascii="宋体" w:hAnsi="宋体" w:cs="宋体" w:eastAsia="宋体" w:hint="default"/>
          <w:spacing w:val="-51"/>
        </w:rPr>
        <w:t> </w:t>
      </w:r>
      <w:r>
        <w:rPr/>
        <w:t>月</w:t>
      </w:r>
      <w:r>
        <w:rPr>
          <w:spacing w:val="-49"/>
        </w:rPr>
        <w:t> </w:t>
      </w:r>
      <w:r>
        <w:rPr>
          <w:rFonts w:ascii="宋体" w:hAnsi="宋体" w:cs="宋体" w:eastAsia="宋体" w:hint="default"/>
        </w:rPr>
        <w:t>26</w:t>
      </w:r>
      <w:r>
        <w:rPr>
          <w:rFonts w:ascii="宋体" w:hAnsi="宋体" w:cs="宋体" w:eastAsia="宋体" w:hint="default"/>
          <w:spacing w:val="-51"/>
        </w:rPr>
        <w:t> </w:t>
      </w:r>
      <w:r>
        <w:rPr/>
        <w:t>日在中国证券登记结算有限责任公司上海分公司办理了股份</w:t>
      </w:r>
    </w:p>
    <w:p>
      <w:pPr>
        <w:pStyle w:val="BodyText"/>
        <w:spacing w:line="240" w:lineRule="auto" w:before="133"/>
        <w:ind w:left="220" w:right="0"/>
        <w:jc w:val="left"/>
      </w:pPr>
      <w:r>
        <w:rPr/>
        <w:t>登记手续，上述股份于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2</w:t>
      </w:r>
      <w:r>
        <w:rPr>
          <w:rFonts w:ascii="宋体" w:hAnsi="宋体" w:cs="宋体" w:eastAsia="宋体" w:hint="default"/>
          <w:spacing w:val="-54"/>
        </w:rPr>
        <w:t> </w:t>
      </w:r>
      <w:r>
        <w:rPr/>
        <w:t>月</w:t>
      </w:r>
      <w:r>
        <w:rPr>
          <w:spacing w:val="-54"/>
        </w:rPr>
        <w:t> </w:t>
      </w:r>
      <w:r>
        <w:rPr>
          <w:rFonts w:ascii="宋体" w:hAnsi="宋体" w:cs="宋体" w:eastAsia="宋体" w:hint="default"/>
        </w:rPr>
        <w:t>28</w:t>
      </w:r>
      <w:r>
        <w:rPr>
          <w:rFonts w:ascii="宋体" w:hAnsi="宋体" w:cs="宋体" w:eastAsia="宋体" w:hint="default"/>
          <w:spacing w:val="-53"/>
        </w:rPr>
        <w:t> </w:t>
      </w:r>
      <w:r>
        <w:rPr/>
        <w:t>日，在上海证券交易所正式上市。</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tabs>
          <w:tab w:pos="1060" w:val="left" w:leader="none"/>
        </w:tabs>
        <w:spacing w:line="240" w:lineRule="auto"/>
        <w:ind w:left="220"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公司普通股股份总数及股东结构变动及公司资产和负债结构的变动情况</w:t>
      </w:r>
      <w:r>
        <w:rPr>
          <w:b w:val="0"/>
          <w:bCs w:val="0"/>
        </w:rPr>
      </w:r>
    </w:p>
    <w:p>
      <w:pPr>
        <w:pStyle w:val="BodyText"/>
        <w:tabs>
          <w:tab w:pos="1062" w:val="left" w:leader="none"/>
        </w:tabs>
        <w:spacing w:line="274" w:lineRule="exact" w:before="61"/>
        <w:ind w:left="220" w:right="0"/>
        <w:jc w:val="left"/>
      </w:pPr>
      <w:r>
        <w:rPr/>
        <w:t>√适用</w:t>
        <w:tab/>
        <w:t>□不适用</w:t>
      </w:r>
    </w:p>
    <w:p>
      <w:pPr>
        <w:pStyle w:val="BodyText"/>
        <w:spacing w:line="357" w:lineRule="auto"/>
        <w:ind w:left="220" w:right="119" w:firstLine="420"/>
        <w:jc w:val="both"/>
      </w:pPr>
      <w:r>
        <w:rPr/>
        <w:t>根据中国证监会于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26</w:t>
      </w:r>
      <w:r>
        <w:rPr>
          <w:rFonts w:ascii="宋体" w:hAnsi="宋体" w:cs="宋体" w:eastAsia="宋体" w:hint="default"/>
          <w:spacing w:val="-55"/>
        </w:rPr>
        <w:t> </w:t>
      </w:r>
      <w:r>
        <w:rPr/>
        <w:t>日核发的《关于核准江南嘉捷电梯股份有限公司重大资产重组及向天津奇信志成科技有限公司等发行股份购买资</w:t>
      </w:r>
      <w:r>
        <w:rPr>
          <w:w w:val="100"/>
        </w:rPr>
        <w:t> </w:t>
      </w:r>
      <w:r>
        <w:rPr>
          <w:spacing w:val="-5"/>
        </w:rPr>
        <w:t>产的批复》（证监许可〔</w:t>
      </w:r>
      <w:r>
        <w:rPr>
          <w:rFonts w:ascii="宋体" w:hAnsi="宋体" w:cs="宋体" w:eastAsia="宋体" w:hint="default"/>
          <w:spacing w:val="-5"/>
        </w:rPr>
        <w:t>2018</w:t>
      </w:r>
      <w:r>
        <w:rPr>
          <w:spacing w:val="-5"/>
        </w:rPr>
        <w:t>〕</w:t>
      </w:r>
      <w:r>
        <w:rPr>
          <w:rFonts w:ascii="宋体" w:hAnsi="宋体" w:cs="宋体" w:eastAsia="宋体" w:hint="default"/>
          <w:spacing w:val="-5"/>
        </w:rPr>
        <w:t>214</w:t>
      </w:r>
      <w:r>
        <w:rPr>
          <w:rFonts w:ascii="宋体" w:hAnsi="宋体" w:cs="宋体" w:eastAsia="宋体" w:hint="default"/>
          <w:spacing w:val="-45"/>
        </w:rPr>
        <w:t> </w:t>
      </w:r>
      <w:r>
        <w:rPr>
          <w:spacing w:val="-5"/>
        </w:rPr>
        <w:t>号），本公司向奇信志成等</w:t>
      </w:r>
      <w:r>
        <w:rPr>
          <w:spacing w:val="-43"/>
        </w:rPr>
        <w:t> </w:t>
      </w:r>
      <w:r>
        <w:rPr>
          <w:rFonts w:ascii="宋体" w:hAnsi="宋体" w:cs="宋体" w:eastAsia="宋体" w:hint="default"/>
        </w:rPr>
        <w:t>42</w:t>
      </w:r>
      <w:r>
        <w:rPr>
          <w:rFonts w:ascii="宋体" w:hAnsi="宋体" w:cs="宋体" w:eastAsia="宋体" w:hint="default"/>
          <w:spacing w:val="-45"/>
        </w:rPr>
        <w:t> </w:t>
      </w:r>
      <w:r>
        <w:rPr/>
        <w:t>名原三六零科技股东发行股份购买三六零科技</w:t>
      </w:r>
      <w:r>
        <w:rPr>
          <w:spacing w:val="-42"/>
        </w:rPr>
        <w:t> </w:t>
      </w:r>
      <w:r>
        <w:rPr>
          <w:rFonts w:ascii="宋体" w:hAnsi="宋体" w:cs="宋体" w:eastAsia="宋体" w:hint="default"/>
        </w:rPr>
        <w:t>100%</w:t>
      </w:r>
      <w:r>
        <w:rPr/>
        <w:t>股权与上市公司全部资产及负债置</w:t>
      </w:r>
      <w:r>
        <w:rPr>
          <w:spacing w:val="-100"/>
        </w:rPr>
        <w:t> </w:t>
      </w:r>
      <w:r>
        <w:rPr>
          <w:spacing w:val="-100"/>
        </w:rPr>
      </w:r>
      <w:r>
        <w:rPr/>
        <w:t>换后的差额部分，本次非公开发行股份数量合计为</w:t>
      </w:r>
      <w:r>
        <w:rPr>
          <w:spacing w:val="-56"/>
        </w:rPr>
        <w:t> </w:t>
      </w:r>
      <w:r>
        <w:rPr>
          <w:rFonts w:ascii="宋体" w:hAnsi="宋体" w:cs="宋体" w:eastAsia="宋体" w:hint="default"/>
        </w:rPr>
        <w:t>6,366,872,724</w:t>
      </w:r>
      <w:r>
        <w:rPr>
          <w:rFonts w:ascii="宋体" w:hAnsi="宋体" w:cs="宋体" w:eastAsia="宋体" w:hint="default"/>
          <w:spacing w:val="-56"/>
        </w:rPr>
        <w:t> </w:t>
      </w:r>
      <w:r>
        <w:rPr/>
        <w:t>股，上述新增股份已于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w:t>
      </w:r>
      <w:r>
        <w:rPr>
          <w:spacing w:val="-54"/>
        </w:rPr>
        <w:t> </w:t>
      </w:r>
      <w:r>
        <w:rPr>
          <w:rFonts w:ascii="宋体" w:hAnsi="宋体" w:cs="宋体" w:eastAsia="宋体" w:hint="default"/>
        </w:rPr>
        <w:t>26</w:t>
      </w:r>
      <w:r>
        <w:rPr>
          <w:rFonts w:ascii="宋体" w:hAnsi="宋体" w:cs="宋体" w:eastAsia="宋体" w:hint="default"/>
          <w:spacing w:val="-56"/>
        </w:rPr>
        <w:t> </w:t>
      </w:r>
      <w:r>
        <w:rPr/>
        <w:t>日在中国证券登记结算有限责任公司上海分公</w:t>
      </w:r>
    </w:p>
    <w:p>
      <w:pPr>
        <w:pStyle w:val="BodyText"/>
        <w:spacing w:line="240" w:lineRule="auto" w:before="30"/>
        <w:ind w:left="220" w:right="0"/>
        <w:jc w:val="left"/>
      </w:pPr>
      <w:r>
        <w:rPr/>
        <w:t>司办理股份登记手续，登记完毕后，公司股份总数为</w:t>
      </w:r>
      <w:r>
        <w:rPr>
          <w:spacing w:val="-54"/>
        </w:rPr>
        <w:t> </w:t>
      </w:r>
      <w:r>
        <w:rPr>
          <w:rFonts w:ascii="宋体" w:hAnsi="宋体" w:cs="宋体" w:eastAsia="宋体" w:hint="default"/>
        </w:rPr>
        <w:t>6,764,055,167</w:t>
      </w:r>
      <w:r>
        <w:rPr>
          <w:rFonts w:ascii="宋体" w:hAnsi="宋体" w:cs="宋体" w:eastAsia="宋体" w:hint="default"/>
          <w:spacing w:val="-55"/>
        </w:rPr>
        <w:t> </w:t>
      </w:r>
      <w:r>
        <w:rPr>
          <w:spacing w:val="-3"/>
        </w:rPr>
        <w:t>股。</w:t>
      </w:r>
      <w:r>
        <w:rPr/>
      </w:r>
    </w:p>
    <w:p>
      <w:pPr>
        <w:spacing w:line="240" w:lineRule="auto" w:before="6"/>
        <w:rPr>
          <w:rFonts w:ascii="宋体" w:hAnsi="宋体" w:cs="宋体" w:eastAsia="宋体" w:hint="default"/>
          <w:sz w:val="14"/>
          <w:szCs w:val="14"/>
        </w:rPr>
      </w:pPr>
    </w:p>
    <w:p>
      <w:pPr>
        <w:pStyle w:val="Heading2"/>
        <w:tabs>
          <w:tab w:pos="1060" w:val="left" w:leader="none"/>
        </w:tabs>
        <w:spacing w:line="240" w:lineRule="auto"/>
        <w:ind w:left="220"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现存的内部职工股情况</w:t>
      </w:r>
      <w:r>
        <w:rPr>
          <w:b w:val="0"/>
          <w:bCs w:val="0"/>
        </w:rPr>
      </w:r>
    </w:p>
    <w:p>
      <w:pPr>
        <w:pStyle w:val="BodyText"/>
        <w:spacing w:line="240" w:lineRule="auto" w:before="61"/>
        <w:ind w:left="220" w:right="0"/>
        <w:jc w:val="left"/>
      </w:pPr>
      <w:r>
        <w:rPr/>
        <w:t>□适用 √不适用</w:t>
      </w:r>
    </w:p>
    <w:p>
      <w:pPr>
        <w:pStyle w:val="Heading2"/>
        <w:tabs>
          <w:tab w:pos="1060" w:val="left" w:leader="none"/>
        </w:tabs>
        <w:spacing w:line="240" w:lineRule="auto" w:before="52"/>
        <w:ind w:left="220" w:right="0"/>
        <w:jc w:val="left"/>
        <w:rPr>
          <w:b w:val="0"/>
          <w:bCs w:val="0"/>
        </w:rPr>
      </w:pPr>
      <w:r>
        <w:rPr/>
        <w:t>三、</w:t>
        <w:tab/>
        <w:t>股东和实际控制人情况</w:t>
      </w:r>
      <w:r>
        <w:rPr>
          <w:b w:val="0"/>
          <w:bCs w:val="0"/>
        </w:rPr>
      </w:r>
    </w:p>
    <w:p>
      <w:pPr>
        <w:pStyle w:val="Heading2"/>
        <w:spacing w:line="240" w:lineRule="auto" w:before="56"/>
        <w:ind w:left="220"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9"/>
        </w:rPr>
        <w:t> </w:t>
      </w:r>
      <w:r>
        <w:rPr/>
        <w:t>股东总数</w:t>
      </w:r>
      <w:r>
        <w:rPr>
          <w:b w:val="0"/>
          <w:bCs w:val="0"/>
        </w:rPr>
      </w:r>
    </w:p>
    <w:p>
      <w:pPr>
        <w:spacing w:line="240" w:lineRule="auto" w:before="2"/>
        <w:rPr>
          <w:rFonts w:ascii="宋体" w:hAnsi="宋体" w:cs="宋体" w:eastAsia="宋体" w:hint="default"/>
          <w:b/>
          <w:bCs/>
          <w:sz w:val="5"/>
          <w:szCs w:val="5"/>
        </w:rPr>
      </w:pPr>
    </w:p>
    <w:tbl>
      <w:tblPr>
        <w:tblW w:w="0" w:type="auto"/>
        <w:jc w:val="left"/>
        <w:tblInd w:w="107" w:type="dxa"/>
        <w:tblLayout w:type="fixed"/>
        <w:tblCellMar>
          <w:top w:w="0" w:type="dxa"/>
          <w:left w:w="0" w:type="dxa"/>
          <w:bottom w:w="0" w:type="dxa"/>
          <w:right w:w="0" w:type="dxa"/>
        </w:tblCellMar>
        <w:tblLook w:val="01E0"/>
      </w:tblPr>
      <w:tblGrid>
        <w:gridCol w:w="5922"/>
        <w:gridCol w:w="7967"/>
      </w:tblGrid>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7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62,217</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7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57,835</w:t>
            </w:r>
          </w:p>
        </w:tc>
      </w:tr>
    </w:tbl>
    <w:p>
      <w:pPr>
        <w:spacing w:after="0" w:line="241" w:lineRule="exact"/>
        <w:jc w:val="right"/>
        <w:rPr>
          <w:rFonts w:ascii="宋体" w:hAnsi="宋体" w:cs="宋体" w:eastAsia="宋体" w:hint="default"/>
          <w:sz w:val="21"/>
          <w:szCs w:val="21"/>
        </w:rPr>
        <w:sectPr>
          <w:pgSz w:w="16840" w:h="11910" w:orient="landscape"/>
          <w:pgMar w:header="857" w:footer="1218" w:top="1320" w:bottom="1400" w:left="1220" w:right="1400"/>
        </w:sect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6840" w:h="11910" w:orient="landscape"/>
          <w:pgMar w:header="857" w:footer="1218" w:top="1320" w:bottom="1400" w:left="1220" w:right="1360"/>
        </w:sectPr>
      </w:pPr>
    </w:p>
    <w:p>
      <w:pPr>
        <w:pStyle w:val="Heading2"/>
        <w:spacing w:line="240" w:lineRule="auto" w:before="161"/>
        <w:ind w:left="220" w:right="-1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1"/>
          <w:szCs w:val="21"/>
        </w:rPr>
      </w:pPr>
    </w:p>
    <w:p>
      <w:pPr>
        <w:pStyle w:val="BodyText"/>
        <w:spacing w:line="240" w:lineRule="auto"/>
        <w:ind w:left="220" w:right="0"/>
        <w:jc w:val="left"/>
      </w:pPr>
      <w:r>
        <w:rPr/>
        <w:t>单位</w:t>
      </w:r>
      <w:r>
        <w:rPr>
          <w:rFonts w:ascii="宋体" w:hAnsi="宋体" w:cs="宋体" w:eastAsia="宋体" w:hint="default"/>
        </w:rPr>
        <w:t>:</w:t>
      </w:r>
      <w:r>
        <w:rPr/>
        <w:t>股</w:t>
      </w:r>
    </w:p>
    <w:p>
      <w:pPr>
        <w:spacing w:after="0" w:line="240" w:lineRule="auto"/>
        <w:jc w:val="left"/>
        <w:sectPr>
          <w:type w:val="continuous"/>
          <w:pgSz w:w="16840" w:h="11910" w:orient="landscape"/>
          <w:pgMar w:top="1320" w:bottom="1400" w:left="1220" w:right="1360"/>
          <w:cols w:num="2" w:equalWidth="0">
            <w:col w:w="8838" w:space="4301"/>
            <w:col w:w="1121"/>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810"/>
        <w:gridCol w:w="1855"/>
        <w:gridCol w:w="1689"/>
        <w:gridCol w:w="865"/>
        <w:gridCol w:w="1702"/>
        <w:gridCol w:w="694"/>
        <w:gridCol w:w="1716"/>
        <w:gridCol w:w="1700"/>
      </w:tblGrid>
      <w:tr>
        <w:trPr>
          <w:trHeight w:val="322" w:hRule="exact"/>
        </w:trPr>
        <w:tc>
          <w:tcPr>
            <w:tcW w:w="14030" w:type="dxa"/>
            <w:gridSpan w:val="8"/>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前十名股东持股情况</w:t>
            </w:r>
          </w:p>
        </w:tc>
      </w:tr>
      <w:tr>
        <w:trPr>
          <w:trHeight w:val="281" w:hRule="exact"/>
        </w:trPr>
        <w:tc>
          <w:tcPr>
            <w:tcW w:w="3810" w:type="dxa"/>
            <w:vMerge w:val="restart"/>
            <w:tcBorders>
              <w:top w:val="single" w:sz="4" w:space="0" w:color="000000"/>
              <w:left w:val="single" w:sz="4" w:space="0" w:color="000000"/>
              <w:right w:val="single" w:sz="4" w:space="0" w:color="000000"/>
            </w:tcBorders>
          </w:tcPr>
          <w:p>
            <w:pPr>
              <w:pStyle w:val="TableParagraph"/>
              <w:spacing w:line="273" w:lineRule="exact" w:before="107"/>
              <w:ind w:left="14" w:right="0"/>
              <w:jc w:val="center"/>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3" w:lineRule="exact"/>
              <w:ind w:left="14"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185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99" w:right="0"/>
              <w:jc w:val="left"/>
              <w:rPr>
                <w:rFonts w:ascii="宋体" w:hAnsi="宋体" w:cs="宋体" w:eastAsia="宋体" w:hint="default"/>
                <w:sz w:val="21"/>
                <w:szCs w:val="21"/>
              </w:rPr>
            </w:pPr>
            <w:r>
              <w:rPr>
                <w:rFonts w:ascii="宋体" w:hAnsi="宋体" w:cs="宋体" w:eastAsia="宋体" w:hint="default"/>
                <w:sz w:val="21"/>
                <w:szCs w:val="21"/>
              </w:rPr>
              <w:t>报告期内增减</w:t>
            </w:r>
          </w:p>
        </w:tc>
        <w:tc>
          <w:tcPr>
            <w:tcW w:w="168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865" w:type="dxa"/>
            <w:vMerge w:val="restart"/>
            <w:tcBorders>
              <w:top w:val="single" w:sz="4" w:space="0" w:color="000000"/>
              <w:left w:val="single" w:sz="4" w:space="0" w:color="000000"/>
              <w:right w:val="single" w:sz="4" w:space="0" w:color="000000"/>
            </w:tcBorders>
          </w:tcPr>
          <w:p>
            <w:pPr>
              <w:pStyle w:val="TableParagraph"/>
              <w:spacing w:line="272" w:lineRule="exact" w:before="135"/>
              <w:ind w:left="277" w:right="206"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702" w:type="dxa"/>
            <w:vMerge w:val="restart"/>
            <w:tcBorders>
              <w:top w:val="single" w:sz="4" w:space="0" w:color="000000"/>
              <w:left w:val="single" w:sz="4" w:space="0" w:color="000000"/>
              <w:right w:val="single" w:sz="4" w:space="0" w:color="000000"/>
            </w:tcBorders>
          </w:tcPr>
          <w:p>
            <w:pPr>
              <w:pStyle w:val="TableParagraph"/>
              <w:spacing w:line="310" w:lineRule="exact" w:before="95"/>
              <w:ind w:left="244" w:right="125" w:hanging="120"/>
              <w:jc w:val="left"/>
              <w:rPr>
                <w:rFonts w:ascii="宋体" w:hAnsi="宋体" w:cs="宋体" w:eastAsia="宋体" w:hint="default"/>
                <w:sz w:val="24"/>
                <w:szCs w:val="24"/>
              </w:rPr>
            </w:pPr>
            <w:r>
              <w:rPr>
                <w:rFonts w:ascii="宋体" w:hAnsi="宋体" w:cs="宋体" w:eastAsia="宋体" w:hint="default"/>
                <w:sz w:val="24"/>
                <w:szCs w:val="24"/>
              </w:rPr>
              <w:t>持有有限售条 件股份数量</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1"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1700" w:type="dxa"/>
            <w:vMerge w:val="restart"/>
            <w:tcBorders>
              <w:top w:val="single" w:sz="4" w:space="0" w:color="000000"/>
              <w:left w:val="single" w:sz="4" w:space="0" w:color="000000"/>
              <w:right w:val="single" w:sz="4" w:space="0" w:color="000000"/>
            </w:tcBorders>
          </w:tcPr>
          <w:p>
            <w:pPr>
              <w:pStyle w:val="TableParagraph"/>
              <w:spacing w:line="272" w:lineRule="exact" w:before="135"/>
              <w:ind w:left="636" w:right="629"/>
              <w:jc w:val="center"/>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p>
        </w:tc>
      </w:tr>
      <w:tr>
        <w:trPr>
          <w:trHeight w:val="557" w:hRule="exact"/>
        </w:trPr>
        <w:tc>
          <w:tcPr>
            <w:tcW w:w="3810" w:type="dxa"/>
            <w:vMerge/>
            <w:tcBorders>
              <w:left w:val="single" w:sz="4" w:space="0" w:color="000000"/>
              <w:bottom w:val="single" w:sz="4" w:space="0" w:color="000000"/>
              <w:right w:val="single" w:sz="4" w:space="0" w:color="000000"/>
            </w:tcBorders>
          </w:tcPr>
          <w:p>
            <w:pPr/>
          </w:p>
        </w:tc>
        <w:tc>
          <w:tcPr>
            <w:tcW w:w="1855" w:type="dxa"/>
            <w:vMerge/>
            <w:tcBorders>
              <w:left w:val="single" w:sz="4" w:space="0" w:color="000000"/>
              <w:bottom w:val="single" w:sz="4" w:space="0" w:color="000000"/>
              <w:right w:val="single" w:sz="4" w:space="0" w:color="000000"/>
            </w:tcBorders>
          </w:tcPr>
          <w:p>
            <w:pPr/>
          </w:p>
        </w:tc>
        <w:tc>
          <w:tcPr>
            <w:tcW w:w="1689" w:type="dxa"/>
            <w:vMerge/>
            <w:tcBorders>
              <w:left w:val="single" w:sz="4" w:space="0" w:color="000000"/>
              <w:bottom w:val="single" w:sz="4" w:space="0" w:color="000000"/>
              <w:right w:val="single" w:sz="4" w:space="0" w:color="000000"/>
            </w:tcBorders>
          </w:tcPr>
          <w:p>
            <w:pPr/>
          </w:p>
        </w:tc>
        <w:tc>
          <w:tcPr>
            <w:tcW w:w="865"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36"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700" w:type="dxa"/>
            <w:vMerge/>
            <w:tcBorders>
              <w:left w:val="single" w:sz="4" w:space="0" w:color="000000"/>
              <w:bottom w:val="single" w:sz="4" w:space="0" w:color="000000"/>
              <w:right w:val="single" w:sz="4" w:space="0" w:color="000000"/>
            </w:tcBorders>
          </w:tcPr>
          <w:p>
            <w:pPr/>
          </w:p>
        </w:tc>
      </w:tr>
      <w:tr>
        <w:trPr>
          <w:trHeight w:val="281" w:hRule="exact"/>
        </w:trPr>
        <w:tc>
          <w:tcPr>
            <w:tcW w:w="3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天津奇信志成科技有限公司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3,296,744,163</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5"/>
              <w:jc w:val="right"/>
              <w:rPr>
                <w:rFonts w:ascii="宋体" w:hAnsi="宋体" w:cs="宋体" w:eastAsia="宋体" w:hint="default"/>
                <w:sz w:val="21"/>
                <w:szCs w:val="21"/>
              </w:rPr>
            </w:pPr>
            <w:r>
              <w:rPr>
                <w:rFonts w:ascii="宋体"/>
                <w:spacing w:val="-1"/>
                <w:sz w:val="21"/>
              </w:rPr>
              <w:t>3,296,744,163</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3,296,744,163</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
              <w:jc w:val="center"/>
              <w:rPr>
                <w:rFonts w:ascii="宋体" w:hAnsi="宋体" w:cs="宋体" w:eastAsia="宋体" w:hint="default"/>
                <w:sz w:val="21"/>
                <w:szCs w:val="21"/>
              </w:rPr>
            </w:pPr>
            <w:r>
              <w:rPr>
                <w:rFonts w:ascii="宋体" w:hAnsi="宋体" w:cs="宋体" w:eastAsia="宋体" w:hint="default"/>
                <w:sz w:val="21"/>
                <w:szCs w:val="21"/>
              </w:rPr>
              <w:t>质押</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3,296,744,163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r>
      <w:tr>
        <w:trPr>
          <w:trHeight w:val="283" w:hRule="exact"/>
        </w:trPr>
        <w:tc>
          <w:tcPr>
            <w:tcW w:w="3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周鸿祎</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821,281,583</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5"/>
              <w:jc w:val="right"/>
              <w:rPr>
                <w:rFonts w:ascii="宋体" w:hAnsi="宋体" w:cs="宋体" w:eastAsia="宋体" w:hint="default"/>
                <w:sz w:val="21"/>
                <w:szCs w:val="21"/>
              </w:rPr>
            </w:pPr>
            <w:r>
              <w:rPr>
                <w:rFonts w:ascii="宋体"/>
                <w:spacing w:val="-1"/>
                <w:sz w:val="21"/>
              </w:rPr>
              <w:t>821,281,583</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821,281,583</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821,281,583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554" w:hRule="exact"/>
        </w:trPr>
        <w:tc>
          <w:tcPr>
            <w:tcW w:w="3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天津欣新盛股权投资合伙企业（有限合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277,307,438</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5"/>
              <w:jc w:val="right"/>
              <w:rPr>
                <w:rFonts w:ascii="宋体" w:hAnsi="宋体" w:cs="宋体" w:eastAsia="宋体" w:hint="default"/>
                <w:sz w:val="21"/>
                <w:szCs w:val="21"/>
              </w:rPr>
            </w:pPr>
            <w:r>
              <w:rPr>
                <w:rFonts w:ascii="宋体"/>
                <w:spacing w:val="-1"/>
                <w:sz w:val="21"/>
              </w:rPr>
              <w:t>277,307,438</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277,307,438</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277,307,438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9"/>
              <w:jc w:val="left"/>
              <w:rPr>
                <w:rFonts w:ascii="宋体" w:hAnsi="宋体" w:cs="宋体" w:eastAsia="宋体" w:hint="default"/>
                <w:sz w:val="21"/>
                <w:szCs w:val="21"/>
              </w:rPr>
            </w:pPr>
            <w:r>
              <w:rPr>
                <w:rFonts w:ascii="宋体" w:hAnsi="宋体" w:cs="宋体" w:eastAsia="宋体" w:hint="default"/>
                <w:spacing w:val="-6"/>
                <w:sz w:val="21"/>
                <w:szCs w:val="21"/>
              </w:rPr>
              <w:t>天津众信股权投资合伙企业（有限合伙）</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190,878,127</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5"/>
              <w:jc w:val="right"/>
              <w:rPr>
                <w:rFonts w:ascii="宋体" w:hAnsi="宋体" w:cs="宋体" w:eastAsia="宋体" w:hint="default"/>
                <w:sz w:val="21"/>
                <w:szCs w:val="21"/>
              </w:rPr>
            </w:pPr>
            <w:r>
              <w:rPr>
                <w:rFonts w:ascii="宋体"/>
                <w:spacing w:val="-1"/>
                <w:sz w:val="21"/>
              </w:rPr>
              <w:t>190,878,127</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190,878,127</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190,878,127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9"/>
              <w:jc w:val="left"/>
              <w:rPr>
                <w:rFonts w:ascii="宋体" w:hAnsi="宋体" w:cs="宋体" w:eastAsia="宋体" w:hint="default"/>
                <w:sz w:val="21"/>
                <w:szCs w:val="21"/>
              </w:rPr>
            </w:pPr>
            <w:r>
              <w:rPr>
                <w:rFonts w:ascii="宋体" w:hAnsi="宋体" w:cs="宋体" w:eastAsia="宋体" w:hint="default"/>
                <w:spacing w:val="-6"/>
                <w:sz w:val="21"/>
                <w:szCs w:val="21"/>
              </w:rPr>
              <w:t>北京红杉懿远股权投资中心（有限合伙）</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185,795,997</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5"/>
              <w:jc w:val="right"/>
              <w:rPr>
                <w:rFonts w:ascii="宋体" w:hAnsi="宋体" w:cs="宋体" w:eastAsia="宋体" w:hint="default"/>
                <w:sz w:val="21"/>
                <w:szCs w:val="21"/>
              </w:rPr>
            </w:pPr>
            <w:r>
              <w:rPr>
                <w:rFonts w:ascii="宋体"/>
                <w:spacing w:val="-1"/>
                <w:sz w:val="21"/>
              </w:rPr>
              <w:t>185,795,997</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185,795,997</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185,795,997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3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天津信心奇缘股权投资合伙企业（有限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144,646,170</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5"/>
              <w:jc w:val="right"/>
              <w:rPr>
                <w:rFonts w:ascii="宋体" w:hAnsi="宋体" w:cs="宋体" w:eastAsia="宋体" w:hint="default"/>
                <w:sz w:val="21"/>
                <w:szCs w:val="21"/>
              </w:rPr>
            </w:pPr>
            <w:r>
              <w:rPr>
                <w:rFonts w:ascii="宋体"/>
                <w:spacing w:val="-1"/>
                <w:sz w:val="21"/>
              </w:rPr>
              <w:t>144,646,170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144,646,170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144,646,170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齐向东</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121,207,120</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5"/>
              <w:jc w:val="right"/>
              <w:rPr>
                <w:rFonts w:ascii="宋体" w:hAnsi="宋体" w:cs="宋体" w:eastAsia="宋体" w:hint="default"/>
                <w:sz w:val="21"/>
                <w:szCs w:val="21"/>
              </w:rPr>
            </w:pPr>
            <w:r>
              <w:rPr>
                <w:rFonts w:ascii="宋体"/>
                <w:spacing w:val="-1"/>
                <w:sz w:val="21"/>
              </w:rPr>
              <w:t>121,207,120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121,207,120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121,207,120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555" w:hRule="exact"/>
        </w:trPr>
        <w:tc>
          <w:tcPr>
            <w:tcW w:w="3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浙江海宁国安睿威投资合伙企业（有限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110,922,953</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5"/>
              <w:jc w:val="right"/>
              <w:rPr>
                <w:rFonts w:ascii="宋体" w:hAnsi="宋体" w:cs="宋体" w:eastAsia="宋体" w:hint="default"/>
                <w:sz w:val="21"/>
                <w:szCs w:val="21"/>
              </w:rPr>
            </w:pPr>
            <w:r>
              <w:rPr>
                <w:rFonts w:ascii="宋体"/>
                <w:spacing w:val="-1"/>
                <w:sz w:val="21"/>
              </w:rPr>
              <w:t>110,922,953</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1.64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110,922,953</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110,922,953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9"/>
              <w:jc w:val="left"/>
              <w:rPr>
                <w:rFonts w:ascii="宋体" w:hAnsi="宋体" w:cs="宋体" w:eastAsia="宋体" w:hint="default"/>
                <w:sz w:val="21"/>
                <w:szCs w:val="21"/>
              </w:rPr>
            </w:pPr>
            <w:r>
              <w:rPr>
                <w:rFonts w:ascii="宋体" w:hAnsi="宋体" w:cs="宋体" w:eastAsia="宋体" w:hint="default"/>
                <w:spacing w:val="-6"/>
                <w:sz w:val="21"/>
                <w:szCs w:val="21"/>
              </w:rPr>
              <w:t>天津聚信股权投资合伙企业（有限合伙）</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105,908,028</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5"/>
              <w:jc w:val="right"/>
              <w:rPr>
                <w:rFonts w:ascii="宋体" w:hAnsi="宋体" w:cs="宋体" w:eastAsia="宋体" w:hint="default"/>
                <w:sz w:val="21"/>
                <w:szCs w:val="21"/>
              </w:rPr>
            </w:pPr>
            <w:r>
              <w:rPr>
                <w:rFonts w:ascii="宋体"/>
                <w:spacing w:val="-1"/>
                <w:sz w:val="21"/>
              </w:rPr>
              <w:t>105,908,028</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105,908,028</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105,908,028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深圳市平安置业投资有限公司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88,738,428</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5"/>
              <w:jc w:val="right"/>
              <w:rPr>
                <w:rFonts w:ascii="宋体" w:hAnsi="宋体" w:cs="宋体" w:eastAsia="宋体" w:hint="default"/>
                <w:sz w:val="21"/>
                <w:szCs w:val="21"/>
              </w:rPr>
            </w:pPr>
            <w:r>
              <w:rPr>
                <w:rFonts w:ascii="宋体"/>
                <w:spacing w:val="-1"/>
                <w:sz w:val="21"/>
              </w:rPr>
              <w:t>88,738,428</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88,738,428</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88,738,428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r>
      <w:tr>
        <w:trPr>
          <w:trHeight w:val="283" w:hRule="exact"/>
        </w:trPr>
        <w:tc>
          <w:tcPr>
            <w:tcW w:w="1403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3810" w:type="dxa"/>
            <w:vMerge w:val="restart"/>
            <w:tcBorders>
              <w:top w:val="single" w:sz="4" w:space="0" w:color="000000"/>
              <w:left w:val="single" w:sz="4" w:space="0" w:color="000000"/>
              <w:right w:val="single" w:sz="4" w:space="0" w:color="000000"/>
            </w:tcBorders>
          </w:tcPr>
          <w:p>
            <w:pPr>
              <w:pStyle w:val="TableParagraph"/>
              <w:spacing w:line="240" w:lineRule="auto" w:before="107"/>
              <w:ind w:right="12"/>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544" w:type="dxa"/>
            <w:gridSpan w:val="2"/>
            <w:vMerge w:val="restart"/>
            <w:tcBorders>
              <w:top w:val="single" w:sz="4" w:space="0" w:color="000000"/>
              <w:left w:val="single" w:sz="4" w:space="0" w:color="000000"/>
              <w:right w:val="single" w:sz="4" w:space="0" w:color="000000"/>
            </w:tcBorders>
          </w:tcPr>
          <w:p>
            <w:pPr>
              <w:pStyle w:val="TableParagraph"/>
              <w:spacing w:line="240" w:lineRule="auto" w:before="107"/>
              <w:ind w:left="386"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66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
              <w:jc w:val="center"/>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1" w:hRule="exact"/>
        </w:trPr>
        <w:tc>
          <w:tcPr>
            <w:tcW w:w="3810" w:type="dxa"/>
            <w:vMerge/>
            <w:tcBorders>
              <w:left w:val="single" w:sz="4" w:space="0" w:color="000000"/>
              <w:bottom w:val="single" w:sz="4" w:space="0" w:color="000000"/>
              <w:right w:val="single" w:sz="4" w:space="0" w:color="000000"/>
            </w:tcBorders>
          </w:tcPr>
          <w:p>
            <w:pPr/>
          </w:p>
        </w:tc>
        <w:tc>
          <w:tcPr>
            <w:tcW w:w="3544" w:type="dxa"/>
            <w:gridSpan w:val="2"/>
            <w:vMerge/>
            <w:tcBorders>
              <w:left w:val="single" w:sz="4" w:space="0" w:color="000000"/>
              <w:bottom w:val="single" w:sz="4" w:space="0" w:color="000000"/>
              <w:right w:val="single" w:sz="4" w:space="0" w:color="000000"/>
            </w:tcBorders>
          </w:tcPr>
          <w:p>
            <w:pPr/>
          </w:p>
        </w:tc>
        <w:tc>
          <w:tcPr>
            <w:tcW w:w="32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种类</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3" w:hRule="exact"/>
        </w:trPr>
        <w:tc>
          <w:tcPr>
            <w:tcW w:w="3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金志峰</w:t>
            </w:r>
          </w:p>
        </w:tc>
        <w:tc>
          <w:tcPr>
            <w:tcW w:w="3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
              <w:jc w:val="right"/>
              <w:rPr>
                <w:rFonts w:ascii="宋体" w:hAnsi="宋体" w:cs="宋体" w:eastAsia="宋体" w:hint="default"/>
                <w:sz w:val="21"/>
                <w:szCs w:val="21"/>
              </w:rPr>
            </w:pPr>
            <w:r>
              <w:rPr>
                <w:rFonts w:ascii="宋体"/>
                <w:spacing w:val="-1"/>
                <w:sz w:val="21"/>
              </w:rPr>
              <w:t>82,410,872</w:t>
            </w:r>
          </w:p>
        </w:tc>
        <w:tc>
          <w:tcPr>
            <w:tcW w:w="32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3" w:right="0"/>
              <w:jc w:val="left"/>
              <w:rPr>
                <w:rFonts w:ascii="宋体" w:hAnsi="宋体" w:cs="宋体" w:eastAsia="宋体" w:hint="default"/>
                <w:sz w:val="21"/>
                <w:szCs w:val="21"/>
              </w:rPr>
            </w:pPr>
            <w:r>
              <w:rPr>
                <w:rFonts w:ascii="宋体"/>
                <w:sz w:val="21"/>
              </w:rPr>
              <w:t>82,410,872</w:t>
            </w:r>
          </w:p>
        </w:tc>
      </w:tr>
      <w:tr>
        <w:trPr>
          <w:trHeight w:val="283" w:hRule="exact"/>
        </w:trPr>
        <w:tc>
          <w:tcPr>
            <w:tcW w:w="3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金祖铭</w:t>
            </w:r>
          </w:p>
        </w:tc>
        <w:tc>
          <w:tcPr>
            <w:tcW w:w="3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
              <w:jc w:val="right"/>
              <w:rPr>
                <w:rFonts w:ascii="宋体" w:hAnsi="宋体" w:cs="宋体" w:eastAsia="宋体" w:hint="default"/>
                <w:sz w:val="21"/>
                <w:szCs w:val="21"/>
              </w:rPr>
            </w:pPr>
            <w:r>
              <w:rPr>
                <w:rFonts w:ascii="宋体"/>
                <w:spacing w:val="-1"/>
                <w:sz w:val="21"/>
              </w:rPr>
              <w:t>35,032,800</w:t>
            </w:r>
          </w:p>
        </w:tc>
        <w:tc>
          <w:tcPr>
            <w:tcW w:w="32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3" w:right="0"/>
              <w:jc w:val="left"/>
              <w:rPr>
                <w:rFonts w:ascii="宋体" w:hAnsi="宋体" w:cs="宋体" w:eastAsia="宋体" w:hint="default"/>
                <w:sz w:val="21"/>
                <w:szCs w:val="21"/>
              </w:rPr>
            </w:pPr>
            <w:r>
              <w:rPr>
                <w:rFonts w:ascii="宋体"/>
                <w:sz w:val="21"/>
              </w:rPr>
              <w:t>35,032,800</w:t>
            </w:r>
          </w:p>
        </w:tc>
      </w:tr>
      <w:tr>
        <w:trPr>
          <w:trHeight w:val="281" w:hRule="exact"/>
        </w:trPr>
        <w:tc>
          <w:tcPr>
            <w:tcW w:w="3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吴炯</w:t>
            </w:r>
          </w:p>
        </w:tc>
        <w:tc>
          <w:tcPr>
            <w:tcW w:w="3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18,832,880</w:t>
            </w:r>
          </w:p>
        </w:tc>
        <w:tc>
          <w:tcPr>
            <w:tcW w:w="32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3" w:right="0"/>
              <w:jc w:val="left"/>
              <w:rPr>
                <w:rFonts w:ascii="宋体" w:hAnsi="宋体" w:cs="宋体" w:eastAsia="宋体" w:hint="default"/>
                <w:sz w:val="21"/>
                <w:szCs w:val="21"/>
              </w:rPr>
            </w:pPr>
            <w:r>
              <w:rPr>
                <w:rFonts w:ascii="宋体"/>
                <w:sz w:val="21"/>
              </w:rPr>
              <w:t>18,832,880</w:t>
            </w:r>
          </w:p>
        </w:tc>
      </w:tr>
      <w:tr>
        <w:trPr>
          <w:trHeight w:val="283" w:hRule="exact"/>
        </w:trPr>
        <w:tc>
          <w:tcPr>
            <w:tcW w:w="3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钱金水</w:t>
            </w:r>
          </w:p>
        </w:tc>
        <w:tc>
          <w:tcPr>
            <w:tcW w:w="3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13,530,928</w:t>
            </w:r>
          </w:p>
        </w:tc>
        <w:tc>
          <w:tcPr>
            <w:tcW w:w="32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3" w:right="0"/>
              <w:jc w:val="left"/>
              <w:rPr>
                <w:rFonts w:ascii="宋体" w:hAnsi="宋体" w:cs="宋体" w:eastAsia="宋体" w:hint="default"/>
                <w:sz w:val="21"/>
                <w:szCs w:val="21"/>
              </w:rPr>
            </w:pPr>
            <w:r>
              <w:rPr>
                <w:rFonts w:ascii="宋体"/>
                <w:sz w:val="21"/>
              </w:rPr>
              <w:t>13,530,928</w:t>
            </w:r>
          </w:p>
        </w:tc>
      </w:tr>
      <w:tr>
        <w:trPr>
          <w:trHeight w:val="283" w:hRule="exact"/>
        </w:trPr>
        <w:tc>
          <w:tcPr>
            <w:tcW w:w="3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王惠芳</w:t>
            </w:r>
          </w:p>
        </w:tc>
        <w:tc>
          <w:tcPr>
            <w:tcW w:w="3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
              <w:jc w:val="right"/>
              <w:rPr>
                <w:rFonts w:ascii="宋体" w:hAnsi="宋体" w:cs="宋体" w:eastAsia="宋体" w:hint="default"/>
                <w:sz w:val="21"/>
                <w:szCs w:val="21"/>
              </w:rPr>
            </w:pPr>
            <w:r>
              <w:rPr>
                <w:rFonts w:ascii="宋体"/>
                <w:spacing w:val="-1"/>
                <w:sz w:val="21"/>
              </w:rPr>
              <w:t>12,976,000</w:t>
            </w:r>
          </w:p>
        </w:tc>
        <w:tc>
          <w:tcPr>
            <w:tcW w:w="32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3" w:right="0"/>
              <w:jc w:val="left"/>
              <w:rPr>
                <w:rFonts w:ascii="宋体" w:hAnsi="宋体" w:cs="宋体" w:eastAsia="宋体" w:hint="default"/>
                <w:sz w:val="21"/>
                <w:szCs w:val="21"/>
              </w:rPr>
            </w:pPr>
            <w:r>
              <w:rPr>
                <w:rFonts w:ascii="宋体"/>
                <w:sz w:val="21"/>
              </w:rPr>
              <w:t>12,976,000</w:t>
            </w:r>
          </w:p>
        </w:tc>
      </w:tr>
      <w:tr>
        <w:trPr>
          <w:trHeight w:val="281" w:hRule="exact"/>
        </w:trPr>
        <w:tc>
          <w:tcPr>
            <w:tcW w:w="3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魏山虎</w:t>
            </w:r>
          </w:p>
        </w:tc>
        <w:tc>
          <w:tcPr>
            <w:tcW w:w="3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9,785,500</w:t>
            </w:r>
          </w:p>
        </w:tc>
        <w:tc>
          <w:tcPr>
            <w:tcW w:w="32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9,785,500</w:t>
            </w:r>
          </w:p>
        </w:tc>
      </w:tr>
      <w:tr>
        <w:trPr>
          <w:trHeight w:val="283" w:hRule="exact"/>
        </w:trPr>
        <w:tc>
          <w:tcPr>
            <w:tcW w:w="3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香港中央结算有限公司</w:t>
            </w:r>
          </w:p>
        </w:tc>
        <w:tc>
          <w:tcPr>
            <w:tcW w:w="3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7,273,684</w:t>
            </w:r>
          </w:p>
        </w:tc>
        <w:tc>
          <w:tcPr>
            <w:tcW w:w="32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7,273,684</w:t>
            </w:r>
          </w:p>
        </w:tc>
      </w:tr>
      <w:tr>
        <w:trPr>
          <w:trHeight w:val="283" w:hRule="exact"/>
        </w:trPr>
        <w:tc>
          <w:tcPr>
            <w:tcW w:w="3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张礼宾</w:t>
            </w:r>
          </w:p>
        </w:tc>
        <w:tc>
          <w:tcPr>
            <w:tcW w:w="3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
              <w:jc w:val="right"/>
              <w:rPr>
                <w:rFonts w:ascii="宋体" w:hAnsi="宋体" w:cs="宋体" w:eastAsia="宋体" w:hint="default"/>
                <w:sz w:val="21"/>
                <w:szCs w:val="21"/>
              </w:rPr>
            </w:pPr>
            <w:r>
              <w:rPr>
                <w:rFonts w:ascii="宋体"/>
                <w:spacing w:val="-1"/>
                <w:sz w:val="21"/>
              </w:rPr>
              <w:t>7,051,059</w:t>
            </w:r>
          </w:p>
        </w:tc>
        <w:tc>
          <w:tcPr>
            <w:tcW w:w="32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7,051,059</w:t>
            </w:r>
          </w:p>
        </w:tc>
      </w:tr>
    </w:tbl>
    <w:p>
      <w:pPr>
        <w:spacing w:after="0" w:line="241" w:lineRule="exact"/>
        <w:jc w:val="right"/>
        <w:rPr>
          <w:rFonts w:ascii="宋体" w:hAnsi="宋体" w:cs="宋体" w:eastAsia="宋体" w:hint="default"/>
          <w:sz w:val="21"/>
          <w:szCs w:val="21"/>
        </w:rPr>
        <w:sectPr>
          <w:type w:val="continuous"/>
          <w:pgSz w:w="16840" w:h="11910" w:orient="landscape"/>
          <w:pgMar w:top="1320" w:bottom="1400" w:left="1220" w:right="13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07" w:type="dxa"/>
        <w:tblLayout w:type="fixed"/>
        <w:tblCellMar>
          <w:top w:w="0" w:type="dxa"/>
          <w:left w:w="0" w:type="dxa"/>
          <w:bottom w:w="0" w:type="dxa"/>
          <w:right w:w="0" w:type="dxa"/>
        </w:tblCellMar>
        <w:tblLook w:val="01E0"/>
      </w:tblPr>
      <w:tblGrid>
        <w:gridCol w:w="3795"/>
        <w:gridCol w:w="3545"/>
        <w:gridCol w:w="3260"/>
        <w:gridCol w:w="3430"/>
      </w:tblGrid>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费惠君</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7,000,000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4"/>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7,000,000</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吕伟</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5,538,719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4"/>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5,538,719</w:t>
            </w:r>
          </w:p>
        </w:tc>
      </w:tr>
      <w:tr>
        <w:trPr>
          <w:trHeight w:val="246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102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）奇信志成和天津众信系周鸿祎先生控制的企业，周鸿祎先生、奇信志成和天津众信构成一致行动关系；</w:t>
            </w:r>
          </w:p>
          <w:p>
            <w:pPr>
              <w:pStyle w:val="TableParagraph"/>
              <w:spacing w:line="272" w:lineRule="exact" w:before="27"/>
              <w:ind w:left="103" w:right="13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）天津欣新盛的普通合伙人为天津奇虎和盛股权投资管理合伙企业（有限合伙），其普通合伙人天津奇虎</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欣盛股权投资管理有限公司的控股股东为齐向东先生，齐向东先生和天津欣新盛构成一致行动关系；</w:t>
            </w:r>
          </w:p>
          <w:p>
            <w:pPr>
              <w:pStyle w:val="TableParagraph"/>
              <w:spacing w:line="272" w:lineRule="exact" w:before="1"/>
              <w:ind w:left="103" w:right="-5"/>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3</w:t>
            </w:r>
            <w:r>
              <w:rPr>
                <w:rFonts w:ascii="宋体" w:hAnsi="宋体" w:cs="宋体" w:eastAsia="宋体" w:hint="default"/>
                <w:spacing w:val="-3"/>
                <w:sz w:val="21"/>
                <w:szCs w:val="21"/>
              </w:rPr>
              <w:t>）天津欣新盛、红杉懿远、信心奇缘和海宁国安分别持有奇信志成</w:t>
            </w:r>
            <w:r>
              <w:rPr>
                <w:rFonts w:ascii="宋体" w:hAnsi="宋体" w:cs="宋体" w:eastAsia="宋体" w:hint="default"/>
                <w:spacing w:val="-25"/>
                <w:sz w:val="21"/>
                <w:szCs w:val="21"/>
              </w:rPr>
              <w:t> </w:t>
            </w:r>
            <w:r>
              <w:rPr>
                <w:rFonts w:ascii="宋体" w:hAnsi="宋体" w:cs="宋体" w:eastAsia="宋体" w:hint="default"/>
                <w:spacing w:val="-3"/>
                <w:sz w:val="21"/>
                <w:szCs w:val="21"/>
              </w:rPr>
              <w:t>13.13%</w:t>
            </w:r>
            <w:r>
              <w:rPr>
                <w:rFonts w:ascii="宋体" w:hAnsi="宋体" w:cs="宋体" w:eastAsia="宋体" w:hint="default"/>
                <w:spacing w:val="-3"/>
                <w:sz w:val="21"/>
                <w:szCs w:val="21"/>
              </w:rPr>
              <w:t>、</w:t>
            </w:r>
            <w:r>
              <w:rPr>
                <w:rFonts w:ascii="宋体" w:hAnsi="宋体" w:cs="宋体" w:eastAsia="宋体" w:hint="default"/>
                <w:spacing w:val="-3"/>
                <w:sz w:val="21"/>
                <w:szCs w:val="21"/>
              </w:rPr>
              <w:t>8.80%</w:t>
            </w:r>
            <w:r>
              <w:rPr>
                <w:rFonts w:ascii="宋体" w:hAnsi="宋体" w:cs="宋体" w:eastAsia="宋体" w:hint="default"/>
                <w:spacing w:val="-3"/>
                <w:sz w:val="21"/>
                <w:szCs w:val="21"/>
              </w:rPr>
              <w:t>、</w:t>
            </w:r>
            <w:r>
              <w:rPr>
                <w:rFonts w:ascii="宋体" w:hAnsi="宋体" w:cs="宋体" w:eastAsia="宋体" w:hint="default"/>
                <w:spacing w:val="-3"/>
                <w:sz w:val="21"/>
                <w:szCs w:val="21"/>
              </w:rPr>
              <w:t>6.85%</w:t>
            </w:r>
            <w:r>
              <w:rPr>
                <w:rFonts w:ascii="宋体" w:hAnsi="宋体" w:cs="宋体" w:eastAsia="宋体" w:hint="default"/>
                <w:spacing w:val="-3"/>
                <w:sz w:val="21"/>
                <w:szCs w:val="21"/>
              </w:rPr>
              <w:t>和</w:t>
            </w:r>
            <w:r>
              <w:rPr>
                <w:rFonts w:ascii="宋体" w:hAnsi="宋体" w:cs="宋体" w:eastAsia="宋体" w:hint="default"/>
                <w:spacing w:val="-25"/>
                <w:sz w:val="21"/>
                <w:szCs w:val="21"/>
              </w:rPr>
              <w:t> </w:t>
            </w:r>
            <w:r>
              <w:rPr>
                <w:rFonts w:ascii="宋体" w:hAnsi="宋体" w:cs="宋体" w:eastAsia="宋体" w:hint="default"/>
                <w:sz w:val="21"/>
                <w:szCs w:val="21"/>
              </w:rPr>
              <w:t>5.25%</w:t>
            </w:r>
            <w:r>
              <w:rPr>
                <w:rFonts w:ascii="宋体" w:hAnsi="宋体" w:cs="宋体" w:eastAsia="宋体" w:hint="default"/>
                <w:sz w:val="21"/>
                <w:szCs w:val="21"/>
              </w:rPr>
              <w:t>的股权，</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与奇信志成之间存在关联关系；</w:t>
            </w:r>
          </w:p>
          <w:p>
            <w:pPr>
              <w:pStyle w:val="TableParagraph"/>
              <w:spacing w:line="272" w:lineRule="exact" w:before="2"/>
              <w:ind w:left="103" w:right="9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4</w:t>
            </w:r>
            <w:r>
              <w:rPr>
                <w:rFonts w:ascii="宋体" w:hAnsi="宋体" w:cs="宋体" w:eastAsia="宋体" w:hint="default"/>
                <w:spacing w:val="-2"/>
                <w:sz w:val="21"/>
                <w:szCs w:val="21"/>
              </w:rPr>
              <w:t>）金祖铭先生和金志峰先生系父子关系，费惠君女士与吴炯先生为母子关系；王惠芳女士与吕伟先生为岳</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母和女婿关系。</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pacing w:val="-3"/>
                <w:sz w:val="21"/>
                <w:szCs w:val="21"/>
              </w:rPr>
              <w:t>除上述情况外，公司未知其他股东是否存在关联关系或属于《上市公司收购管理办法》规定的一致行动人的情</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况。</w:t>
            </w:r>
          </w:p>
        </w:tc>
      </w:tr>
      <w:tr>
        <w:trPr>
          <w:trHeight w:val="557"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说明</w:t>
            </w:r>
          </w:p>
        </w:tc>
        <w:tc>
          <w:tcPr>
            <w:tcW w:w="102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pgSz w:w="16840" w:h="11910" w:orient="landscape"/>
          <w:pgMar w:header="857" w:footer="1218" w:top="1320" w:bottom="1400" w:left="122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6840" w:h="11910" w:orient="landscape"/>
          <w:pgMar w:header="857" w:footer="1218" w:top="1320" w:bottom="1400" w:left="1220" w:right="1300"/>
        </w:sectPr>
      </w:pPr>
    </w:p>
    <w:p>
      <w:pPr>
        <w:pStyle w:val="BodyText"/>
        <w:spacing w:line="274" w:lineRule="exact" w:before="36"/>
        <w:ind w:left="220" w:right="0"/>
        <w:jc w:val="left"/>
      </w:pPr>
      <w:r>
        <w:rPr>
          <w:spacing w:val="-2"/>
        </w:rPr>
        <w:t>前十名有限售条件股东持股数量及限售条件</w:t>
      </w:r>
    </w:p>
    <w:p>
      <w:pPr>
        <w:pStyle w:val="BodyText"/>
        <w:spacing w:line="274" w:lineRule="exact"/>
        <w:ind w:left="22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220" w:right="0"/>
        <w:jc w:val="left"/>
      </w:pPr>
      <w:r>
        <w:rPr/>
        <w:t>单位：股</w:t>
      </w:r>
    </w:p>
    <w:p>
      <w:pPr>
        <w:spacing w:after="0" w:line="240" w:lineRule="auto"/>
        <w:jc w:val="left"/>
        <w:sectPr>
          <w:type w:val="continuous"/>
          <w:pgSz w:w="16840" w:h="11910" w:orient="landscape"/>
          <w:pgMar w:top="1320" w:bottom="1400" w:left="1220" w:right="1300"/>
          <w:cols w:num="2" w:equalWidth="0">
            <w:col w:w="4215" w:space="8819"/>
            <w:col w:w="128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716"/>
        <w:gridCol w:w="2513"/>
        <w:gridCol w:w="1702"/>
        <w:gridCol w:w="3970"/>
        <w:gridCol w:w="1702"/>
        <w:gridCol w:w="3488"/>
      </w:tblGrid>
      <w:tr>
        <w:trPr>
          <w:trHeight w:val="281" w:hRule="exact"/>
        </w:trPr>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51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702" w:type="dxa"/>
            <w:vMerge w:val="restart"/>
            <w:tcBorders>
              <w:top w:val="single" w:sz="4" w:space="0" w:color="000000"/>
              <w:left w:val="single" w:sz="4" w:space="0" w:color="000000"/>
              <w:right w:val="single" w:sz="4" w:space="0" w:color="000000"/>
            </w:tcBorders>
          </w:tcPr>
          <w:p>
            <w:pPr>
              <w:pStyle w:val="TableParagraph"/>
              <w:spacing w:line="272" w:lineRule="exact" w:before="135"/>
              <w:ind w:left="319" w:right="106" w:hanging="210"/>
              <w:jc w:val="left"/>
              <w:rPr>
                <w:rFonts w:ascii="宋体" w:hAnsi="宋体" w:cs="宋体" w:eastAsia="宋体" w:hint="default"/>
                <w:sz w:val="21"/>
                <w:szCs w:val="21"/>
              </w:rPr>
            </w:pPr>
            <w:r>
              <w:rPr>
                <w:rFonts w:ascii="宋体" w:hAnsi="宋体" w:cs="宋体" w:eastAsia="宋体" w:hint="default"/>
                <w:sz w:val="21"/>
                <w:szCs w:val="21"/>
              </w:rPr>
              <w:t>持有的有限售条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件股份数量</w:t>
            </w:r>
          </w:p>
        </w:tc>
        <w:tc>
          <w:tcPr>
            <w:tcW w:w="56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58"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348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554" w:hRule="exact"/>
        </w:trPr>
        <w:tc>
          <w:tcPr>
            <w:tcW w:w="716" w:type="dxa"/>
            <w:vMerge/>
            <w:tcBorders>
              <w:left w:val="single" w:sz="4" w:space="0" w:color="000000"/>
              <w:bottom w:val="single" w:sz="4" w:space="0" w:color="000000"/>
              <w:right w:val="single" w:sz="4" w:space="0" w:color="000000"/>
            </w:tcBorders>
          </w:tcPr>
          <w:p>
            <w:pPr/>
          </w:p>
        </w:tc>
        <w:tc>
          <w:tcPr>
            <w:tcW w:w="2513"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3" w:right="0"/>
              <w:jc w:val="left"/>
              <w:rPr>
                <w:rFonts w:ascii="宋体" w:hAnsi="宋体" w:cs="宋体" w:eastAsia="宋体" w:hint="default"/>
                <w:sz w:val="21"/>
                <w:szCs w:val="21"/>
              </w:rPr>
            </w:pPr>
            <w:r>
              <w:rPr>
                <w:rFonts w:ascii="宋体" w:hAnsi="宋体" w:cs="宋体" w:eastAsia="宋体" w:hint="default"/>
                <w:sz w:val="21"/>
                <w:szCs w:val="21"/>
              </w:rPr>
              <w:t>可上市交易时间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新增可上市交易</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3488" w:type="dxa"/>
            <w:vMerge/>
            <w:tcBorders>
              <w:left w:val="single" w:sz="4" w:space="0" w:color="000000"/>
              <w:bottom w:val="single" w:sz="4" w:space="0" w:color="000000"/>
              <w:right w:val="single" w:sz="4" w:space="0" w:color="000000"/>
            </w:tcBorders>
          </w:tcPr>
          <w:p>
            <w:pPr/>
          </w:p>
        </w:tc>
      </w:tr>
      <w:tr>
        <w:trPr>
          <w:trHeight w:val="557"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1</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天津奇信志成科技有限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3,296,744,163</w:t>
            </w:r>
          </w:p>
        </w:tc>
        <w:tc>
          <w:tcPr>
            <w:tcW w:w="3970" w:type="dxa"/>
            <w:vMerge w:val="restart"/>
            <w:tcBorders>
              <w:top w:val="single" w:sz="4" w:space="0" w:color="000000"/>
              <w:left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pacing w:val="-8"/>
                <w:sz w:val="21"/>
                <w:szCs w:val="21"/>
              </w:rPr>
              <w:t>日，相关股东因重组上市所</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z w:val="21"/>
                <w:szCs w:val="21"/>
              </w:rPr>
              <w:t>获得的全部限售股的</w:t>
            </w:r>
            <w:r>
              <w:rPr>
                <w:rFonts w:ascii="宋体" w:hAnsi="宋体" w:cs="宋体" w:eastAsia="宋体" w:hint="default"/>
                <w:spacing w:val="-46"/>
                <w:sz w:val="21"/>
                <w:szCs w:val="21"/>
              </w:rPr>
              <w:t> </w:t>
            </w:r>
            <w:r>
              <w:rPr>
                <w:rFonts w:ascii="宋体" w:hAnsi="宋体" w:cs="宋体" w:eastAsia="宋体" w:hint="default"/>
                <w:spacing w:val="-4"/>
                <w:sz w:val="21"/>
                <w:szCs w:val="21"/>
              </w:rPr>
              <w:t>70%</w:t>
            </w:r>
            <w:r>
              <w:rPr>
                <w:rFonts w:ascii="宋体" w:hAnsi="宋体" w:cs="宋体" w:eastAsia="宋体" w:hint="default"/>
                <w:spacing w:val="-4"/>
                <w:sz w:val="21"/>
                <w:szCs w:val="21"/>
              </w:rPr>
              <w:t>解锁；</w:t>
            </w:r>
            <w:r>
              <w:rPr>
                <w:rFonts w:ascii="宋体" w:hAnsi="宋体" w:cs="宋体" w:eastAsia="宋体" w:hint="default"/>
                <w:spacing w:val="-4"/>
                <w:sz w:val="21"/>
                <w:szCs w:val="21"/>
              </w:rPr>
              <w:t>2020</w:t>
            </w:r>
            <w:r>
              <w:rPr>
                <w:rFonts w:ascii="宋体" w:hAnsi="宋体" w:cs="宋体" w:eastAsia="宋体" w:hint="default"/>
                <w:spacing w:val="-48"/>
                <w:sz w:val="21"/>
                <w:szCs w:val="21"/>
              </w:rPr>
              <w:t> </w:t>
            </w:r>
            <w:r>
              <w:rPr>
                <w:rFonts w:ascii="宋体" w:hAnsi="宋体" w:cs="宋体" w:eastAsia="宋体" w:hint="default"/>
                <w:sz w:val="21"/>
                <w:szCs w:val="21"/>
              </w:rPr>
              <w:t>年度</w:t>
            </w:r>
            <w:r>
              <w:rPr>
                <w:rFonts w:ascii="宋体" w:hAnsi="宋体" w:cs="宋体" w:eastAsia="宋体" w:hint="default"/>
                <w:spacing w:val="-103"/>
                <w:sz w:val="21"/>
                <w:szCs w:val="21"/>
              </w:rPr>
              <w:t> </w:t>
            </w:r>
            <w:r>
              <w:rPr>
                <w:rFonts w:ascii="宋体" w:hAnsi="宋体" w:cs="宋体" w:eastAsia="宋体" w:hint="default"/>
                <w:sz w:val="21"/>
                <w:szCs w:val="21"/>
              </w:rPr>
              <w:t>承诺业绩的专项审计报告公告后且全部</w:t>
            </w:r>
            <w:r>
              <w:rPr>
                <w:rFonts w:ascii="宋体" w:hAnsi="宋体" w:cs="宋体" w:eastAsia="宋体" w:hint="default"/>
                <w:w w:val="100"/>
                <w:sz w:val="21"/>
                <w:szCs w:val="21"/>
              </w:rPr>
              <w:t> </w:t>
            </w:r>
            <w:r>
              <w:rPr>
                <w:rFonts w:ascii="宋体" w:hAnsi="宋体" w:cs="宋体" w:eastAsia="宋体" w:hint="default"/>
                <w:spacing w:val="-3"/>
                <w:sz w:val="21"/>
                <w:szCs w:val="21"/>
              </w:rPr>
              <w:t>业绩补偿义务履行完毕之日，相关股东因</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重组上市所获得的全部限售股剩余部分</w:t>
            </w:r>
            <w:r>
              <w:rPr>
                <w:rFonts w:ascii="宋体" w:hAnsi="宋体" w:cs="宋体" w:eastAsia="宋体" w:hint="default"/>
                <w:w w:val="100"/>
                <w:sz w:val="21"/>
                <w:szCs w:val="21"/>
              </w:rPr>
              <w:t> </w:t>
            </w:r>
            <w:r>
              <w:rPr>
                <w:rFonts w:ascii="宋体" w:hAnsi="宋体" w:cs="宋体" w:eastAsia="宋体" w:hint="default"/>
                <w:sz w:val="21"/>
                <w:szCs w:val="21"/>
              </w:rPr>
              <w:t>全部解锁。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0</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重大资产重组取得的上市公司股份</w:t>
            </w:r>
          </w:p>
        </w:tc>
      </w:tr>
      <w:tr>
        <w:trPr>
          <w:trHeight w:val="521"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周鸿祎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pacing w:val="-1"/>
                <w:sz w:val="21"/>
              </w:rPr>
              <w:t>821,281,583</w:t>
            </w:r>
          </w:p>
        </w:tc>
        <w:tc>
          <w:tcPr>
            <w:tcW w:w="3970"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w w:val="100"/>
                <w:sz w:val="21"/>
              </w:rPr>
              <w:t>0</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重大资产重组取得的上市公司股份</w:t>
            </w:r>
          </w:p>
        </w:tc>
      </w:tr>
      <w:tr>
        <w:trPr>
          <w:trHeight w:val="566"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4</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天津众信股权投资合伙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企业（有限合伙）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190,878,127</w:t>
            </w:r>
          </w:p>
        </w:tc>
        <w:tc>
          <w:tcPr>
            <w:tcW w:w="3970"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w w:val="100"/>
                <w:sz w:val="21"/>
              </w:rPr>
              <w:t>0</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重大资产重组取得的上市公司股份</w:t>
            </w:r>
          </w:p>
        </w:tc>
      </w:tr>
      <w:tr>
        <w:trPr>
          <w:trHeight w:val="557"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3</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天津欣新盛股权投资合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伙企业（有限合伙）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277,307,438</w:t>
            </w:r>
          </w:p>
        </w:tc>
        <w:tc>
          <w:tcPr>
            <w:tcW w:w="39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1"/>
              <w:ind w:left="103" w:right="96"/>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日，相关股东因重组上市</w:t>
            </w:r>
            <w:r>
              <w:rPr>
                <w:rFonts w:ascii="宋体" w:hAnsi="宋体" w:cs="宋体" w:eastAsia="宋体" w:hint="default"/>
                <w:w w:val="100"/>
                <w:sz w:val="21"/>
                <w:szCs w:val="21"/>
              </w:rPr>
              <w:t> </w:t>
            </w:r>
            <w:r>
              <w:rPr>
                <w:rFonts w:ascii="宋体" w:hAnsi="宋体" w:cs="宋体" w:eastAsia="宋体" w:hint="default"/>
                <w:sz w:val="21"/>
                <w:szCs w:val="21"/>
              </w:rPr>
              <w:t>所获得的全部限售股的</w:t>
            </w:r>
            <w:r>
              <w:rPr>
                <w:rFonts w:ascii="宋体" w:hAnsi="宋体" w:cs="宋体" w:eastAsia="宋体" w:hint="default"/>
                <w:spacing w:val="-49"/>
                <w:sz w:val="21"/>
                <w:szCs w:val="21"/>
              </w:rPr>
              <w:t> </w:t>
            </w:r>
            <w:r>
              <w:rPr>
                <w:rFonts w:ascii="宋体" w:hAnsi="宋体" w:cs="宋体" w:eastAsia="宋体" w:hint="default"/>
                <w:spacing w:val="-4"/>
                <w:sz w:val="21"/>
                <w:szCs w:val="21"/>
              </w:rPr>
              <w:t>40%</w:t>
            </w:r>
            <w:r>
              <w:rPr>
                <w:rFonts w:ascii="宋体" w:hAnsi="宋体" w:cs="宋体" w:eastAsia="宋体" w:hint="default"/>
                <w:spacing w:val="-4"/>
                <w:sz w:val="21"/>
                <w:szCs w:val="21"/>
              </w:rPr>
              <w:t>解锁；</w:t>
            </w:r>
            <w:r>
              <w:rPr>
                <w:rFonts w:ascii="宋体" w:hAnsi="宋体" w:cs="宋体" w:eastAsia="宋体" w:hint="default"/>
                <w:spacing w:val="-4"/>
                <w:sz w:val="21"/>
                <w:szCs w:val="21"/>
              </w:rPr>
              <w:t>2019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度承诺业绩的专项审计报告公告后且</w:t>
            </w:r>
            <w:r>
              <w:rPr>
                <w:rFonts w:ascii="宋体" w:hAnsi="宋体" w:cs="宋体" w:eastAsia="宋体" w:hint="default"/>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年至</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年业绩补偿义务履行完毕</w:t>
            </w:r>
            <w:r>
              <w:rPr>
                <w:rFonts w:ascii="宋体" w:hAnsi="宋体" w:cs="宋体" w:eastAsia="宋体" w:hint="default"/>
                <w:w w:val="100"/>
                <w:sz w:val="21"/>
                <w:szCs w:val="21"/>
              </w:rPr>
              <w:t> </w:t>
            </w:r>
            <w:r>
              <w:rPr>
                <w:rFonts w:ascii="宋体" w:hAnsi="宋体" w:cs="宋体" w:eastAsia="宋体" w:hint="default"/>
                <w:spacing w:val="-3"/>
                <w:sz w:val="21"/>
                <w:szCs w:val="21"/>
              </w:rPr>
              <w:t>之日，相关股东因重组上市所获得的全部</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限售股的</w:t>
            </w:r>
            <w:r>
              <w:rPr>
                <w:rFonts w:ascii="宋体" w:hAnsi="宋体" w:cs="宋体" w:eastAsia="宋体" w:hint="default"/>
                <w:spacing w:val="-47"/>
                <w:sz w:val="21"/>
                <w:szCs w:val="21"/>
              </w:rPr>
              <w:t> </w:t>
            </w:r>
            <w:r>
              <w:rPr>
                <w:rFonts w:ascii="宋体" w:hAnsi="宋体" w:cs="宋体" w:eastAsia="宋体" w:hint="default"/>
                <w:spacing w:val="-4"/>
                <w:sz w:val="21"/>
                <w:szCs w:val="21"/>
              </w:rPr>
              <w:t>30%</w:t>
            </w:r>
            <w:r>
              <w:rPr>
                <w:rFonts w:ascii="宋体" w:hAnsi="宋体" w:cs="宋体" w:eastAsia="宋体" w:hint="default"/>
                <w:spacing w:val="-4"/>
                <w:sz w:val="21"/>
                <w:szCs w:val="21"/>
              </w:rPr>
              <w:t>解锁；</w:t>
            </w:r>
            <w:r>
              <w:rPr>
                <w:rFonts w:ascii="宋体" w:hAnsi="宋体" w:cs="宋体" w:eastAsia="宋体" w:hint="default"/>
                <w:spacing w:val="-4"/>
                <w:sz w:val="21"/>
                <w:szCs w:val="21"/>
              </w:rPr>
              <w:t>2020</w:t>
            </w:r>
            <w:r>
              <w:rPr>
                <w:rFonts w:ascii="宋体" w:hAnsi="宋体" w:cs="宋体" w:eastAsia="宋体" w:hint="default"/>
                <w:spacing w:val="-49"/>
                <w:sz w:val="21"/>
                <w:szCs w:val="21"/>
              </w:rPr>
              <w:t> </w:t>
            </w:r>
            <w:r>
              <w:rPr>
                <w:rFonts w:ascii="宋体" w:hAnsi="宋体" w:cs="宋体" w:eastAsia="宋体" w:hint="default"/>
                <w:sz w:val="21"/>
                <w:szCs w:val="21"/>
              </w:rPr>
              <w:t>年度承诺业绩的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专项审计报告公告后且全部业绩补偿义</w:t>
            </w:r>
            <w:r>
              <w:rPr>
                <w:rFonts w:ascii="宋体" w:hAnsi="宋体" w:cs="宋体" w:eastAsia="宋体" w:hint="default"/>
                <w:w w:val="100"/>
                <w:sz w:val="21"/>
                <w:szCs w:val="21"/>
              </w:rPr>
              <w:t> </w:t>
            </w:r>
            <w:r>
              <w:rPr>
                <w:rFonts w:ascii="宋体" w:hAnsi="宋体" w:cs="宋体" w:eastAsia="宋体" w:hint="default"/>
                <w:spacing w:val="-3"/>
                <w:sz w:val="21"/>
                <w:szCs w:val="21"/>
              </w:rPr>
              <w:t>务履行完毕之日，相关股东因重组上市所</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获得的全部限售股剩余部分全部解锁。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重大资产重组取得的上市公司股份</w:t>
            </w:r>
          </w:p>
        </w:tc>
      </w:tr>
      <w:tr>
        <w:trPr>
          <w:trHeight w:val="555"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5</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北京红杉懿远股权投资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中心（有限合伙）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185,795,997</w:t>
            </w:r>
          </w:p>
        </w:tc>
        <w:tc>
          <w:tcPr>
            <w:tcW w:w="3970"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100"/>
                <w:sz w:val="21"/>
              </w:rPr>
              <w:t>0</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重大资产重组取得的上市公司股份</w:t>
            </w:r>
          </w:p>
        </w:tc>
      </w:tr>
      <w:tr>
        <w:trPr>
          <w:trHeight w:val="55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6</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天津信心奇缘股权投资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合伙企业（有限合伙）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144,646,170</w:t>
            </w:r>
          </w:p>
        </w:tc>
        <w:tc>
          <w:tcPr>
            <w:tcW w:w="3970"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重大资产重组取得的上市公司股份</w:t>
            </w:r>
          </w:p>
        </w:tc>
      </w:tr>
      <w:tr>
        <w:trPr>
          <w:trHeight w:val="521"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7</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齐向东</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pacing w:val="-1"/>
                <w:sz w:val="21"/>
              </w:rPr>
              <w:t>121,207,120</w:t>
            </w:r>
          </w:p>
        </w:tc>
        <w:tc>
          <w:tcPr>
            <w:tcW w:w="3970"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w w:val="100"/>
                <w:sz w:val="21"/>
              </w:rPr>
              <w:t>0</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重大资产重组取得的上市公司股份</w:t>
            </w:r>
          </w:p>
        </w:tc>
      </w:tr>
      <w:tr>
        <w:trPr>
          <w:trHeight w:val="557"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8</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浙江海宁国安睿威投资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合伙企业（有限合伙）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110,922,953</w:t>
            </w:r>
          </w:p>
        </w:tc>
        <w:tc>
          <w:tcPr>
            <w:tcW w:w="3970"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重大资产重组取得的上市公司股份</w:t>
            </w:r>
          </w:p>
        </w:tc>
      </w:tr>
      <w:tr>
        <w:trPr>
          <w:trHeight w:val="55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9</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天津聚信股权投资合伙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企业（有限合伙）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105,908,028</w:t>
            </w:r>
          </w:p>
        </w:tc>
        <w:tc>
          <w:tcPr>
            <w:tcW w:w="3970"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100"/>
                <w:sz w:val="21"/>
              </w:rPr>
              <w:t>0</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重大资产重组取得的上市公司股份</w:t>
            </w:r>
          </w:p>
        </w:tc>
      </w:tr>
      <w:tr>
        <w:trPr>
          <w:trHeight w:val="555"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10</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深圳市平安置业投资有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88,738,428</w:t>
            </w:r>
          </w:p>
        </w:tc>
        <w:tc>
          <w:tcPr>
            <w:tcW w:w="3970"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0</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重大资产重组取得的上市公司股份</w:t>
            </w:r>
          </w:p>
        </w:tc>
      </w:tr>
    </w:tbl>
    <w:p>
      <w:pPr>
        <w:spacing w:after="0" w:line="240" w:lineRule="auto"/>
        <w:jc w:val="left"/>
        <w:rPr>
          <w:rFonts w:ascii="宋体" w:hAnsi="宋体" w:cs="宋体" w:eastAsia="宋体" w:hint="default"/>
          <w:sz w:val="21"/>
          <w:szCs w:val="21"/>
        </w:rPr>
        <w:sectPr>
          <w:type w:val="continuous"/>
          <w:pgSz w:w="16840" w:h="11910" w:orient="landscape"/>
          <w:pgMar w:top="1320" w:bottom="1400" w:left="1220" w:right="13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3228"/>
        <w:gridCol w:w="10862"/>
      </w:tblGrid>
      <w:tr>
        <w:trPr>
          <w:trHeight w:val="1644"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的说明</w:t>
            </w:r>
          </w:p>
        </w:tc>
        <w:tc>
          <w:tcPr>
            <w:tcW w:w="108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）奇信志成和天津众信系周鸿祎先生控制的企业，周鸿祎先生、奇信志成和天津众信构成一致行动关系；</w:t>
            </w:r>
          </w:p>
          <w:p>
            <w:pPr>
              <w:pStyle w:val="TableParagraph"/>
              <w:spacing w:line="240" w:lineRule="auto"/>
              <w:ind w:left="103" w:right="206"/>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）天津欣新盛的普通合伙人为天津奇虎和盛股权投资管理合伙企业（有限合伙），其普通合伙人天津奇虎欣盛股</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权投资管理有限公司的控股股东为齐向东先生，齐向东先生和天津欣新盛构成一致行动关系；</w:t>
            </w:r>
          </w:p>
          <w:p>
            <w:pPr>
              <w:pStyle w:val="TableParagraph"/>
              <w:spacing w:line="274" w:lineRule="exact" w:before="22"/>
              <w:ind w:left="103" w:right="204"/>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3</w:t>
            </w:r>
            <w:r>
              <w:rPr>
                <w:rFonts w:ascii="宋体" w:hAnsi="宋体" w:cs="宋体" w:eastAsia="宋体" w:hint="default"/>
                <w:spacing w:val="-3"/>
                <w:sz w:val="21"/>
                <w:szCs w:val="21"/>
              </w:rPr>
              <w:t>）天津欣新盛、红杉懿远、信心奇缘和海宁国安分别持有奇信志成</w:t>
            </w:r>
            <w:r>
              <w:rPr>
                <w:rFonts w:ascii="宋体" w:hAnsi="宋体" w:cs="宋体" w:eastAsia="宋体" w:hint="default"/>
                <w:spacing w:val="-27"/>
                <w:sz w:val="21"/>
                <w:szCs w:val="21"/>
              </w:rPr>
              <w:t> </w:t>
            </w:r>
            <w:r>
              <w:rPr>
                <w:rFonts w:ascii="宋体" w:hAnsi="宋体" w:cs="宋体" w:eastAsia="宋体" w:hint="default"/>
                <w:spacing w:val="-3"/>
                <w:sz w:val="21"/>
                <w:szCs w:val="21"/>
              </w:rPr>
              <w:t>13.13%</w:t>
            </w:r>
            <w:r>
              <w:rPr>
                <w:rFonts w:ascii="宋体" w:hAnsi="宋体" w:cs="宋体" w:eastAsia="宋体" w:hint="default"/>
                <w:spacing w:val="-3"/>
                <w:sz w:val="21"/>
                <w:szCs w:val="21"/>
              </w:rPr>
              <w:t>、</w:t>
            </w:r>
            <w:r>
              <w:rPr>
                <w:rFonts w:ascii="宋体" w:hAnsi="宋体" w:cs="宋体" w:eastAsia="宋体" w:hint="default"/>
                <w:spacing w:val="-3"/>
                <w:sz w:val="21"/>
                <w:szCs w:val="21"/>
              </w:rPr>
              <w:t>8.80%</w:t>
            </w:r>
            <w:r>
              <w:rPr>
                <w:rFonts w:ascii="宋体" w:hAnsi="宋体" w:cs="宋体" w:eastAsia="宋体" w:hint="default"/>
                <w:spacing w:val="-3"/>
                <w:sz w:val="21"/>
                <w:szCs w:val="21"/>
              </w:rPr>
              <w:t>、</w:t>
            </w:r>
            <w:r>
              <w:rPr>
                <w:rFonts w:ascii="宋体" w:hAnsi="宋体" w:cs="宋体" w:eastAsia="宋体" w:hint="default"/>
                <w:spacing w:val="-3"/>
                <w:sz w:val="21"/>
                <w:szCs w:val="21"/>
              </w:rPr>
              <w:t>6.85%</w:t>
            </w:r>
            <w:r>
              <w:rPr>
                <w:rFonts w:ascii="宋体" w:hAnsi="宋体" w:cs="宋体" w:eastAsia="宋体" w:hint="default"/>
                <w:spacing w:val="-3"/>
                <w:sz w:val="21"/>
                <w:szCs w:val="21"/>
              </w:rPr>
              <w:t>和</w:t>
            </w:r>
            <w:r>
              <w:rPr>
                <w:rFonts w:ascii="宋体" w:hAnsi="宋体" w:cs="宋体" w:eastAsia="宋体" w:hint="default"/>
                <w:spacing w:val="-27"/>
                <w:sz w:val="21"/>
                <w:szCs w:val="21"/>
              </w:rPr>
              <w:t> </w:t>
            </w:r>
            <w:r>
              <w:rPr>
                <w:rFonts w:ascii="宋体" w:hAnsi="宋体" w:cs="宋体" w:eastAsia="宋体" w:hint="default"/>
                <w:sz w:val="21"/>
                <w:szCs w:val="21"/>
              </w:rPr>
              <w:t>5.25%</w:t>
            </w:r>
            <w:r>
              <w:rPr>
                <w:rFonts w:ascii="宋体" w:hAnsi="宋体" w:cs="宋体" w:eastAsia="宋体" w:hint="default"/>
                <w:sz w:val="21"/>
                <w:szCs w:val="21"/>
              </w:rPr>
              <w:t>的股权，与奇</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信志成之间存在关联关系。</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上述其他有限售条件股东之间不存在关联关系，也不构成一致行动关系。</w:t>
            </w:r>
          </w:p>
        </w:tc>
      </w:tr>
    </w:tbl>
    <w:p>
      <w:pPr>
        <w:pStyle w:val="BodyText"/>
        <w:spacing w:line="241" w:lineRule="exact"/>
        <w:ind w:left="640" w:right="0"/>
        <w:jc w:val="left"/>
      </w:pPr>
      <w:r>
        <w:rPr/>
        <w:t>备注：为方便列示可上市交易时间，有限售条件股东中的“天津众信股权投资合伙企业（有限合伙）”和“天津欣新盛股权投资合伙企业（有限合</w:t>
      </w:r>
    </w:p>
    <w:p>
      <w:pPr>
        <w:pStyle w:val="BodyText"/>
        <w:spacing w:line="240" w:lineRule="auto" w:before="133"/>
        <w:ind w:left="220" w:right="0"/>
        <w:jc w:val="left"/>
      </w:pPr>
      <w:r>
        <w:rPr/>
        <w:t>伙）”排序进行了位置调换。</w:t>
      </w:r>
    </w:p>
    <w:p>
      <w:pPr>
        <w:spacing w:after="0" w:line="240" w:lineRule="auto"/>
        <w:jc w:val="left"/>
        <w:sectPr>
          <w:pgSz w:w="16840" w:h="11910" w:orient="landscape"/>
          <w:pgMar w:header="857" w:footer="1218" w:top="1320" w:bottom="1400" w:left="1220" w:right="13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before="26"/>
        <w:ind w:right="234"/>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9"/>
        </w:rPr>
        <w:t> </w:t>
      </w:r>
      <w:r>
        <w:rPr/>
        <w:t>战略投资者或一般法人因配售新股成为前</w:t>
      </w:r>
      <w:r>
        <w:rPr>
          <w:spacing w:val="-57"/>
        </w:rPr>
        <w:t> </w:t>
      </w:r>
      <w:r>
        <w:rPr>
          <w:rFonts w:ascii="Calibri" w:hAnsi="Calibri" w:cs="Calibri" w:eastAsia="Calibri" w:hint="default"/>
        </w:rPr>
        <w:t>10</w:t>
      </w:r>
      <w:r>
        <w:rPr>
          <w:rFonts w:ascii="Calibri" w:hAnsi="Calibri" w:cs="Calibri" w:eastAsia="Calibri" w:hint="default"/>
          <w:spacing w:val="3"/>
        </w:rPr>
        <w:t> </w:t>
      </w:r>
      <w:r>
        <w:rPr/>
        <w:t>名股东</w:t>
      </w:r>
      <w:r>
        <w:rPr>
          <w:b w:val="0"/>
          <w:bCs w:val="0"/>
        </w:rPr>
      </w:r>
    </w:p>
    <w:p>
      <w:pPr>
        <w:pStyle w:val="BodyText"/>
        <w:spacing w:line="240" w:lineRule="auto" w:before="33"/>
        <w:ind w:left="218" w:right="234"/>
        <w:jc w:val="left"/>
      </w:pPr>
      <w:r>
        <w:rPr/>
        <w:t>□适用</w:t>
      </w:r>
      <w:r>
        <w:rPr>
          <w:spacing w:val="-1"/>
        </w:rPr>
        <w:t> </w:t>
      </w:r>
      <w:r>
        <w:rPr/>
        <w:t>√不适用</w:t>
      </w:r>
    </w:p>
    <w:p>
      <w:pPr>
        <w:pStyle w:val="Heading2"/>
        <w:tabs>
          <w:tab w:pos="1057" w:val="left" w:leader="none"/>
        </w:tabs>
        <w:spacing w:line="240" w:lineRule="auto" w:before="50"/>
        <w:ind w:right="234"/>
        <w:jc w:val="left"/>
        <w:rPr>
          <w:b w:val="0"/>
          <w:bCs w:val="0"/>
        </w:rPr>
      </w:pPr>
      <w:r>
        <w:rPr/>
        <w:t>四、</w:t>
        <w:tab/>
        <w:t>控股股东及实际控制人情况</w:t>
      </w:r>
      <w:r>
        <w:rPr>
          <w:b w:val="0"/>
          <w:bCs w:val="0"/>
        </w:rPr>
      </w:r>
    </w:p>
    <w:p>
      <w:pPr>
        <w:pStyle w:val="Heading2"/>
        <w:tabs>
          <w:tab w:pos="637" w:val="left" w:leader="none"/>
        </w:tabs>
        <w:spacing w:line="256" w:lineRule="auto" w:before="58"/>
        <w:ind w:right="720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控股股东情况</w:t>
      </w:r>
      <w:r>
        <w:rPr>
          <w:w w:val="99"/>
        </w:rPr>
        <w:t> </w:t>
      </w:r>
      <w:r>
        <w:rPr>
          <w:rFonts w:ascii="宋体" w:hAnsi="宋体" w:cs="宋体" w:eastAsia="宋体" w:hint="default"/>
          <w:w w:val="95"/>
        </w:rPr>
        <w:t>1</w:t>
        <w:tab/>
      </w:r>
      <w:r>
        <w:rPr/>
        <w:t>法人</w:t>
      </w:r>
      <w:r>
        <w:rPr>
          <w:b w:val="0"/>
          <w:bCs w:val="0"/>
        </w:rPr>
      </w:r>
    </w:p>
    <w:p>
      <w:pPr>
        <w:pStyle w:val="BodyText"/>
        <w:spacing w:line="240" w:lineRule="auto" w:before="47"/>
        <w:ind w:left="218" w:right="234"/>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12"/>
        <w:gridCol w:w="5538"/>
      </w:tblGrid>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天津奇信志成科技有限公司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周鸿祎</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826"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5" w:firstLine="33"/>
              <w:jc w:val="left"/>
              <w:rPr>
                <w:rFonts w:ascii="宋体" w:hAnsi="宋体" w:cs="宋体" w:eastAsia="宋体" w:hint="default"/>
                <w:sz w:val="21"/>
                <w:szCs w:val="21"/>
              </w:rPr>
            </w:pPr>
            <w:r>
              <w:rPr>
                <w:rFonts w:ascii="宋体" w:hAnsi="宋体" w:cs="宋体" w:eastAsia="宋体" w:hint="default"/>
                <w:sz w:val="21"/>
                <w:szCs w:val="21"/>
              </w:rPr>
              <w:t>科学研究和技术服务业；信息传输、软件和信息技术服务</w:t>
            </w:r>
          </w:p>
          <w:p>
            <w:pPr>
              <w:pStyle w:val="TableParagraph"/>
              <w:spacing w:line="240" w:lineRule="auto"/>
              <w:ind w:left="976" w:right="-5" w:hanging="876"/>
              <w:jc w:val="left"/>
              <w:rPr>
                <w:rFonts w:ascii="宋体" w:hAnsi="宋体" w:cs="宋体" w:eastAsia="宋体" w:hint="default"/>
                <w:sz w:val="21"/>
                <w:szCs w:val="21"/>
              </w:rPr>
            </w:pPr>
            <w:r>
              <w:rPr>
                <w:rFonts w:ascii="宋体" w:hAnsi="宋体" w:cs="宋体" w:eastAsia="宋体" w:hint="default"/>
                <w:spacing w:val="-3"/>
                <w:sz w:val="21"/>
                <w:szCs w:val="21"/>
              </w:rPr>
              <w:t>业；商务服务业；批发和零售业。（依法须经批准的项目，</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经相关部门批准后方可开展经营活动）</w:t>
            </w:r>
          </w:p>
        </w:tc>
      </w:tr>
      <w:tr>
        <w:trPr>
          <w:trHeight w:val="828"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69" w:right="0"/>
              <w:jc w:val="left"/>
              <w:rPr>
                <w:rFonts w:ascii="宋体" w:hAnsi="宋体" w:cs="宋体" w:eastAsia="宋体" w:hint="default"/>
                <w:sz w:val="21"/>
                <w:szCs w:val="21"/>
              </w:rPr>
            </w:pPr>
            <w:r>
              <w:rPr>
                <w:rFonts w:ascii="宋体"/>
                <w:sz w:val="21"/>
              </w:rPr>
              <w:t>360 Finance, Inc.</w:t>
            </w:r>
          </w:p>
          <w:p>
            <w:pPr>
              <w:pStyle w:val="TableParagraph"/>
              <w:spacing w:line="272" w:lineRule="exact" w:before="27"/>
              <w:ind w:left="503" w:right="98" w:hanging="404"/>
              <w:jc w:val="left"/>
              <w:rPr>
                <w:rFonts w:ascii="宋体" w:hAnsi="宋体" w:cs="宋体" w:eastAsia="宋体" w:hint="default"/>
                <w:sz w:val="21"/>
                <w:szCs w:val="21"/>
              </w:rPr>
            </w:pPr>
            <w:r>
              <w:rPr>
                <w:rFonts w:ascii="宋体" w:hAnsi="宋体" w:cs="宋体" w:eastAsia="宋体" w:hint="default"/>
                <w:sz w:val="21"/>
                <w:szCs w:val="21"/>
              </w:rPr>
              <w:t>（周鸿祎先生与其子女就</w:t>
            </w:r>
            <w:r>
              <w:rPr>
                <w:rFonts w:ascii="宋体" w:hAnsi="宋体" w:cs="宋体" w:eastAsia="宋体" w:hint="default"/>
                <w:spacing w:val="-56"/>
                <w:sz w:val="21"/>
                <w:szCs w:val="21"/>
              </w:rPr>
              <w:t> </w:t>
            </w:r>
            <w:r>
              <w:rPr>
                <w:rFonts w:ascii="宋体" w:hAnsi="宋体" w:cs="宋体" w:eastAsia="宋体" w:hint="default"/>
                <w:sz w:val="21"/>
                <w:szCs w:val="21"/>
              </w:rPr>
              <w:t>Aerovane</w:t>
            </w:r>
            <w:r>
              <w:rPr>
                <w:rFonts w:ascii="宋体" w:hAnsi="宋体" w:cs="宋体" w:eastAsia="宋体" w:hint="default"/>
                <w:spacing w:val="-18"/>
                <w:sz w:val="21"/>
                <w:szCs w:val="21"/>
              </w:rPr>
              <w:t> </w:t>
            </w:r>
            <w:r>
              <w:rPr>
                <w:rFonts w:ascii="宋体" w:hAnsi="宋体" w:cs="宋体" w:eastAsia="宋体" w:hint="default"/>
                <w:sz w:val="21"/>
                <w:szCs w:val="21"/>
              </w:rPr>
              <w:t>Company</w:t>
            </w:r>
            <w:r>
              <w:rPr>
                <w:rFonts w:ascii="宋体" w:hAnsi="宋体" w:cs="宋体" w:eastAsia="宋体" w:hint="default"/>
                <w:spacing w:val="-18"/>
                <w:sz w:val="21"/>
                <w:szCs w:val="21"/>
              </w:rPr>
              <w:t> </w:t>
            </w:r>
            <w:r>
              <w:rPr>
                <w:rFonts w:ascii="宋体" w:hAnsi="宋体" w:cs="宋体" w:eastAsia="宋体" w:hint="default"/>
                <w:sz w:val="21"/>
                <w:szCs w:val="21"/>
              </w:rPr>
              <w:t>Limited</w:t>
            </w:r>
            <w:r>
              <w:rPr>
                <w:rFonts w:ascii="宋体" w:hAnsi="宋体" w:cs="宋体" w:eastAsia="宋体" w:hint="default"/>
                <w:spacing w:val="-53"/>
                <w:sz w:val="21"/>
                <w:szCs w:val="21"/>
              </w:rPr>
              <w:t> </w:t>
            </w:r>
            <w:r>
              <w:rPr>
                <w:rFonts w:ascii="宋体" w:hAnsi="宋体" w:cs="宋体" w:eastAsia="宋体" w:hint="default"/>
                <w:sz w:val="21"/>
                <w:szCs w:val="21"/>
              </w:rPr>
              <w:t>所持</w:t>
            </w:r>
            <w:r>
              <w:rPr>
                <w:rFonts w:ascii="宋体" w:hAnsi="宋体" w:cs="宋体" w:eastAsia="宋体" w:hint="default"/>
                <w:w w:val="100"/>
                <w:sz w:val="21"/>
                <w:szCs w:val="21"/>
              </w:rPr>
              <w:t> </w:t>
            </w:r>
            <w:r>
              <w:rPr>
                <w:rFonts w:ascii="宋体" w:hAnsi="宋体" w:cs="宋体" w:eastAsia="宋体" w:hint="default"/>
                <w:sz w:val="21"/>
                <w:szCs w:val="21"/>
              </w:rPr>
              <w:t>360 Finance,</w:t>
            </w:r>
            <w:r>
              <w:rPr>
                <w:rFonts w:ascii="宋体" w:hAnsi="宋体" w:cs="宋体" w:eastAsia="宋体" w:hint="default"/>
                <w:spacing w:val="-6"/>
                <w:sz w:val="21"/>
                <w:szCs w:val="21"/>
              </w:rPr>
              <w:t> </w:t>
            </w:r>
            <w:r>
              <w:rPr>
                <w:rFonts w:ascii="宋体" w:hAnsi="宋体" w:cs="宋体" w:eastAsia="宋体" w:hint="default"/>
                <w:sz w:val="21"/>
                <w:szCs w:val="21"/>
              </w:rPr>
              <w:t>Inc.</w:t>
            </w:r>
            <w:r>
              <w:rPr>
                <w:rFonts w:ascii="宋体" w:hAnsi="宋体" w:cs="宋体" w:eastAsia="宋体" w:hint="default"/>
                <w:sz w:val="21"/>
                <w:szCs w:val="21"/>
              </w:rPr>
              <w:t>的股份共享投票权和处置权）</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3"/>
        <w:rPr>
          <w:rFonts w:ascii="宋体" w:hAnsi="宋体" w:cs="宋体" w:eastAsia="宋体" w:hint="default"/>
          <w:sz w:val="20"/>
          <w:szCs w:val="20"/>
        </w:rPr>
      </w:pPr>
    </w:p>
    <w:p>
      <w:pPr>
        <w:pStyle w:val="Heading2"/>
        <w:tabs>
          <w:tab w:pos="637" w:val="left" w:leader="none"/>
        </w:tabs>
        <w:spacing w:line="240" w:lineRule="auto" w:before="26"/>
        <w:ind w:right="234"/>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64"/>
        <w:ind w:left="218" w:right="234"/>
        <w:jc w:val="left"/>
      </w:pPr>
      <w:r>
        <w:rPr/>
        <w:t>□适用</w:t>
      </w:r>
      <w:r>
        <w:rPr>
          <w:spacing w:val="-1"/>
        </w:rPr>
        <w:t> </w:t>
      </w:r>
      <w:r>
        <w:rPr/>
        <w:t>√不适用</w:t>
      </w:r>
    </w:p>
    <w:p>
      <w:pPr>
        <w:pStyle w:val="Heading2"/>
        <w:tabs>
          <w:tab w:pos="637" w:val="left" w:leader="none"/>
        </w:tabs>
        <w:spacing w:line="240" w:lineRule="auto" w:before="50"/>
        <w:ind w:right="234"/>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1060" w:val="left" w:leader="none"/>
        </w:tabs>
        <w:spacing w:line="240" w:lineRule="auto" w:before="64"/>
        <w:ind w:left="218" w:right="234"/>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tabs>
          <w:tab w:pos="637" w:val="left" w:leader="none"/>
        </w:tabs>
        <w:spacing w:line="240" w:lineRule="auto"/>
        <w:ind w:right="234"/>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060" w:val="left" w:leader="none"/>
        </w:tabs>
        <w:spacing w:line="274" w:lineRule="exact" w:before="61"/>
        <w:ind w:left="218" w:right="234"/>
        <w:jc w:val="left"/>
      </w:pPr>
      <w:r>
        <w:rPr>
          <w:spacing w:val="-1"/>
        </w:rPr>
        <w:t>√适用</w:t>
        <w:tab/>
      </w:r>
      <w:r>
        <w:rPr>
          <w:spacing w:val="-2"/>
        </w:rPr>
        <w:t>□不适用</w:t>
      </w:r>
    </w:p>
    <w:p>
      <w:pPr>
        <w:pStyle w:val="BodyText"/>
        <w:spacing w:line="355" w:lineRule="auto"/>
        <w:ind w:left="218" w:right="240" w:firstLine="419"/>
        <w:jc w:val="both"/>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spacing w:val="-55"/>
        </w:rPr>
        <w:t> </w:t>
      </w:r>
      <w:r>
        <w:rPr/>
        <w:t>日，公司控股股东变更为天津奇信志成科技有限公司，详见公司于</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w w:val="100"/>
        </w:rPr>
        <w:t> </w:t>
      </w:r>
      <w:r>
        <w:rPr/>
        <w:t>月</w:t>
      </w:r>
      <w:r>
        <w:rPr>
          <w:spacing w:val="-55"/>
        </w:rPr>
        <w:t> </w:t>
      </w:r>
      <w:r>
        <w:rPr>
          <w:rFonts w:ascii="宋体" w:hAnsi="宋体" w:cs="宋体" w:eastAsia="宋体" w:hint="default"/>
        </w:rPr>
        <w:t>28</w:t>
      </w:r>
      <w:r>
        <w:rPr>
          <w:rFonts w:ascii="宋体" w:hAnsi="宋体" w:cs="宋体" w:eastAsia="宋体" w:hint="default"/>
          <w:spacing w:val="-56"/>
        </w:rPr>
        <w:t> </w:t>
      </w:r>
      <w:r>
        <w:rPr/>
        <w:t>日在上海证券交易所网站</w:t>
      </w:r>
      <w:r>
        <w:rPr>
          <w:spacing w:val="-5"/>
        </w:rPr>
        <w:t> </w:t>
      </w:r>
      <w:r>
        <w:rPr/>
        <w:t>（</w:t>
      </w:r>
      <w:hyperlink r:id="rId10">
        <w:r>
          <w:rPr>
            <w:rFonts w:ascii="宋体" w:hAnsi="宋体" w:cs="宋体" w:eastAsia="宋体" w:hint="default"/>
          </w:rPr>
          <w:t>www.sse.com.cn</w:t>
        </w:r>
      </w:hyperlink>
      <w:r>
        <w:rPr/>
        <w:t>）披露的《关于重大资产出售、置换及发行股</w:t>
      </w:r>
      <w:r>
        <w:rPr>
          <w:w w:val="100"/>
        </w:rPr>
        <w:t> </w:t>
      </w:r>
      <w:r>
        <w:rPr/>
        <w:t>份购买资产暨关联交易之发行股份购买资产结果暨股份变动的公告》。</w:t>
      </w:r>
    </w:p>
    <w:p>
      <w:pPr>
        <w:pStyle w:val="Heading2"/>
        <w:tabs>
          <w:tab w:pos="637" w:val="left" w:leader="none"/>
        </w:tabs>
        <w:spacing w:line="240" w:lineRule="auto" w:before="88"/>
        <w:ind w:right="234"/>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1060" w:val="left" w:leader="none"/>
        </w:tabs>
        <w:spacing w:line="240" w:lineRule="auto" w:before="61"/>
        <w:ind w:left="218" w:right="234"/>
        <w:jc w:val="left"/>
      </w:pPr>
      <w:r>
        <w:rPr>
          <w:spacing w:val="-1"/>
        </w:rPr>
        <w:t>√适用</w:t>
        <w:tab/>
      </w:r>
      <w:r>
        <w:rPr>
          <w:spacing w:val="-2"/>
        </w:rPr>
        <w:t>□不适用</w:t>
      </w:r>
    </w:p>
    <w:p>
      <w:pPr>
        <w:spacing w:line="240" w:lineRule="auto" w:before="5"/>
        <w:rPr>
          <w:rFonts w:ascii="宋体" w:hAnsi="宋体" w:cs="宋体" w:eastAsia="宋体" w:hint="default"/>
          <w:sz w:val="2"/>
          <w:szCs w:val="2"/>
        </w:rPr>
      </w:pPr>
    </w:p>
    <w:p>
      <w:pPr>
        <w:spacing w:line="2737" w:lineRule="exact"/>
        <w:ind w:left="1978" w:right="0" w:firstLine="0"/>
        <w:rPr>
          <w:rFonts w:ascii="宋体" w:hAnsi="宋体" w:cs="宋体" w:eastAsia="宋体" w:hint="default"/>
          <w:sz w:val="20"/>
          <w:szCs w:val="20"/>
        </w:rPr>
      </w:pPr>
      <w:r>
        <w:rPr>
          <w:rFonts w:ascii="宋体" w:hAnsi="宋体" w:cs="宋体" w:eastAsia="宋体" w:hint="default"/>
          <w:position w:val="-54"/>
          <w:sz w:val="20"/>
          <w:szCs w:val="20"/>
        </w:rPr>
        <w:drawing>
          <wp:inline distT="0" distB="0" distL="0" distR="0">
            <wp:extent cx="3343963" cy="173850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43" cstate="print"/>
                    <a:stretch>
                      <a:fillRect/>
                    </a:stretch>
                  </pic:blipFill>
                  <pic:spPr>
                    <a:xfrm>
                      <a:off x="0" y="0"/>
                      <a:ext cx="3343963" cy="1738502"/>
                    </a:xfrm>
                    <a:prstGeom prst="rect">
                      <a:avLst/>
                    </a:prstGeom>
                  </pic:spPr>
                </pic:pic>
              </a:graphicData>
            </a:graphic>
          </wp:inline>
        </w:drawing>
      </w:r>
      <w:r>
        <w:rPr>
          <w:rFonts w:ascii="宋体" w:hAnsi="宋体" w:cs="宋体" w:eastAsia="宋体" w:hint="default"/>
          <w:position w:val="-54"/>
          <w:sz w:val="20"/>
          <w:szCs w:val="20"/>
        </w:rPr>
      </w:r>
    </w:p>
    <w:p>
      <w:pPr>
        <w:spacing w:after="0" w:line="2737" w:lineRule="exact"/>
        <w:rPr>
          <w:rFonts w:ascii="宋体" w:hAnsi="宋体" w:cs="宋体" w:eastAsia="宋体" w:hint="default"/>
          <w:sz w:val="20"/>
          <w:szCs w:val="20"/>
        </w:rPr>
        <w:sectPr>
          <w:headerReference w:type="default" r:id="rId41"/>
          <w:footerReference w:type="default" r:id="rId42"/>
          <w:pgSz w:w="11910" w:h="16840"/>
          <w:pgMar w:header="855" w:footer="1217" w:top="1320" w:bottom="1400" w:left="1580" w:right="1040"/>
          <w:pgNumType w:start="74"/>
        </w:sectPr>
      </w:pPr>
    </w:p>
    <w:p>
      <w:pPr>
        <w:spacing w:line="240" w:lineRule="auto" w:before="8"/>
        <w:rPr>
          <w:rFonts w:ascii="宋体" w:hAnsi="宋体" w:cs="宋体" w:eastAsia="宋体" w:hint="default"/>
          <w:sz w:val="9"/>
          <w:szCs w:val="9"/>
        </w:rPr>
      </w:pPr>
    </w:p>
    <w:p>
      <w:pPr>
        <w:pStyle w:val="Heading2"/>
        <w:tabs>
          <w:tab w:pos="642" w:val="left" w:leader="none"/>
        </w:tabs>
        <w:spacing w:line="259" w:lineRule="auto" w:before="26"/>
        <w:ind w:right="725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实际控制人情况</w:t>
      </w:r>
      <w:r>
        <w:rPr>
          <w:w w:val="99"/>
        </w:rPr>
        <w:t> </w:t>
      </w:r>
      <w:r>
        <w:rPr>
          <w:rFonts w:ascii="宋体" w:hAnsi="宋体" w:cs="宋体" w:eastAsia="宋体" w:hint="default"/>
          <w:w w:val="95"/>
        </w:rPr>
        <w:t>1</w:t>
        <w:tab/>
      </w:r>
      <w:r>
        <w:rPr/>
        <w:t>法人</w:t>
      </w:r>
      <w:r>
        <w:rPr>
          <w:b w:val="0"/>
          <w:bCs w:val="0"/>
        </w:rPr>
      </w:r>
    </w:p>
    <w:p>
      <w:pPr>
        <w:pStyle w:val="BodyText"/>
        <w:spacing w:line="240" w:lineRule="auto" w:before="45"/>
        <w:ind w:left="218" w:right="7259"/>
        <w:jc w:val="left"/>
      </w:pPr>
      <w:r>
        <w:rPr/>
        <w:t>□适用</w:t>
      </w:r>
      <w:r>
        <w:rPr>
          <w:spacing w:val="-1"/>
        </w:rPr>
        <w:t> </w:t>
      </w:r>
      <w:r>
        <w:rPr/>
        <w:t>√不适用</w:t>
      </w:r>
    </w:p>
    <w:p>
      <w:pPr>
        <w:pStyle w:val="Heading2"/>
        <w:tabs>
          <w:tab w:pos="642" w:val="left" w:leader="none"/>
        </w:tabs>
        <w:spacing w:line="240" w:lineRule="auto" w:before="50"/>
        <w:ind w:right="7259"/>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64"/>
        <w:ind w:left="218" w:right="7259"/>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20"/>
        <w:gridCol w:w="4830"/>
      </w:tblGrid>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周鸿祎</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董事长、总经理</w:t>
            </w:r>
          </w:p>
        </w:tc>
      </w:tr>
      <w:tr>
        <w:trPr>
          <w:trHeight w:val="826"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年曾控股的境内外上市公司情况</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三六零安全科技股份有限公司（</w:t>
            </w:r>
            <w:r>
              <w:rPr>
                <w:rFonts w:ascii="宋体" w:hAnsi="宋体" w:cs="宋体" w:eastAsia="宋体" w:hint="default"/>
                <w:sz w:val="21"/>
                <w:szCs w:val="21"/>
              </w:rPr>
              <w:t>601360</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Qihoo 360 Technology Co.</w:t>
            </w:r>
            <w:r>
              <w:rPr>
                <w:rFonts w:ascii="宋体" w:hAnsi="宋体" w:cs="宋体" w:eastAsia="宋体" w:hint="default"/>
                <w:spacing w:val="-49"/>
                <w:sz w:val="21"/>
                <w:szCs w:val="21"/>
              </w:rPr>
              <w:t> </w:t>
            </w:r>
            <w:r>
              <w:rPr>
                <w:rFonts w:ascii="宋体" w:hAnsi="宋体" w:cs="宋体" w:eastAsia="宋体" w:hint="default"/>
                <w:sz w:val="21"/>
                <w:szCs w:val="21"/>
              </w:rPr>
              <w:t>Ltd.</w:t>
            </w:r>
            <w:r>
              <w:rPr>
                <w:rFonts w:ascii="宋体" w:hAnsi="宋体" w:cs="宋体" w:eastAsia="宋体" w:hint="default"/>
                <w:sz w:val="21"/>
                <w:szCs w:val="21"/>
              </w:rPr>
              <w:t>（</w:t>
            </w:r>
            <w:r>
              <w:rPr>
                <w:rFonts w:ascii="宋体" w:hAnsi="宋体" w:cs="宋体" w:eastAsia="宋体" w:hint="default"/>
                <w:sz w:val="21"/>
                <w:szCs w:val="21"/>
              </w:rPr>
              <w:t>NYSE</w:t>
            </w:r>
            <w:r>
              <w:rPr>
                <w:rFonts w:ascii="宋体" w:hAnsi="宋体" w:cs="宋体" w:eastAsia="宋体" w:hint="default"/>
                <w:sz w:val="21"/>
                <w:szCs w:val="21"/>
              </w:rPr>
              <w:t>：</w:t>
            </w:r>
            <w:r>
              <w:rPr>
                <w:rFonts w:ascii="宋体" w:hAnsi="宋体" w:cs="宋体" w:eastAsia="宋体" w:hint="default"/>
                <w:sz w:val="21"/>
                <w:szCs w:val="21"/>
              </w:rPr>
              <w:t>QIHU</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sz w:val="21"/>
              </w:rPr>
              <w:t>360 Finance, Inc.</w:t>
            </w:r>
            <w:r>
              <w:rPr>
                <w:rFonts w:ascii="宋体"/>
                <w:spacing w:val="-4"/>
                <w:sz w:val="21"/>
              </w:rPr>
              <w:t> </w:t>
            </w:r>
            <w:r>
              <w:rPr>
                <w:rFonts w:ascii="宋体"/>
                <w:sz w:val="21"/>
              </w:rPr>
              <w:t>(NASDAQ:QFIN)</w:t>
            </w:r>
          </w:p>
        </w:tc>
      </w:tr>
    </w:tbl>
    <w:p>
      <w:pPr>
        <w:spacing w:line="240" w:lineRule="auto" w:before="6"/>
        <w:rPr>
          <w:rFonts w:ascii="宋体" w:hAnsi="宋体" w:cs="宋体" w:eastAsia="宋体" w:hint="default"/>
          <w:sz w:val="20"/>
          <w:szCs w:val="20"/>
        </w:rPr>
      </w:pPr>
    </w:p>
    <w:p>
      <w:pPr>
        <w:pStyle w:val="Heading2"/>
        <w:tabs>
          <w:tab w:pos="642" w:val="left" w:leader="none"/>
        </w:tabs>
        <w:spacing w:line="240" w:lineRule="auto" w:before="26"/>
        <w:ind w:right="0"/>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1060" w:val="left" w:leader="none"/>
        </w:tabs>
        <w:spacing w:line="240" w:lineRule="auto" w:before="61"/>
        <w:ind w:left="218" w:right="7259"/>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tabs>
          <w:tab w:pos="642" w:val="left" w:leader="none"/>
        </w:tabs>
        <w:spacing w:line="240" w:lineRule="auto"/>
        <w:ind w:right="0"/>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1060" w:val="left" w:leader="none"/>
        </w:tabs>
        <w:spacing w:line="274" w:lineRule="exact" w:before="64"/>
        <w:ind w:left="218" w:right="7259"/>
        <w:jc w:val="left"/>
      </w:pPr>
      <w:r>
        <w:rPr>
          <w:spacing w:val="-1"/>
        </w:rPr>
        <w:t>√适用</w:t>
        <w:tab/>
      </w:r>
      <w:r>
        <w:rPr>
          <w:spacing w:val="-2"/>
        </w:rPr>
        <w:t>□不适用</w:t>
      </w:r>
    </w:p>
    <w:p>
      <w:pPr>
        <w:pStyle w:val="BodyText"/>
        <w:spacing w:line="357" w:lineRule="auto"/>
        <w:ind w:left="218" w:right="528" w:firstLine="419"/>
        <w:jc w:val="both"/>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spacing w:val="-55"/>
        </w:rPr>
        <w:t> </w:t>
      </w:r>
      <w:r>
        <w:rPr/>
        <w:t>日，公司实际控制人变更为周鸿祎，详见公司于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4"/>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日在上海证</w:t>
      </w:r>
      <w:r>
        <w:rPr>
          <w:w w:val="100"/>
        </w:rPr>
        <w:t> </w:t>
      </w:r>
      <w:r>
        <w:rPr/>
        <w:t>券交易所网站 </w:t>
      </w:r>
      <w:r>
        <w:rPr>
          <w:spacing w:val="-3"/>
        </w:rPr>
        <w:t>（</w:t>
      </w:r>
      <w:hyperlink r:id="rId10">
        <w:r>
          <w:rPr>
            <w:rFonts w:ascii="宋体" w:hAnsi="宋体" w:cs="宋体" w:eastAsia="宋体" w:hint="default"/>
            <w:spacing w:val="-3"/>
          </w:rPr>
          <w:t>www.sse.com.cn</w:t>
        </w:r>
      </w:hyperlink>
      <w:r>
        <w:rPr>
          <w:spacing w:val="-3"/>
        </w:rPr>
        <w:t>）披露的《关于重大资产出售、置换及发行股份购买资产暨关联</w:t>
      </w:r>
      <w:r>
        <w:rPr>
          <w:spacing w:val="-78"/>
        </w:rPr>
        <w:t> </w:t>
      </w:r>
      <w:r>
        <w:rPr>
          <w:spacing w:val="-78"/>
        </w:rPr>
      </w:r>
      <w:r>
        <w:rPr/>
        <w:t>交易之发行股份购买资产结果暨股份变动的公告》。</w:t>
      </w:r>
    </w:p>
    <w:p>
      <w:pPr>
        <w:spacing w:line="240" w:lineRule="auto" w:before="4"/>
        <w:rPr>
          <w:rFonts w:ascii="宋体" w:hAnsi="宋体" w:cs="宋体" w:eastAsia="宋体" w:hint="default"/>
          <w:sz w:val="27"/>
          <w:szCs w:val="27"/>
        </w:rPr>
      </w:pPr>
    </w:p>
    <w:p>
      <w:pPr>
        <w:pStyle w:val="Heading2"/>
        <w:tabs>
          <w:tab w:pos="642" w:val="left" w:leader="none"/>
        </w:tabs>
        <w:spacing w:line="240" w:lineRule="auto"/>
        <w:ind w:right="0"/>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1060" w:val="left" w:leader="none"/>
        </w:tabs>
        <w:spacing w:line="240" w:lineRule="auto" w:before="61"/>
        <w:ind w:left="218" w:right="7259"/>
        <w:jc w:val="left"/>
      </w:pPr>
      <w:r>
        <w:rPr/>
        <w:t>□适用</w:t>
        <w:tab/>
        <w:t>□不适用</w:t>
      </w:r>
    </w:p>
    <w:p>
      <w:pPr>
        <w:spacing w:line="240" w:lineRule="auto" w:before="5"/>
        <w:rPr>
          <w:rFonts w:ascii="宋体" w:hAnsi="宋体" w:cs="宋体" w:eastAsia="宋体" w:hint="default"/>
          <w:sz w:val="2"/>
          <w:szCs w:val="2"/>
        </w:rPr>
      </w:pPr>
    </w:p>
    <w:p>
      <w:pPr>
        <w:spacing w:line="3586" w:lineRule="exact"/>
        <w:ind w:left="217" w:right="0" w:firstLine="0"/>
        <w:rPr>
          <w:rFonts w:ascii="宋体" w:hAnsi="宋体" w:cs="宋体" w:eastAsia="宋体" w:hint="default"/>
          <w:sz w:val="20"/>
          <w:szCs w:val="20"/>
        </w:rPr>
      </w:pPr>
      <w:r>
        <w:rPr>
          <w:rFonts w:ascii="宋体" w:hAnsi="宋体" w:cs="宋体" w:eastAsia="宋体" w:hint="default"/>
          <w:position w:val="-71"/>
          <w:sz w:val="20"/>
          <w:szCs w:val="20"/>
        </w:rPr>
        <w:drawing>
          <wp:inline distT="0" distB="0" distL="0" distR="0">
            <wp:extent cx="5891898" cy="2277237"/>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44" cstate="print"/>
                    <a:stretch>
                      <a:fillRect/>
                    </a:stretch>
                  </pic:blipFill>
                  <pic:spPr>
                    <a:xfrm>
                      <a:off x="0" y="0"/>
                      <a:ext cx="5891898" cy="2277237"/>
                    </a:xfrm>
                    <a:prstGeom prst="rect">
                      <a:avLst/>
                    </a:prstGeom>
                  </pic:spPr>
                </pic:pic>
              </a:graphicData>
            </a:graphic>
          </wp:inline>
        </w:drawing>
      </w:r>
      <w:r>
        <w:rPr>
          <w:rFonts w:ascii="宋体" w:hAnsi="宋体" w:cs="宋体" w:eastAsia="宋体" w:hint="default"/>
          <w:position w:val="-71"/>
          <w:sz w:val="20"/>
          <w:szCs w:val="20"/>
        </w:rPr>
      </w:r>
    </w:p>
    <w:p>
      <w:pPr>
        <w:spacing w:line="240" w:lineRule="auto" w:before="13"/>
        <w:rPr>
          <w:rFonts w:ascii="宋体" w:hAnsi="宋体" w:cs="宋体" w:eastAsia="宋体" w:hint="default"/>
          <w:sz w:val="21"/>
          <w:szCs w:val="21"/>
        </w:rPr>
      </w:pPr>
    </w:p>
    <w:p>
      <w:pPr>
        <w:pStyle w:val="Heading2"/>
        <w:tabs>
          <w:tab w:pos="642" w:val="left" w:leader="none"/>
        </w:tabs>
        <w:spacing w:line="240" w:lineRule="auto"/>
        <w:ind w:right="0"/>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1060" w:val="left" w:leader="none"/>
        </w:tabs>
        <w:spacing w:line="240" w:lineRule="auto" w:before="64"/>
        <w:ind w:left="218" w:right="7259"/>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1060" w:val="left" w:leader="none"/>
        </w:tabs>
        <w:spacing w:line="240" w:lineRule="auto" w:before="31"/>
        <w:ind w:left="218" w:right="7259"/>
        <w:jc w:val="left"/>
      </w:pPr>
      <w:r>
        <w:rPr>
          <w:spacing w:val="-1"/>
        </w:rPr>
        <w:t>□适用</w:t>
        <w:tab/>
      </w:r>
      <w:r>
        <w:rPr>
          <w:spacing w:val="-2"/>
        </w:rPr>
        <w:t>√不适用</w:t>
      </w:r>
    </w:p>
    <w:p>
      <w:pPr>
        <w:spacing w:after="0" w:line="240" w:lineRule="auto"/>
        <w:jc w:val="left"/>
        <w:sectPr>
          <w:pgSz w:w="11910" w:h="16840"/>
          <w:pgMar w:header="855" w:footer="1217" w:top="1320" w:bottom="1400" w:left="1580" w:right="740"/>
        </w:sectPr>
      </w:pPr>
    </w:p>
    <w:p>
      <w:pPr>
        <w:spacing w:line="240" w:lineRule="auto" w:before="8"/>
        <w:rPr>
          <w:rFonts w:ascii="宋体" w:hAnsi="宋体" w:cs="宋体" w:eastAsia="宋体" w:hint="default"/>
          <w:sz w:val="9"/>
          <w:szCs w:val="9"/>
        </w:rPr>
      </w:pPr>
    </w:p>
    <w:p>
      <w:pPr>
        <w:pStyle w:val="Heading2"/>
        <w:tabs>
          <w:tab w:pos="977" w:val="left" w:leader="none"/>
        </w:tabs>
        <w:spacing w:line="240" w:lineRule="auto" w:before="26"/>
        <w:ind w:left="138" w:right="0"/>
        <w:jc w:val="left"/>
        <w:rPr>
          <w:b w:val="0"/>
          <w:bCs w:val="0"/>
        </w:rPr>
      </w:pPr>
      <w:r>
        <w:rPr/>
        <w:t>五、</w:t>
        <w:tab/>
        <w:t>其他持股在百分之十以上的法人股东</w:t>
      </w:r>
      <w:r>
        <w:rPr>
          <w:b w:val="0"/>
          <w:bCs w:val="0"/>
        </w:rPr>
      </w:r>
    </w:p>
    <w:p>
      <w:pPr>
        <w:pStyle w:val="BodyText"/>
        <w:spacing w:line="240" w:lineRule="auto" w:before="64"/>
        <w:ind w:right="0"/>
        <w:jc w:val="left"/>
      </w:pPr>
      <w:r>
        <w:rPr/>
        <w:t>□适用</w:t>
      </w:r>
      <w:r>
        <w:rPr>
          <w:spacing w:val="-1"/>
        </w:rPr>
        <w:t> </w:t>
      </w:r>
      <w:r>
        <w:rPr/>
        <w:t>√不适用</w:t>
      </w:r>
    </w:p>
    <w:p>
      <w:pPr>
        <w:spacing w:line="240" w:lineRule="auto" w:before="9"/>
        <w:rPr>
          <w:rFonts w:ascii="宋体" w:hAnsi="宋体" w:cs="宋体" w:eastAsia="宋体" w:hint="default"/>
          <w:sz w:val="29"/>
          <w:szCs w:val="29"/>
        </w:rPr>
      </w:pPr>
    </w:p>
    <w:p>
      <w:pPr>
        <w:pStyle w:val="Heading2"/>
        <w:tabs>
          <w:tab w:pos="977" w:val="left" w:leader="none"/>
        </w:tabs>
        <w:spacing w:line="240" w:lineRule="auto"/>
        <w:ind w:left="138" w:right="0"/>
        <w:jc w:val="left"/>
        <w:rPr>
          <w:b w:val="0"/>
          <w:bCs w:val="0"/>
        </w:rPr>
      </w:pPr>
      <w:r>
        <w:rPr/>
        <w:t>六、</w:t>
        <w:tab/>
        <w:t>股份限制减持情况说明</w:t>
      </w:r>
      <w:r>
        <w:rPr>
          <w:b w:val="0"/>
          <w:bCs w:val="0"/>
        </w:rPr>
      </w:r>
    </w:p>
    <w:p>
      <w:pPr>
        <w:pStyle w:val="BodyText"/>
        <w:spacing w:line="240" w:lineRule="auto" w:before="61"/>
        <w:ind w:right="0"/>
        <w:jc w:val="left"/>
      </w:pPr>
      <w:r>
        <w:rPr/>
        <w:t>□适用</w:t>
      </w:r>
      <w:r>
        <w:rPr>
          <w:spacing w:val="-1"/>
        </w:rPr>
        <w:t> </w:t>
      </w:r>
      <w:r>
        <w:rPr/>
        <w:t>√不适用</w:t>
      </w:r>
    </w:p>
    <w:p>
      <w:pPr>
        <w:spacing w:line="240" w:lineRule="auto" w:before="1"/>
        <w:rPr>
          <w:rFonts w:ascii="宋体" w:hAnsi="宋体" w:cs="宋体" w:eastAsia="宋体" w:hint="default"/>
          <w:sz w:val="24"/>
          <w:szCs w:val="24"/>
        </w:rPr>
      </w:pPr>
    </w:p>
    <w:p>
      <w:pPr>
        <w:pStyle w:val="Heading1"/>
        <w:tabs>
          <w:tab w:pos="4199" w:val="left" w:leader="none"/>
        </w:tabs>
        <w:spacing w:line="240" w:lineRule="auto" w:before="0"/>
        <w:ind w:left="2939"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4"/>
        <w:rPr>
          <w:rFonts w:ascii="黑体" w:hAnsi="黑体" w:cs="黑体" w:eastAsia="黑体" w:hint="default"/>
          <w:b/>
          <w:bCs/>
          <w:sz w:val="19"/>
          <w:szCs w:val="19"/>
        </w:rPr>
      </w:pPr>
    </w:p>
    <w:p>
      <w:pPr>
        <w:pStyle w:val="BodyText"/>
        <w:spacing w:line="240" w:lineRule="auto"/>
        <w:ind w:right="0"/>
        <w:jc w:val="left"/>
      </w:pPr>
      <w:r>
        <w:rPr/>
        <w:t>□适用</w:t>
      </w:r>
      <w:r>
        <w:rPr>
          <w:spacing w:val="-1"/>
        </w:rPr>
        <w:t> </w:t>
      </w:r>
      <w:r>
        <w:rPr/>
        <w:t>√不适用</w:t>
      </w:r>
    </w:p>
    <w:p>
      <w:pPr>
        <w:spacing w:after="0" w:line="240" w:lineRule="auto"/>
        <w:jc w:val="left"/>
        <w:sectPr>
          <w:pgSz w:w="11910" w:h="16840"/>
          <w:pgMar w:header="855" w:footer="1217" w:top="1320" w:bottom="1400" w:left="1660" w:right="1160"/>
        </w:sectPr>
      </w:pPr>
    </w:p>
    <w:p>
      <w:pPr>
        <w:spacing w:line="240" w:lineRule="auto" w:before="0"/>
        <w:rPr>
          <w:rFonts w:ascii="宋体" w:hAnsi="宋体" w:cs="宋体" w:eastAsia="宋体" w:hint="default"/>
          <w:sz w:val="20"/>
          <w:szCs w:val="20"/>
        </w:rPr>
      </w:pPr>
    </w:p>
    <w:p>
      <w:pPr>
        <w:pStyle w:val="Heading1"/>
        <w:tabs>
          <w:tab w:pos="5337" w:val="left" w:leader="none"/>
        </w:tabs>
        <w:spacing w:line="240" w:lineRule="auto" w:before="153"/>
        <w:ind w:left="4077"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45"/>
          <w:footerReference w:type="default" r:id="rId46"/>
          <w:pgSz w:w="16840" w:h="11910" w:orient="landscape"/>
          <w:pgMar w:header="857" w:footer="1218" w:top="1320" w:bottom="1400" w:left="1280" w:right="1360"/>
          <w:pgNumType w:start="77"/>
        </w:sectPr>
      </w:pPr>
    </w:p>
    <w:p>
      <w:pPr>
        <w:pStyle w:val="Heading5"/>
        <w:spacing w:line="240" w:lineRule="auto" w:before="36"/>
        <w:ind w:left="160" w:right="-16"/>
        <w:jc w:val="left"/>
        <w:rPr>
          <w:b w:val="0"/>
          <w:bCs w:val="0"/>
        </w:rPr>
      </w:pPr>
      <w:r>
        <w:rPr/>
        <w:t>一、持股变动情况及报酬情况</w:t>
      </w:r>
      <w:r>
        <w:rPr>
          <w:b w:val="0"/>
          <w:bCs w:val="0"/>
        </w:rPr>
      </w:r>
    </w:p>
    <w:p>
      <w:pPr>
        <w:pStyle w:val="Heading5"/>
        <w:spacing w:line="240" w:lineRule="auto" w:before="56"/>
        <w:ind w:left="160" w:right="-1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9"/>
        </w:rPr>
        <w:t> </w:t>
      </w:r>
      <w:r>
        <w:rPr/>
        <w:t>现任及报告期内离任董事、监事和高级管理人员持股变动及报酬情况</w:t>
      </w:r>
      <w:r>
        <w:rPr>
          <w:b w:val="0"/>
          <w:bCs w:val="0"/>
        </w:rPr>
      </w:r>
    </w:p>
    <w:p>
      <w:pPr>
        <w:pStyle w:val="BodyText"/>
        <w:spacing w:line="240" w:lineRule="auto" w:before="32"/>
        <w:ind w:left="160"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60" w:right="0"/>
        <w:jc w:val="left"/>
      </w:pPr>
      <w:r>
        <w:rPr/>
        <w:t>单位：股</w:t>
      </w:r>
    </w:p>
    <w:p>
      <w:pPr>
        <w:spacing w:after="0" w:line="240" w:lineRule="auto"/>
        <w:jc w:val="left"/>
        <w:sectPr>
          <w:type w:val="continuous"/>
          <w:pgSz w:w="16840" w:h="11910" w:orient="landscape"/>
          <w:pgMar w:top="1320" w:bottom="1400" w:left="1280" w:right="1360"/>
          <w:cols w:num="2" w:equalWidth="0">
            <w:col w:w="6907" w:space="6127"/>
            <w:col w:w="116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320"/>
        <w:gridCol w:w="1090"/>
        <w:gridCol w:w="569"/>
        <w:gridCol w:w="567"/>
        <w:gridCol w:w="1274"/>
        <w:gridCol w:w="1555"/>
        <w:gridCol w:w="1419"/>
        <w:gridCol w:w="1702"/>
        <w:gridCol w:w="1417"/>
        <w:gridCol w:w="852"/>
        <w:gridCol w:w="1279"/>
        <w:gridCol w:w="917"/>
      </w:tblGrid>
      <w:tr>
        <w:trPr>
          <w:trHeight w:val="1100"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2" w:right="173"/>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0" w:right="173"/>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7" w:right="101"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年初持股数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年末持股数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5" w:right="176"/>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101"/>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动原因</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05" w:right="108"/>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both"/>
              <w:rPr>
                <w:rFonts w:ascii="宋体" w:hAnsi="宋体" w:cs="宋体" w:eastAsia="宋体" w:hint="default"/>
                <w:sz w:val="21"/>
                <w:szCs w:val="21"/>
              </w:rPr>
            </w:pPr>
            <w:r>
              <w:rPr>
                <w:rFonts w:ascii="宋体" w:hAnsi="宋体" w:cs="宋体" w:eastAsia="宋体" w:hint="default"/>
                <w:sz w:val="21"/>
                <w:szCs w:val="21"/>
              </w:rPr>
              <w:t>是否在</w:t>
            </w:r>
          </w:p>
          <w:p>
            <w:pPr>
              <w:pStyle w:val="TableParagraph"/>
              <w:spacing w:line="237" w:lineRule="auto"/>
              <w:ind w:left="139" w:right="132"/>
              <w:jc w:val="both"/>
              <w:rPr>
                <w:rFonts w:ascii="宋体" w:hAnsi="宋体" w:cs="宋体" w:eastAsia="宋体" w:hint="default"/>
                <w:sz w:val="21"/>
                <w:szCs w:val="21"/>
              </w:rPr>
            </w:pPr>
            <w:r>
              <w:rPr>
                <w:rFonts w:ascii="宋体" w:hAnsi="宋体" w:cs="宋体" w:eastAsia="宋体" w:hint="default"/>
                <w:sz w:val="21"/>
                <w:szCs w:val="21"/>
              </w:rPr>
              <w:t>公司关</w:t>
            </w:r>
            <w:r>
              <w:rPr>
                <w:rFonts w:ascii="宋体" w:hAnsi="宋体" w:cs="宋体" w:eastAsia="宋体" w:hint="default"/>
                <w:spacing w:val="-102"/>
                <w:sz w:val="21"/>
                <w:szCs w:val="21"/>
              </w:rPr>
              <w:t> </w:t>
            </w:r>
            <w:r>
              <w:rPr>
                <w:rFonts w:ascii="宋体" w:hAnsi="宋体" w:cs="宋体" w:eastAsia="宋体" w:hint="default"/>
                <w:sz w:val="21"/>
                <w:szCs w:val="21"/>
              </w:rPr>
              <w:t>联方获</w:t>
            </w:r>
            <w:r>
              <w:rPr>
                <w:rFonts w:ascii="宋体" w:hAnsi="宋体" w:cs="宋体" w:eastAsia="宋体" w:hint="default"/>
                <w:spacing w:val="-102"/>
                <w:sz w:val="21"/>
                <w:szCs w:val="21"/>
              </w:rPr>
              <w:t> </w:t>
            </w:r>
            <w:r>
              <w:rPr>
                <w:rFonts w:ascii="宋体" w:hAnsi="宋体" w:cs="宋体" w:eastAsia="宋体" w:hint="default"/>
                <w:sz w:val="21"/>
                <w:szCs w:val="21"/>
              </w:rPr>
              <w:t>取报酬</w:t>
            </w:r>
          </w:p>
        </w:tc>
      </w:tr>
      <w:tr>
        <w:trPr>
          <w:trHeight w:val="1370"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周鸿祎</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132"/>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w w:val="100"/>
                <w:sz w:val="21"/>
                <w:szCs w:val="21"/>
              </w:rPr>
              <w:t> </w:t>
            </w:r>
            <w:r>
              <w:rPr>
                <w:rFonts w:ascii="宋体" w:hAnsi="宋体" w:cs="宋体" w:eastAsia="宋体" w:hint="default"/>
                <w:sz w:val="21"/>
                <w:szCs w:val="21"/>
              </w:rPr>
              <w:t>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21"/>
                <w:szCs w:val="21"/>
              </w:rPr>
            </w:pPr>
            <w:r>
              <w:rPr>
                <w:rFonts w:ascii="宋体"/>
                <w:sz w:val="21"/>
              </w:rPr>
              <w:t>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sz w:val="21"/>
              </w:rPr>
              <w:t>2018-2-22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2021-2-21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821,281,583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821,281,583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重大资</w:t>
            </w:r>
            <w:r>
              <w:rPr>
                <w:rFonts w:ascii="宋体" w:hAnsi="宋体" w:cs="宋体" w:eastAsia="宋体" w:hint="default"/>
                <w:sz w:val="21"/>
                <w:szCs w:val="21"/>
              </w:rPr>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产重组</w:t>
            </w:r>
            <w:r>
              <w:rPr>
                <w:rFonts w:ascii="宋体" w:hAnsi="宋体" w:cs="宋体" w:eastAsia="宋体" w:hint="default"/>
                <w:spacing w:val="-102"/>
                <w:sz w:val="21"/>
                <w:szCs w:val="21"/>
              </w:rPr>
              <w:t> </w:t>
            </w:r>
            <w:r>
              <w:rPr>
                <w:rFonts w:ascii="宋体" w:hAnsi="宋体" w:cs="宋体" w:eastAsia="宋体" w:hint="default"/>
                <w:spacing w:val="2"/>
                <w:sz w:val="21"/>
                <w:szCs w:val="21"/>
              </w:rPr>
              <w:t>取得的</w:t>
            </w:r>
            <w:r>
              <w:rPr>
                <w:rFonts w:ascii="宋体" w:hAnsi="宋体" w:cs="宋体" w:eastAsia="宋体" w:hint="default"/>
                <w:spacing w:val="-102"/>
                <w:sz w:val="21"/>
                <w:szCs w:val="21"/>
              </w:rPr>
              <w:t> </w:t>
            </w:r>
            <w:r>
              <w:rPr>
                <w:rFonts w:ascii="宋体" w:hAnsi="宋体" w:cs="宋体" w:eastAsia="宋体" w:hint="default"/>
                <w:spacing w:val="2"/>
                <w:sz w:val="21"/>
                <w:szCs w:val="21"/>
              </w:rPr>
              <w:t>上市公</w:t>
            </w:r>
            <w:r>
              <w:rPr>
                <w:rFonts w:ascii="宋体" w:hAnsi="宋体" w:cs="宋体" w:eastAsia="宋体" w:hint="default"/>
                <w:spacing w:val="-102"/>
                <w:sz w:val="21"/>
                <w:szCs w:val="21"/>
              </w:rPr>
              <w:t> </w:t>
            </w:r>
            <w:r>
              <w:rPr>
                <w:rFonts w:ascii="宋体" w:hAnsi="宋体" w:cs="宋体" w:eastAsia="宋体" w:hint="default"/>
                <w:sz w:val="21"/>
                <w:szCs w:val="21"/>
              </w:rPr>
              <w:t>司股份</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z w:val="21"/>
              </w:rPr>
              <w:t>373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6" w:right="0"/>
              <w:jc w:val="center"/>
              <w:rPr>
                <w:rFonts w:ascii="宋体" w:hAnsi="宋体" w:cs="宋体" w:eastAsia="宋体" w:hint="default"/>
                <w:sz w:val="21"/>
                <w:szCs w:val="21"/>
              </w:rPr>
            </w:pPr>
            <w:r>
              <w:rPr>
                <w:rFonts w:ascii="宋体" w:hAnsi="宋体" w:cs="宋体" w:eastAsia="宋体" w:hint="default"/>
                <w:sz w:val="21"/>
                <w:szCs w:val="21"/>
              </w:rPr>
              <w:t>石晓虹</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center"/>
              <w:rPr>
                <w:rFonts w:ascii="宋体" w:hAnsi="宋体" w:cs="宋体" w:eastAsia="宋体" w:hint="default"/>
                <w:sz w:val="21"/>
                <w:szCs w:val="21"/>
              </w:rPr>
            </w:pPr>
            <w:r>
              <w:rPr>
                <w:rFonts w:ascii="宋体"/>
                <w:sz w:val="21"/>
              </w:rPr>
              <w:t>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sz w:val="21"/>
              </w:rPr>
              <w:t>2018-2-22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2021-2-21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sz w:val="21"/>
              </w:rPr>
              <w:t>86</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SHEN</w:t>
            </w:r>
          </w:p>
          <w:p>
            <w:pPr>
              <w:pStyle w:val="TableParagraph"/>
              <w:spacing w:line="271" w:lineRule="exact"/>
              <w:ind w:left="3" w:right="0"/>
              <w:jc w:val="center"/>
              <w:rPr>
                <w:rFonts w:ascii="宋体" w:hAnsi="宋体" w:cs="宋体" w:eastAsia="宋体" w:hint="default"/>
                <w:sz w:val="21"/>
                <w:szCs w:val="21"/>
              </w:rPr>
            </w:pPr>
            <w:r>
              <w:rPr>
                <w:rFonts w:ascii="宋体"/>
                <w:sz w:val="21"/>
              </w:rPr>
              <w:t>NANPENG</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（沈南鹏）</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sz w:val="21"/>
              </w:rPr>
              <w:t>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2018-2-22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2021-2-21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罗宁</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59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2018-2-22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2021-2-21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5" w:right="0"/>
              <w:jc w:val="left"/>
              <w:rPr>
                <w:rFonts w:ascii="宋体" w:hAnsi="宋体" w:cs="宋体" w:eastAsia="宋体" w:hint="default"/>
                <w:sz w:val="21"/>
                <w:szCs w:val="21"/>
              </w:rPr>
            </w:pPr>
            <w:r>
              <w:rPr>
                <w:rFonts w:ascii="宋体"/>
                <w:sz w:val="21"/>
              </w:rPr>
              <w:t>XUN</w:t>
            </w:r>
            <w:r>
              <w:rPr>
                <w:rFonts w:ascii="宋体"/>
                <w:spacing w:val="1"/>
                <w:sz w:val="21"/>
              </w:rPr>
              <w:t> </w:t>
            </w:r>
            <w:r>
              <w:rPr>
                <w:rFonts w:ascii="宋体"/>
                <w:sz w:val="21"/>
              </w:rPr>
              <w:t>CHEN</w:t>
            </w:r>
          </w:p>
          <w:p>
            <w:pPr>
              <w:pStyle w:val="TableParagraph"/>
              <w:spacing w:line="273" w:lineRule="exact"/>
              <w:ind w:left="235" w:right="0"/>
              <w:jc w:val="left"/>
              <w:rPr>
                <w:rFonts w:ascii="宋体" w:hAnsi="宋体" w:cs="宋体" w:eastAsia="宋体" w:hint="default"/>
                <w:sz w:val="21"/>
                <w:szCs w:val="21"/>
              </w:rPr>
            </w:pPr>
            <w:r>
              <w:rPr>
                <w:rFonts w:ascii="宋体" w:hAnsi="宋体" w:cs="宋体" w:eastAsia="宋体" w:hint="default"/>
                <w:sz w:val="21"/>
                <w:szCs w:val="21"/>
              </w:rPr>
              <w:t>（陈恂）</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宋体" w:hAnsi="宋体" w:cs="宋体" w:eastAsia="宋体" w:hint="default"/>
                <w:sz w:val="21"/>
                <w:szCs w:val="21"/>
              </w:rPr>
            </w:pPr>
            <w:r>
              <w:rPr>
                <w:rFonts w:ascii="宋体"/>
                <w:sz w:val="21"/>
              </w:rPr>
              <w:t>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宋体" w:hAnsi="宋体" w:cs="宋体" w:eastAsia="宋体" w:hint="default"/>
                <w:sz w:val="21"/>
                <w:szCs w:val="21"/>
              </w:rPr>
            </w:pPr>
            <w:r>
              <w:rPr>
                <w:rFonts w:ascii="宋体"/>
                <w:sz w:val="21"/>
              </w:rPr>
              <w:t>2018-2-22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2021-2-21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sz w:val="21"/>
              </w:rPr>
              <w:t>30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center"/>
              <w:rPr>
                <w:rFonts w:ascii="宋体" w:hAnsi="宋体" w:cs="宋体" w:eastAsia="宋体" w:hint="default"/>
                <w:sz w:val="21"/>
                <w:szCs w:val="21"/>
              </w:rPr>
            </w:pPr>
            <w:r>
              <w:rPr>
                <w:rFonts w:ascii="宋体"/>
                <w:sz w:val="21"/>
              </w:rPr>
              <w:t>MING</w:t>
            </w:r>
          </w:p>
          <w:p>
            <w:pPr>
              <w:pStyle w:val="TableParagraph"/>
              <w:spacing w:line="273" w:lineRule="exact"/>
              <w:ind w:left="120" w:right="0"/>
              <w:jc w:val="center"/>
              <w:rPr>
                <w:rFonts w:ascii="宋体" w:hAnsi="宋体" w:cs="宋体" w:eastAsia="宋体" w:hint="default"/>
                <w:sz w:val="21"/>
                <w:szCs w:val="21"/>
              </w:rPr>
            </w:pPr>
            <w:r>
              <w:rPr>
                <w:rFonts w:ascii="宋体"/>
                <w:sz w:val="21"/>
              </w:rPr>
              <w:t>HUANG</w:t>
            </w:r>
          </w:p>
          <w:p>
            <w:pPr>
              <w:pStyle w:val="TableParagraph"/>
              <w:spacing w:line="275" w:lineRule="exact"/>
              <w:ind w:left="3" w:right="0"/>
              <w:jc w:val="center"/>
              <w:rPr>
                <w:rFonts w:ascii="宋体" w:hAnsi="宋体" w:cs="宋体" w:eastAsia="宋体" w:hint="default"/>
                <w:sz w:val="21"/>
                <w:szCs w:val="21"/>
              </w:rPr>
            </w:pPr>
            <w:r>
              <w:rPr>
                <w:rFonts w:ascii="宋体" w:hAnsi="宋体" w:cs="宋体" w:eastAsia="宋体" w:hint="default"/>
                <w:sz w:val="21"/>
                <w:szCs w:val="21"/>
              </w:rPr>
              <w:t>（黄明）</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sz w:val="21"/>
              </w:rPr>
              <w:t>54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2018-2-22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2021-2-21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z w:val="21"/>
              </w:rPr>
              <w:t>30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firstLine="76"/>
              <w:jc w:val="left"/>
              <w:rPr>
                <w:rFonts w:ascii="宋体" w:hAnsi="宋体" w:cs="宋体" w:eastAsia="宋体" w:hint="default"/>
                <w:sz w:val="21"/>
                <w:szCs w:val="21"/>
              </w:rPr>
            </w:pPr>
            <w:r>
              <w:rPr>
                <w:rFonts w:ascii="宋体" w:hAnsi="宋体" w:cs="宋体" w:eastAsia="宋体" w:hint="default"/>
                <w:sz w:val="21"/>
                <w:szCs w:val="21"/>
              </w:rPr>
              <w:t>刘贵彬</w:t>
            </w:r>
          </w:p>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备注</w:t>
            </w:r>
            <w:r>
              <w:rPr>
                <w:rFonts w:ascii="宋体" w:hAnsi="宋体" w:cs="宋体" w:eastAsia="宋体" w:hint="default"/>
                <w:spacing w:val="-51"/>
                <w:sz w:val="21"/>
                <w:szCs w:val="21"/>
              </w:rPr>
              <w:t> </w:t>
            </w:r>
            <w:r>
              <w:rPr>
                <w:rFonts w:ascii="宋体" w:hAnsi="宋体" w:cs="宋体" w:eastAsia="宋体" w:hint="default"/>
                <w:sz w:val="21"/>
                <w:szCs w:val="21"/>
              </w:rPr>
              <w:t>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52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2018-2-22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2021-2-21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30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张莉</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38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2018-2-22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2021-2-21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177</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left"/>
        <w:rPr>
          <w:rFonts w:ascii="宋体" w:hAnsi="宋体" w:cs="宋体" w:eastAsia="宋体" w:hint="default"/>
          <w:sz w:val="21"/>
          <w:szCs w:val="21"/>
        </w:rPr>
        <w:sectPr>
          <w:type w:val="continuous"/>
          <w:pgSz w:w="16840" w:h="11910" w:orient="landscape"/>
          <w:pgMar w:top="1320" w:bottom="1400" w:left="1280" w:right="13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11" w:type="dxa"/>
        <w:tblLayout w:type="fixed"/>
        <w:tblCellMar>
          <w:top w:w="0" w:type="dxa"/>
          <w:left w:w="0" w:type="dxa"/>
          <w:bottom w:w="0" w:type="dxa"/>
          <w:right w:w="0" w:type="dxa"/>
        </w:tblCellMar>
        <w:tblLook w:val="01E0"/>
      </w:tblPr>
      <w:tblGrid>
        <w:gridCol w:w="1320"/>
        <w:gridCol w:w="1090"/>
        <w:gridCol w:w="569"/>
        <w:gridCol w:w="567"/>
        <w:gridCol w:w="1274"/>
        <w:gridCol w:w="1555"/>
        <w:gridCol w:w="1419"/>
        <w:gridCol w:w="1702"/>
        <w:gridCol w:w="1417"/>
        <w:gridCol w:w="852"/>
        <w:gridCol w:w="1279"/>
        <w:gridCol w:w="917"/>
      </w:tblGrid>
      <w:tr>
        <w:trPr>
          <w:trHeight w:val="1099"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72" w:right="173"/>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70" w:right="173"/>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7" w:right="101"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4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77" w:right="0"/>
              <w:jc w:val="left"/>
              <w:rPr>
                <w:rFonts w:ascii="宋体" w:hAnsi="宋体" w:cs="宋体" w:eastAsia="宋体" w:hint="default"/>
                <w:sz w:val="21"/>
                <w:szCs w:val="21"/>
              </w:rPr>
            </w:pPr>
            <w:r>
              <w:rPr>
                <w:rFonts w:ascii="宋体" w:hAnsi="宋体" w:cs="宋体" w:eastAsia="宋体" w:hint="default"/>
                <w:sz w:val="21"/>
                <w:szCs w:val="21"/>
              </w:rPr>
              <w:t>年初持股数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319" w:right="0"/>
              <w:jc w:val="left"/>
              <w:rPr>
                <w:rFonts w:ascii="宋体" w:hAnsi="宋体" w:cs="宋体" w:eastAsia="宋体" w:hint="default"/>
                <w:sz w:val="21"/>
                <w:szCs w:val="21"/>
              </w:rPr>
            </w:pPr>
            <w:r>
              <w:rPr>
                <w:rFonts w:ascii="宋体" w:hAnsi="宋体" w:cs="宋体" w:eastAsia="宋体" w:hint="default"/>
                <w:sz w:val="21"/>
                <w:szCs w:val="21"/>
              </w:rPr>
              <w:t>年末持股数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75" w:right="176"/>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5" w:right="101"/>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动原因</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05" w:right="108"/>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both"/>
              <w:rPr>
                <w:rFonts w:ascii="宋体" w:hAnsi="宋体" w:cs="宋体" w:eastAsia="宋体" w:hint="default"/>
                <w:sz w:val="21"/>
                <w:szCs w:val="21"/>
              </w:rPr>
            </w:pPr>
            <w:r>
              <w:rPr>
                <w:rFonts w:ascii="宋体" w:hAnsi="宋体" w:cs="宋体" w:eastAsia="宋体" w:hint="default"/>
                <w:sz w:val="21"/>
                <w:szCs w:val="21"/>
              </w:rPr>
              <w:t>是否在</w:t>
            </w:r>
          </w:p>
          <w:p>
            <w:pPr>
              <w:pStyle w:val="TableParagraph"/>
              <w:spacing w:line="237" w:lineRule="auto"/>
              <w:ind w:left="139" w:right="132"/>
              <w:jc w:val="both"/>
              <w:rPr>
                <w:rFonts w:ascii="宋体" w:hAnsi="宋体" w:cs="宋体" w:eastAsia="宋体" w:hint="default"/>
                <w:sz w:val="21"/>
                <w:szCs w:val="21"/>
              </w:rPr>
            </w:pPr>
            <w:r>
              <w:rPr>
                <w:rFonts w:ascii="宋体" w:hAnsi="宋体" w:cs="宋体" w:eastAsia="宋体" w:hint="default"/>
                <w:sz w:val="21"/>
                <w:szCs w:val="21"/>
              </w:rPr>
              <w:t>公司关</w:t>
            </w:r>
            <w:r>
              <w:rPr>
                <w:rFonts w:ascii="宋体" w:hAnsi="宋体" w:cs="宋体" w:eastAsia="宋体" w:hint="default"/>
                <w:spacing w:val="-102"/>
                <w:sz w:val="21"/>
                <w:szCs w:val="21"/>
              </w:rPr>
              <w:t> </w:t>
            </w:r>
            <w:r>
              <w:rPr>
                <w:rFonts w:ascii="宋体" w:hAnsi="宋体" w:cs="宋体" w:eastAsia="宋体" w:hint="default"/>
                <w:sz w:val="21"/>
                <w:szCs w:val="21"/>
              </w:rPr>
              <w:t>联方获</w:t>
            </w:r>
            <w:r>
              <w:rPr>
                <w:rFonts w:ascii="宋体" w:hAnsi="宋体" w:cs="宋体" w:eastAsia="宋体" w:hint="default"/>
                <w:spacing w:val="-102"/>
                <w:sz w:val="21"/>
                <w:szCs w:val="21"/>
              </w:rPr>
              <w:t> </w:t>
            </w:r>
            <w:r>
              <w:rPr>
                <w:rFonts w:ascii="宋体" w:hAnsi="宋体" w:cs="宋体" w:eastAsia="宋体" w:hint="default"/>
                <w:sz w:val="21"/>
                <w:szCs w:val="21"/>
              </w:rPr>
              <w:t>取报酬</w:t>
            </w:r>
          </w:p>
        </w:tc>
      </w:tr>
      <w:tr>
        <w:trPr>
          <w:trHeight w:val="281"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郑庆生</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41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sz w:val="21"/>
              </w:rPr>
              <w:t>2018-2-22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sz w:val="21"/>
              </w:rPr>
              <w:t>2021-2-21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李宜檑</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sz w:val="21"/>
              </w:rPr>
              <w:t>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2018-2-22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2021-2-21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256</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王巍</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center"/>
              <w:rPr>
                <w:rFonts w:ascii="宋体" w:hAnsi="宋体" w:cs="宋体" w:eastAsia="宋体" w:hint="default"/>
                <w:sz w:val="21"/>
                <w:szCs w:val="21"/>
              </w:rPr>
            </w:pPr>
            <w:r>
              <w:rPr>
                <w:rFonts w:ascii="宋体"/>
                <w:sz w:val="21"/>
              </w:rPr>
              <w:t>36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2018-8-27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2021-2-21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sz w:val="21"/>
              </w:rPr>
              <w:t>99</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张矛</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财务负责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人</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2018-12-10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2021-2-21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37</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谭晓生</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2018-2-22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2021-2-21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531</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姚珏</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2018-2-22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2018-4-13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83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杨超</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宋体" w:hAnsi="宋体" w:cs="宋体" w:eastAsia="宋体" w:hint="default"/>
                <w:sz w:val="21"/>
                <w:szCs w:val="21"/>
              </w:rPr>
            </w:pPr>
            <w:r>
              <w:rPr>
                <w:rFonts w:ascii="宋体"/>
                <w:sz w:val="21"/>
              </w:rPr>
              <w:t>53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2018-2-22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2018-6-30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1"/>
              <w:jc w:val="right"/>
              <w:rPr>
                <w:rFonts w:ascii="宋体" w:hAnsi="宋体" w:cs="宋体" w:eastAsia="宋体" w:hint="default"/>
                <w:sz w:val="21"/>
                <w:szCs w:val="21"/>
              </w:rPr>
            </w:pPr>
            <w:r>
              <w:rPr>
                <w:rFonts w:ascii="宋体"/>
                <w:sz w:val="21"/>
              </w:rPr>
              <w:t>103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廖清红</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2"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center"/>
              <w:rPr>
                <w:rFonts w:ascii="宋体" w:hAnsi="宋体" w:cs="宋体" w:eastAsia="宋体" w:hint="default"/>
                <w:sz w:val="21"/>
                <w:szCs w:val="21"/>
              </w:rPr>
            </w:pPr>
            <w:r>
              <w:rPr>
                <w:rFonts w:ascii="宋体"/>
                <w:sz w:val="21"/>
              </w:rPr>
              <w:t>44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2018-2-22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2018-4-13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209</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张帆</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38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2018-2-22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2018-8-27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616</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曲冰</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53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2018-2-22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2018-12-10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125</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6" w:right="0"/>
              <w:jc w:val="center"/>
              <w:rPr>
                <w:rFonts w:ascii="宋体" w:hAnsi="宋体" w:cs="宋体" w:eastAsia="宋体" w:hint="default"/>
                <w:sz w:val="21"/>
                <w:szCs w:val="21"/>
              </w:rPr>
            </w:pPr>
            <w:r>
              <w:rPr>
                <w:rFonts w:ascii="宋体" w:hAnsi="宋体" w:cs="宋体" w:eastAsia="宋体" w:hint="default"/>
                <w:sz w:val="21"/>
                <w:szCs w:val="21"/>
              </w:rPr>
              <w:t>金志峰</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原董事</w:t>
            </w:r>
          </w:p>
          <w:p>
            <w:pPr>
              <w:pStyle w:val="TableParagraph"/>
              <w:spacing w:line="272" w:lineRule="exact" w:before="27"/>
              <w:ind w:left="103" w:right="132"/>
              <w:jc w:val="left"/>
              <w:rPr>
                <w:rFonts w:ascii="宋体" w:hAnsi="宋体" w:cs="宋体" w:eastAsia="宋体" w:hint="default"/>
                <w:sz w:val="21"/>
                <w:szCs w:val="21"/>
              </w:rPr>
            </w:pPr>
            <w:r>
              <w:rPr>
                <w:rFonts w:ascii="宋体" w:hAnsi="宋体" w:cs="宋体" w:eastAsia="宋体" w:hint="default"/>
                <w:sz w:val="21"/>
                <w:szCs w:val="21"/>
              </w:rPr>
              <w:t>长、总经</w:t>
            </w:r>
            <w:r>
              <w:rPr>
                <w:rFonts w:ascii="宋体" w:hAnsi="宋体" w:cs="宋体" w:eastAsia="宋体" w:hint="default"/>
                <w:w w:val="100"/>
                <w:sz w:val="21"/>
                <w:szCs w:val="21"/>
              </w:rPr>
              <w:t> </w:t>
            </w:r>
            <w:r>
              <w:rPr>
                <w:rFonts w:ascii="宋体" w:hAnsi="宋体" w:cs="宋体" w:eastAsia="宋体" w:hint="default"/>
                <w:sz w:val="21"/>
                <w:szCs w:val="21"/>
              </w:rPr>
              <w:t>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center"/>
              <w:rPr>
                <w:rFonts w:ascii="宋体" w:hAnsi="宋体" w:cs="宋体" w:eastAsia="宋体" w:hint="default"/>
                <w:sz w:val="21"/>
                <w:szCs w:val="21"/>
              </w:rPr>
            </w:pPr>
            <w:r>
              <w:rPr>
                <w:rFonts w:ascii="宋体"/>
                <w:sz w:val="21"/>
              </w:rPr>
              <w:t>47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sz w:val="21"/>
              </w:rPr>
              <w:t>2013-9-22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sz w:val="21"/>
              </w:rPr>
              <w:t>2018-2-22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82,410,872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82,410,872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21.35</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hAnsi="宋体" w:cs="宋体" w:eastAsia="宋体" w:hint="default"/>
                <w:sz w:val="21"/>
                <w:szCs w:val="21"/>
              </w:rPr>
              <w:t>钱金水</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原董事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center"/>
              <w:rPr>
                <w:rFonts w:ascii="宋体" w:hAnsi="宋体" w:cs="宋体" w:eastAsia="宋体" w:hint="default"/>
                <w:sz w:val="21"/>
                <w:szCs w:val="21"/>
              </w:rPr>
            </w:pPr>
            <w:r>
              <w:rPr>
                <w:rFonts w:ascii="宋体"/>
                <w:sz w:val="21"/>
              </w:rPr>
              <w:t>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2013-9-22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2018-2-22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13,530,928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13,530,928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w w:val="100"/>
                <w:sz w:val="21"/>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6" w:right="0"/>
              <w:jc w:val="center"/>
              <w:rPr>
                <w:rFonts w:ascii="宋体" w:hAnsi="宋体" w:cs="宋体" w:eastAsia="宋体" w:hint="default"/>
                <w:sz w:val="21"/>
                <w:szCs w:val="21"/>
              </w:rPr>
            </w:pPr>
            <w:r>
              <w:rPr>
                <w:rFonts w:ascii="宋体" w:hAnsi="宋体" w:cs="宋体" w:eastAsia="宋体" w:hint="default"/>
                <w:sz w:val="21"/>
                <w:szCs w:val="21"/>
              </w:rPr>
              <w:t>金祖铭</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原董事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2013-9-22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2018-2-22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35,032,800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35,032,800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王惠芳</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原董事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68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2013-9-22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2018-2-22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12,976,000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12,976,000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left"/>
        <w:rPr>
          <w:rFonts w:ascii="宋体" w:hAnsi="宋体" w:cs="宋体" w:eastAsia="宋体" w:hint="default"/>
          <w:sz w:val="21"/>
          <w:szCs w:val="21"/>
        </w:rPr>
        <w:sectPr>
          <w:pgSz w:w="16840" w:h="11910" w:orient="landscape"/>
          <w:pgMar w:header="857" w:footer="1218" w:top="1320" w:bottom="1400" w:left="1280" w:right="13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11" w:type="dxa"/>
        <w:tblLayout w:type="fixed"/>
        <w:tblCellMar>
          <w:top w:w="0" w:type="dxa"/>
          <w:left w:w="0" w:type="dxa"/>
          <w:bottom w:w="0" w:type="dxa"/>
          <w:right w:w="0" w:type="dxa"/>
        </w:tblCellMar>
        <w:tblLook w:val="01E0"/>
      </w:tblPr>
      <w:tblGrid>
        <w:gridCol w:w="1320"/>
        <w:gridCol w:w="1090"/>
        <w:gridCol w:w="569"/>
        <w:gridCol w:w="567"/>
        <w:gridCol w:w="1274"/>
        <w:gridCol w:w="1555"/>
        <w:gridCol w:w="1419"/>
        <w:gridCol w:w="1702"/>
        <w:gridCol w:w="1417"/>
        <w:gridCol w:w="852"/>
        <w:gridCol w:w="1279"/>
        <w:gridCol w:w="917"/>
      </w:tblGrid>
      <w:tr>
        <w:trPr>
          <w:trHeight w:val="1099"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72" w:right="173"/>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70" w:right="173"/>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7" w:right="101"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4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77" w:right="0"/>
              <w:jc w:val="left"/>
              <w:rPr>
                <w:rFonts w:ascii="宋体" w:hAnsi="宋体" w:cs="宋体" w:eastAsia="宋体" w:hint="default"/>
                <w:sz w:val="21"/>
                <w:szCs w:val="21"/>
              </w:rPr>
            </w:pPr>
            <w:r>
              <w:rPr>
                <w:rFonts w:ascii="宋体" w:hAnsi="宋体" w:cs="宋体" w:eastAsia="宋体" w:hint="default"/>
                <w:sz w:val="21"/>
                <w:szCs w:val="21"/>
              </w:rPr>
              <w:t>年初持股数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319" w:right="0"/>
              <w:jc w:val="left"/>
              <w:rPr>
                <w:rFonts w:ascii="宋体" w:hAnsi="宋体" w:cs="宋体" w:eastAsia="宋体" w:hint="default"/>
                <w:sz w:val="21"/>
                <w:szCs w:val="21"/>
              </w:rPr>
            </w:pPr>
            <w:r>
              <w:rPr>
                <w:rFonts w:ascii="宋体" w:hAnsi="宋体" w:cs="宋体" w:eastAsia="宋体" w:hint="default"/>
                <w:sz w:val="21"/>
                <w:szCs w:val="21"/>
              </w:rPr>
              <w:t>年末持股数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75" w:right="176"/>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5" w:right="101"/>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动原因</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05" w:right="108"/>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both"/>
              <w:rPr>
                <w:rFonts w:ascii="宋体" w:hAnsi="宋体" w:cs="宋体" w:eastAsia="宋体" w:hint="default"/>
                <w:sz w:val="21"/>
                <w:szCs w:val="21"/>
              </w:rPr>
            </w:pPr>
            <w:r>
              <w:rPr>
                <w:rFonts w:ascii="宋体" w:hAnsi="宋体" w:cs="宋体" w:eastAsia="宋体" w:hint="default"/>
                <w:sz w:val="21"/>
                <w:szCs w:val="21"/>
              </w:rPr>
              <w:t>是否在</w:t>
            </w:r>
          </w:p>
          <w:p>
            <w:pPr>
              <w:pStyle w:val="TableParagraph"/>
              <w:spacing w:line="237" w:lineRule="auto"/>
              <w:ind w:left="139" w:right="132"/>
              <w:jc w:val="both"/>
              <w:rPr>
                <w:rFonts w:ascii="宋体" w:hAnsi="宋体" w:cs="宋体" w:eastAsia="宋体" w:hint="default"/>
                <w:sz w:val="21"/>
                <w:szCs w:val="21"/>
              </w:rPr>
            </w:pPr>
            <w:r>
              <w:rPr>
                <w:rFonts w:ascii="宋体" w:hAnsi="宋体" w:cs="宋体" w:eastAsia="宋体" w:hint="default"/>
                <w:sz w:val="21"/>
                <w:szCs w:val="21"/>
              </w:rPr>
              <w:t>公司关</w:t>
            </w:r>
            <w:r>
              <w:rPr>
                <w:rFonts w:ascii="宋体" w:hAnsi="宋体" w:cs="宋体" w:eastAsia="宋体" w:hint="default"/>
                <w:spacing w:val="-102"/>
                <w:sz w:val="21"/>
                <w:szCs w:val="21"/>
              </w:rPr>
              <w:t> </w:t>
            </w:r>
            <w:r>
              <w:rPr>
                <w:rFonts w:ascii="宋体" w:hAnsi="宋体" w:cs="宋体" w:eastAsia="宋体" w:hint="default"/>
                <w:sz w:val="21"/>
                <w:szCs w:val="21"/>
              </w:rPr>
              <w:t>联方获</w:t>
            </w:r>
            <w:r>
              <w:rPr>
                <w:rFonts w:ascii="宋体" w:hAnsi="宋体" w:cs="宋体" w:eastAsia="宋体" w:hint="default"/>
                <w:spacing w:val="-102"/>
                <w:sz w:val="21"/>
                <w:szCs w:val="21"/>
              </w:rPr>
              <w:t> </w:t>
            </w:r>
            <w:r>
              <w:rPr>
                <w:rFonts w:ascii="宋体" w:hAnsi="宋体" w:cs="宋体" w:eastAsia="宋体" w:hint="default"/>
                <w:sz w:val="21"/>
                <w:szCs w:val="21"/>
              </w:rPr>
              <w:t>取报酬</w:t>
            </w:r>
          </w:p>
        </w:tc>
      </w:tr>
      <w:tr>
        <w:trPr>
          <w:trHeight w:val="55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吴炯</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原董事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2013-9-22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2018-2-22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18,932,880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18,832,880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二级市</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场减持</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14.89</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程礼源</w:t>
            </w:r>
          </w:p>
          <w:p>
            <w:pPr>
              <w:pStyle w:val="TableParagraph"/>
              <w:spacing w:line="275" w:lineRule="exact"/>
              <w:ind w:left="3"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原独立董</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center"/>
              <w:rPr>
                <w:rFonts w:ascii="宋体" w:hAnsi="宋体" w:cs="宋体" w:eastAsia="宋体" w:hint="default"/>
                <w:sz w:val="21"/>
                <w:szCs w:val="21"/>
              </w:rPr>
            </w:pPr>
            <w:r>
              <w:rPr>
                <w:rFonts w:ascii="宋体"/>
                <w:sz w:val="21"/>
              </w:rPr>
              <w:t>79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2015-4-1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2018-2-22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1.16</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王稼铭</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原独立董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54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2013-9-22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2018-2-22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1.16</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肖翔</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原独立董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47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2013-9-22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2018-2-22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1.16</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陈喆</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原监事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2013-9-22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2018-2-22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13.3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徐娟</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原监事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44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2014-5-9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2018-2-22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2.95</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6" w:right="0"/>
              <w:jc w:val="center"/>
              <w:rPr>
                <w:rFonts w:ascii="宋体" w:hAnsi="宋体" w:cs="宋体" w:eastAsia="宋体" w:hint="default"/>
                <w:sz w:val="21"/>
                <w:szCs w:val="21"/>
              </w:rPr>
            </w:pPr>
            <w:r>
              <w:rPr>
                <w:rFonts w:ascii="宋体" w:hAnsi="宋体" w:cs="宋体" w:eastAsia="宋体" w:hint="default"/>
                <w:sz w:val="21"/>
                <w:szCs w:val="21"/>
              </w:rPr>
              <w:t>潘代秋</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原监事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2"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宋体" w:hAnsi="宋体" w:cs="宋体" w:eastAsia="宋体" w:hint="default"/>
                <w:sz w:val="21"/>
                <w:szCs w:val="21"/>
              </w:rPr>
            </w:pPr>
            <w:r>
              <w:rPr>
                <w:rFonts w:ascii="宋体"/>
                <w:sz w:val="21"/>
              </w:rPr>
              <w:t>47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2013-9-22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2018-2-22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4,229,059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4,229,059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w w:val="100"/>
                <w:sz w:val="21"/>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6" w:right="0"/>
              <w:jc w:val="center"/>
              <w:rPr>
                <w:rFonts w:ascii="宋体" w:hAnsi="宋体" w:cs="宋体" w:eastAsia="宋体" w:hint="default"/>
                <w:sz w:val="21"/>
                <w:szCs w:val="21"/>
              </w:rPr>
            </w:pPr>
            <w:r>
              <w:rPr>
                <w:rFonts w:ascii="宋体" w:hAnsi="宋体" w:cs="宋体" w:eastAsia="宋体" w:hint="default"/>
                <w:sz w:val="21"/>
                <w:szCs w:val="21"/>
              </w:rPr>
              <w:t>苏金荣</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原高级管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理人员</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54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2013-9-22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2018-2-22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3,416,608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2,656,608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-760,000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二级市</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场减持</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14.89</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6" w:right="0"/>
              <w:jc w:val="center"/>
              <w:rPr>
                <w:rFonts w:ascii="宋体" w:hAnsi="宋体" w:cs="宋体" w:eastAsia="宋体" w:hint="default"/>
                <w:sz w:val="21"/>
                <w:szCs w:val="21"/>
              </w:rPr>
            </w:pPr>
            <w:r>
              <w:rPr>
                <w:rFonts w:ascii="宋体" w:hAnsi="宋体" w:cs="宋体" w:eastAsia="宋体" w:hint="default"/>
                <w:sz w:val="21"/>
                <w:szCs w:val="21"/>
              </w:rPr>
              <w:t>魏山虎</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原高级管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理人员</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54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2013-9-22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2018-2-22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11,664,000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9,785,500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-1,878,500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二级市</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场减持</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18.91</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6" w:right="0"/>
              <w:jc w:val="center"/>
              <w:rPr>
                <w:rFonts w:ascii="宋体" w:hAnsi="宋体" w:cs="宋体" w:eastAsia="宋体" w:hint="default"/>
                <w:sz w:val="21"/>
                <w:szCs w:val="21"/>
              </w:rPr>
            </w:pPr>
            <w:r>
              <w:rPr>
                <w:rFonts w:ascii="宋体" w:hAnsi="宋体" w:cs="宋体" w:eastAsia="宋体" w:hint="default"/>
                <w:sz w:val="21"/>
                <w:szCs w:val="21"/>
              </w:rPr>
              <w:t>邹克雷</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原董事会</w:t>
            </w:r>
          </w:p>
          <w:p>
            <w:pPr>
              <w:pStyle w:val="TableParagraph"/>
              <w:spacing w:line="272" w:lineRule="exact" w:before="27"/>
              <w:ind w:left="103" w:right="132"/>
              <w:jc w:val="left"/>
              <w:rPr>
                <w:rFonts w:ascii="宋体" w:hAnsi="宋体" w:cs="宋体" w:eastAsia="宋体" w:hint="default"/>
                <w:sz w:val="21"/>
                <w:szCs w:val="21"/>
              </w:rPr>
            </w:pPr>
            <w:r>
              <w:rPr>
                <w:rFonts w:ascii="宋体" w:hAnsi="宋体" w:cs="宋体" w:eastAsia="宋体" w:hint="default"/>
                <w:sz w:val="21"/>
                <w:szCs w:val="21"/>
              </w:rPr>
              <w:t>秘书、副</w:t>
            </w:r>
            <w:r>
              <w:rPr>
                <w:rFonts w:ascii="宋体" w:hAnsi="宋体" w:cs="宋体" w:eastAsia="宋体" w:hint="default"/>
                <w:w w:val="100"/>
                <w:sz w:val="21"/>
                <w:szCs w:val="21"/>
              </w:rPr>
              <w:t> </w:t>
            </w:r>
            <w:r>
              <w:rPr>
                <w:rFonts w:ascii="宋体" w:hAnsi="宋体" w:cs="宋体" w:eastAsia="宋体" w:hint="default"/>
                <w:sz w:val="21"/>
                <w:szCs w:val="21"/>
              </w:rPr>
              <w:t>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center"/>
              <w:rPr>
                <w:rFonts w:ascii="宋体" w:hAnsi="宋体" w:cs="宋体" w:eastAsia="宋体" w:hint="default"/>
                <w:sz w:val="21"/>
                <w:szCs w:val="21"/>
              </w:rPr>
            </w:pPr>
            <w:r>
              <w:rPr>
                <w:rFonts w:ascii="宋体"/>
                <w:sz w:val="21"/>
              </w:rPr>
              <w:t>47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sz w:val="21"/>
              </w:rPr>
              <w:t>2013-9-22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sz w:val="21"/>
              </w:rPr>
              <w:t>2018-2-22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380,000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205,000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-175,000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6"/>
              <w:jc w:val="left"/>
              <w:rPr>
                <w:rFonts w:ascii="宋体" w:hAnsi="宋体" w:cs="宋体" w:eastAsia="宋体" w:hint="default"/>
                <w:sz w:val="21"/>
                <w:szCs w:val="21"/>
              </w:rPr>
            </w:pPr>
            <w:r>
              <w:rPr>
                <w:rFonts w:ascii="宋体" w:hAnsi="宋体" w:cs="宋体" w:eastAsia="宋体" w:hint="default"/>
                <w:spacing w:val="2"/>
                <w:sz w:val="21"/>
                <w:szCs w:val="21"/>
              </w:rPr>
              <w:t>二级市</w:t>
            </w:r>
            <w:r>
              <w:rPr>
                <w:rFonts w:ascii="宋体" w:hAnsi="宋体" w:cs="宋体" w:eastAsia="宋体" w:hint="default"/>
                <w:spacing w:val="-102"/>
                <w:sz w:val="21"/>
                <w:szCs w:val="21"/>
              </w:rPr>
              <w:t> </w:t>
            </w:r>
            <w:r>
              <w:rPr>
                <w:rFonts w:ascii="宋体" w:hAnsi="宋体" w:cs="宋体" w:eastAsia="宋体" w:hint="default"/>
                <w:sz w:val="21"/>
                <w:szCs w:val="21"/>
              </w:rPr>
              <w:t>场减持</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18.16</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夏涛</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原财务负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责人</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center"/>
              <w:rPr>
                <w:rFonts w:ascii="宋体" w:hAnsi="宋体" w:cs="宋体" w:eastAsia="宋体" w:hint="default"/>
                <w:sz w:val="21"/>
                <w:szCs w:val="21"/>
              </w:rPr>
            </w:pPr>
            <w:r>
              <w:rPr>
                <w:rFonts w:ascii="宋体"/>
                <w:sz w:val="21"/>
              </w:rPr>
              <w:t>47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2016-9-2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2018-2-22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21.69</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6" w:right="0"/>
              <w:jc w:val="center"/>
              <w:rPr>
                <w:rFonts w:ascii="宋体" w:hAnsi="宋体" w:cs="宋体" w:eastAsia="宋体" w:hint="default"/>
                <w:sz w:val="21"/>
                <w:szCs w:val="21"/>
              </w:rPr>
            </w:pPr>
            <w:r>
              <w:rPr>
                <w:rFonts w:ascii="宋体" w:hAnsi="宋体" w:cs="宋体" w:eastAsia="宋体" w:hint="default"/>
                <w:sz w:val="21"/>
                <w:szCs w:val="21"/>
              </w:rPr>
              <w:t>钱勇华</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原高级管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理人员</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44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2013-12-19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2018-2-22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1,600,000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1,610,000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二级市</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场增持</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13.23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w w:val="100"/>
                <w:sz w:val="21"/>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184,173,147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1,002,551,230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818,378,083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2,927.85</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pgSz w:w="16840" w:h="11910" w:orient="landscape"/>
          <w:pgMar w:header="857" w:footer="1218" w:top="1320" w:bottom="1400" w:left="1280" w:right="136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7"/>
          <w:szCs w:val="17"/>
        </w:rPr>
      </w:pPr>
    </w:p>
    <w:p>
      <w:pPr>
        <w:pStyle w:val="BodyText"/>
        <w:spacing w:line="355" w:lineRule="auto"/>
        <w:ind w:left="220" w:right="0" w:firstLine="420"/>
        <w:jc w:val="left"/>
      </w:pPr>
      <w:r>
        <w:rPr/>
        <w:t>备注</w:t>
      </w:r>
      <w:r>
        <w:rPr>
          <w:spacing w:val="-54"/>
        </w:rPr>
        <w:t> </w:t>
      </w:r>
      <w:r>
        <w:rPr>
          <w:rFonts w:ascii="宋体" w:hAnsi="宋体" w:cs="宋体" w:eastAsia="宋体" w:hint="default"/>
        </w:rPr>
        <w:t>1</w:t>
      </w:r>
      <w:r>
        <w:rPr/>
        <w:t>：独立董事兼审计委员会主任委员刘贵彬先生于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11</w:t>
      </w:r>
      <w:r>
        <w:rPr>
          <w:rFonts w:ascii="宋体" w:hAnsi="宋体" w:cs="宋体" w:eastAsia="宋体" w:hint="default"/>
          <w:spacing w:val="-56"/>
        </w:rPr>
        <w:t> </w:t>
      </w:r>
      <w:r>
        <w:rPr/>
        <w:t>日，因个人工作原因向公司董事会递交书面辞职报告。因刘贵彬辞职后将导</w:t>
      </w:r>
      <w:r>
        <w:rPr>
          <w:w w:val="100"/>
        </w:rPr>
        <w:t> </w:t>
      </w:r>
      <w:r>
        <w:rPr/>
        <w:t>致公司独立董事所占董事会成员比例低于法律法规规定的最低要求，刘贵彬先生将继续履职，其辞职报告自股东大会选举新的独立董事时生效。</w:t>
      </w:r>
    </w:p>
    <w:p>
      <w:pPr>
        <w:pStyle w:val="BodyText"/>
        <w:spacing w:line="240" w:lineRule="auto" w:before="32"/>
        <w:ind w:left="640" w:right="0"/>
        <w:jc w:val="left"/>
      </w:pPr>
      <w:r>
        <w:rPr/>
        <w:t>备注</w:t>
      </w:r>
      <w:r>
        <w:rPr>
          <w:spacing w:val="-54"/>
        </w:rPr>
        <w:t> </w:t>
      </w:r>
      <w:r>
        <w:rPr>
          <w:rFonts w:ascii="宋体" w:hAnsi="宋体" w:cs="宋体" w:eastAsia="宋体" w:hint="default"/>
        </w:rPr>
        <w:t>2</w:t>
      </w:r>
      <w:r>
        <w:rPr/>
        <w:t>：谭晓生先生于</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3"/>
        </w:rPr>
        <w:t> </w:t>
      </w:r>
      <w:r>
        <w:rPr>
          <w:rFonts w:ascii="宋体" w:hAnsi="宋体" w:cs="宋体" w:eastAsia="宋体" w:hint="default"/>
        </w:rPr>
        <w:t>5</w:t>
      </w:r>
      <w:r>
        <w:rPr>
          <w:rFonts w:ascii="宋体" w:hAnsi="宋体" w:cs="宋体" w:eastAsia="宋体" w:hint="default"/>
          <w:spacing w:val="-56"/>
        </w:rPr>
        <w:t> </w:t>
      </w:r>
      <w:r>
        <w:rPr/>
        <w:t>日因个人原因向公司董事会递交书面辞职报告，其辞职报告自送达董事会之日起生效。</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2122"/>
        <w:gridCol w:w="11980"/>
      </w:tblGrid>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周鸿祎</w:t>
            </w:r>
          </w:p>
        </w:tc>
        <w:tc>
          <w:tcPr>
            <w:tcW w:w="1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月起，任职</w:t>
            </w:r>
            <w:r>
              <w:rPr>
                <w:rFonts w:ascii="宋体" w:hAnsi="宋体" w:cs="宋体" w:eastAsia="宋体" w:hint="default"/>
                <w:spacing w:val="-53"/>
                <w:sz w:val="21"/>
                <w:szCs w:val="21"/>
              </w:rPr>
              <w:t> </w:t>
            </w:r>
            <w:r>
              <w:rPr>
                <w:rFonts w:ascii="宋体" w:hAnsi="宋体" w:cs="宋体" w:eastAsia="宋体" w:hint="default"/>
                <w:sz w:val="21"/>
                <w:szCs w:val="21"/>
              </w:rPr>
              <w:t>Qihoo 360</w:t>
            </w:r>
            <w:r>
              <w:rPr>
                <w:rFonts w:ascii="宋体" w:hAnsi="宋体" w:cs="宋体" w:eastAsia="宋体" w:hint="default"/>
                <w:spacing w:val="-55"/>
                <w:sz w:val="21"/>
                <w:szCs w:val="21"/>
              </w:rPr>
              <w:t> </w:t>
            </w:r>
            <w:r>
              <w:rPr>
                <w:rFonts w:ascii="宋体" w:hAnsi="宋体" w:cs="宋体" w:eastAsia="宋体" w:hint="default"/>
                <w:sz w:val="21"/>
                <w:szCs w:val="21"/>
              </w:rPr>
              <w:t>董事长、首席执行官。现任三六零董事长、总经理。</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石晓虹</w:t>
            </w:r>
          </w:p>
        </w:tc>
        <w:tc>
          <w:tcPr>
            <w:tcW w:w="1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月起，在</w:t>
            </w:r>
            <w:r>
              <w:rPr>
                <w:rFonts w:ascii="宋体" w:hAnsi="宋体" w:cs="宋体" w:eastAsia="宋体" w:hint="default"/>
                <w:spacing w:val="-52"/>
                <w:sz w:val="21"/>
                <w:szCs w:val="21"/>
              </w:rPr>
              <w:t> </w:t>
            </w:r>
            <w:r>
              <w:rPr>
                <w:rFonts w:ascii="宋体" w:hAnsi="宋体" w:cs="宋体" w:eastAsia="宋体" w:hint="default"/>
                <w:sz w:val="21"/>
                <w:szCs w:val="21"/>
              </w:rPr>
              <w:t>Qihoo</w:t>
            </w:r>
            <w:r>
              <w:rPr>
                <w:rFonts w:ascii="宋体" w:hAnsi="宋体" w:cs="宋体" w:eastAsia="宋体" w:hint="default"/>
                <w:spacing w:val="-5"/>
                <w:sz w:val="21"/>
                <w:szCs w:val="21"/>
              </w:rPr>
              <w:t> </w:t>
            </w:r>
            <w:r>
              <w:rPr>
                <w:rFonts w:ascii="宋体" w:hAnsi="宋体" w:cs="宋体" w:eastAsia="宋体" w:hint="default"/>
                <w:sz w:val="21"/>
                <w:szCs w:val="21"/>
              </w:rPr>
              <w:t>360</w:t>
            </w:r>
            <w:r>
              <w:rPr>
                <w:rFonts w:ascii="宋体" w:hAnsi="宋体" w:cs="宋体" w:eastAsia="宋体" w:hint="default"/>
                <w:spacing w:val="-53"/>
                <w:sz w:val="21"/>
                <w:szCs w:val="21"/>
              </w:rPr>
              <w:t> </w:t>
            </w:r>
            <w:r>
              <w:rPr>
                <w:rFonts w:ascii="宋体" w:hAnsi="宋体" w:cs="宋体" w:eastAsia="宋体" w:hint="default"/>
                <w:sz w:val="21"/>
                <w:szCs w:val="21"/>
              </w:rPr>
              <w:t>任职，历任技术副总裁、董事长助理，现任三六零董事、副总经理。</w:t>
            </w:r>
          </w:p>
        </w:tc>
      </w:tr>
      <w:tr>
        <w:trPr>
          <w:trHeight w:val="5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sz w:val="21"/>
              </w:rPr>
              <w:t>SHEN NANPENG</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（沈南鹏）</w:t>
            </w:r>
          </w:p>
        </w:tc>
        <w:tc>
          <w:tcPr>
            <w:tcW w:w="11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1999 </w:t>
            </w:r>
            <w:r>
              <w:rPr>
                <w:rFonts w:ascii="宋体" w:hAnsi="宋体" w:cs="宋体" w:eastAsia="宋体" w:hint="default"/>
                <w:spacing w:val="-4"/>
                <w:sz w:val="21"/>
                <w:szCs w:val="21"/>
              </w:rPr>
              <w:t>年至今，联合创立携程旅行网，历任总裁、首席财务官、董事；</w:t>
            </w:r>
            <w:r>
              <w:rPr>
                <w:rFonts w:ascii="宋体" w:hAnsi="宋体" w:cs="宋体" w:eastAsia="宋体" w:hint="default"/>
                <w:spacing w:val="-4"/>
                <w:sz w:val="21"/>
                <w:szCs w:val="21"/>
              </w:rPr>
              <w:t>2001</w:t>
            </w:r>
            <w:r>
              <w:rPr>
                <w:rFonts w:ascii="宋体" w:hAnsi="宋体" w:cs="宋体" w:eastAsia="宋体" w:hint="default"/>
                <w:spacing w:val="-23"/>
                <w:sz w:val="21"/>
                <w:szCs w:val="21"/>
              </w:rPr>
              <w:t> </w:t>
            </w:r>
            <w:r>
              <w:rPr>
                <w:rFonts w:ascii="宋体" w:hAnsi="宋体" w:cs="宋体" w:eastAsia="宋体" w:hint="default"/>
                <w:spacing w:val="-3"/>
                <w:sz w:val="21"/>
                <w:szCs w:val="21"/>
              </w:rPr>
              <w:t>年至今，联合创立如家酒店集团，任联席董事长；</w:t>
            </w:r>
            <w:r>
              <w:rPr>
                <w:rFonts w:ascii="宋体" w:hAnsi="宋体" w:cs="宋体" w:eastAsia="宋体" w:hint="default"/>
                <w:spacing w:val="-3"/>
                <w:sz w:val="21"/>
                <w:szCs w:val="21"/>
              </w:rPr>
              <w:t>2005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年至今，任红杉资本中国基金创始及执行合伙人。现兼任三六零董事。</w:t>
            </w:r>
          </w:p>
        </w:tc>
      </w:tr>
      <w:tr>
        <w:trPr>
          <w:trHeight w:val="82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罗宁</w:t>
            </w:r>
          </w:p>
        </w:tc>
        <w:tc>
          <w:tcPr>
            <w:tcW w:w="1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10</w:t>
            </w:r>
            <w:r>
              <w:rPr>
                <w:rFonts w:ascii="宋体" w:hAnsi="宋体" w:cs="宋体" w:eastAsia="宋体" w:hint="default"/>
                <w:spacing w:val="-43"/>
                <w:sz w:val="21"/>
                <w:szCs w:val="21"/>
              </w:rPr>
              <w:t> </w:t>
            </w:r>
            <w:r>
              <w:rPr>
                <w:rFonts w:ascii="宋体" w:hAnsi="宋体" w:cs="宋体" w:eastAsia="宋体" w:hint="default"/>
                <w:spacing w:val="-4"/>
                <w:sz w:val="21"/>
                <w:szCs w:val="21"/>
              </w:rPr>
              <w:t>月至今，历任中信国安信息产业股份有限公司董事、董事长；</w:t>
            </w:r>
            <w:r>
              <w:rPr>
                <w:rFonts w:ascii="宋体" w:hAnsi="宋体" w:cs="宋体" w:eastAsia="宋体" w:hint="default"/>
                <w:spacing w:val="-4"/>
                <w:sz w:val="21"/>
                <w:szCs w:val="21"/>
              </w:rPr>
              <w:t>2000</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4</w:t>
            </w:r>
            <w:r>
              <w:rPr>
                <w:rFonts w:ascii="宋体" w:hAnsi="宋体" w:cs="宋体" w:eastAsia="宋体" w:hint="default"/>
                <w:spacing w:val="-40"/>
                <w:sz w:val="21"/>
                <w:szCs w:val="21"/>
              </w:rPr>
              <w:t> </w:t>
            </w:r>
            <w:r>
              <w:rPr>
                <w:rFonts w:ascii="宋体" w:hAnsi="宋体" w:cs="宋体" w:eastAsia="宋体" w:hint="default"/>
                <w:spacing w:val="-3"/>
                <w:sz w:val="21"/>
                <w:szCs w:val="21"/>
              </w:rPr>
              <w:t>月至今，任中信网络有限公司董事长兼总经理；</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8</w:t>
            </w:r>
            <w:r>
              <w:rPr>
                <w:rFonts w:ascii="宋体" w:hAnsi="宋体" w:cs="宋体" w:eastAsia="宋体" w:hint="default"/>
                <w:spacing w:val="-46"/>
                <w:sz w:val="21"/>
                <w:szCs w:val="21"/>
              </w:rPr>
              <w:t> </w:t>
            </w:r>
            <w:r>
              <w:rPr>
                <w:rFonts w:ascii="宋体" w:hAnsi="宋体" w:cs="宋体" w:eastAsia="宋体" w:hint="default"/>
                <w:spacing w:val="-3"/>
                <w:sz w:val="21"/>
                <w:szCs w:val="21"/>
              </w:rPr>
              <w:t>月至今，任中信国安有限公司董事；</w:t>
            </w:r>
            <w:r>
              <w:rPr>
                <w:rFonts w:ascii="宋体" w:hAnsi="宋体" w:cs="宋体" w:eastAsia="宋体" w:hint="default"/>
                <w:spacing w:val="-3"/>
                <w:sz w:val="21"/>
                <w:szCs w:val="21"/>
              </w:rPr>
              <w:t>2001</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10</w:t>
            </w:r>
            <w:r>
              <w:rPr>
                <w:rFonts w:ascii="宋体" w:hAnsi="宋体" w:cs="宋体" w:eastAsia="宋体" w:hint="default"/>
                <w:spacing w:val="-46"/>
                <w:sz w:val="21"/>
                <w:szCs w:val="21"/>
              </w:rPr>
              <w:t> </w:t>
            </w:r>
            <w:r>
              <w:rPr>
                <w:rFonts w:ascii="宋体" w:hAnsi="宋体" w:cs="宋体" w:eastAsia="宋体" w:hint="default"/>
                <w:spacing w:val="-3"/>
                <w:sz w:val="21"/>
                <w:szCs w:val="21"/>
              </w:rPr>
              <w:t>月至今，任中信国安集团有限公司副董事长；</w:t>
            </w:r>
            <w:r>
              <w:rPr>
                <w:rFonts w:ascii="宋体" w:hAnsi="宋体" w:cs="宋体" w:eastAsia="宋体" w:hint="default"/>
                <w:spacing w:val="-3"/>
                <w:sz w:val="21"/>
                <w:szCs w:val="21"/>
              </w:rPr>
              <w:t>2002</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3</w:t>
            </w:r>
            <w:r>
              <w:rPr>
                <w:rFonts w:ascii="宋体" w:hAnsi="宋体" w:cs="宋体" w:eastAsia="宋体" w:hint="default"/>
                <w:spacing w:val="-43"/>
                <w:sz w:val="21"/>
                <w:szCs w:val="21"/>
              </w:rPr>
              <w:t> </w:t>
            </w:r>
            <w:r>
              <w:rPr>
                <w:rFonts w:ascii="宋体" w:hAnsi="宋体" w:cs="宋体" w:eastAsia="宋体" w:hint="default"/>
                <w:spacing w:val="-3"/>
                <w:sz w:val="21"/>
                <w:szCs w:val="21"/>
              </w:rPr>
              <w:t>月至今，任中国</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中信集团有限公司</w:t>
            </w:r>
            <w:r>
              <w:rPr>
                <w:rFonts w:ascii="宋体" w:hAnsi="宋体" w:cs="宋体" w:eastAsia="宋体" w:hint="default"/>
                <w:sz w:val="21"/>
                <w:szCs w:val="21"/>
              </w:rPr>
              <w:t>(</w:t>
            </w:r>
            <w:r>
              <w:rPr>
                <w:rFonts w:ascii="宋体" w:hAnsi="宋体" w:cs="宋体" w:eastAsia="宋体" w:hint="default"/>
                <w:sz w:val="21"/>
                <w:szCs w:val="21"/>
              </w:rPr>
              <w:t>原中国中信集团公司</w:t>
            </w:r>
            <w:r>
              <w:rPr>
                <w:rFonts w:ascii="宋体" w:hAnsi="宋体" w:cs="宋体" w:eastAsia="宋体" w:hint="default"/>
                <w:sz w:val="21"/>
                <w:szCs w:val="21"/>
              </w:rPr>
              <w:t>)</w:t>
            </w:r>
            <w:r>
              <w:rPr>
                <w:rFonts w:ascii="宋体" w:hAnsi="宋体" w:cs="宋体" w:eastAsia="宋体" w:hint="default"/>
                <w:sz w:val="21"/>
                <w:szCs w:val="21"/>
              </w:rPr>
              <w:t>总经理助理。现兼任三六零董事。</w:t>
            </w:r>
          </w:p>
        </w:tc>
      </w:tr>
      <w:tr>
        <w:trPr>
          <w:trHeight w:val="826"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636" w:right="0"/>
              <w:jc w:val="left"/>
              <w:rPr>
                <w:rFonts w:ascii="宋体" w:hAnsi="宋体" w:cs="宋体" w:eastAsia="宋体" w:hint="default"/>
                <w:sz w:val="21"/>
                <w:szCs w:val="21"/>
              </w:rPr>
            </w:pPr>
            <w:r>
              <w:rPr>
                <w:rFonts w:ascii="宋体"/>
                <w:sz w:val="21"/>
              </w:rPr>
              <w:t>XUN</w:t>
            </w:r>
            <w:r>
              <w:rPr>
                <w:rFonts w:ascii="宋体"/>
                <w:spacing w:val="1"/>
                <w:sz w:val="21"/>
              </w:rPr>
              <w:t> </w:t>
            </w:r>
            <w:r>
              <w:rPr>
                <w:rFonts w:ascii="宋体"/>
                <w:sz w:val="21"/>
              </w:rPr>
              <w:t>CHEN</w:t>
            </w:r>
          </w:p>
          <w:p>
            <w:pPr>
              <w:pStyle w:val="TableParagraph"/>
              <w:spacing w:line="274" w:lineRule="exact"/>
              <w:ind w:left="636" w:right="0"/>
              <w:jc w:val="left"/>
              <w:rPr>
                <w:rFonts w:ascii="宋体" w:hAnsi="宋体" w:cs="宋体" w:eastAsia="宋体" w:hint="default"/>
                <w:sz w:val="21"/>
                <w:szCs w:val="21"/>
              </w:rPr>
            </w:pPr>
            <w:r>
              <w:rPr>
                <w:rFonts w:ascii="宋体" w:hAnsi="宋体" w:cs="宋体" w:eastAsia="宋体" w:hint="default"/>
                <w:sz w:val="21"/>
                <w:szCs w:val="21"/>
              </w:rPr>
              <w:t>（陈恂）</w:t>
            </w:r>
          </w:p>
        </w:tc>
        <w:tc>
          <w:tcPr>
            <w:tcW w:w="11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月，任银湖资本（</w:t>
            </w:r>
            <w:r>
              <w:rPr>
                <w:rFonts w:ascii="宋体" w:hAnsi="宋体" w:cs="宋体" w:eastAsia="宋体" w:hint="default"/>
                <w:sz w:val="21"/>
                <w:szCs w:val="21"/>
              </w:rPr>
              <w:t>Silver</w:t>
            </w:r>
            <w:r>
              <w:rPr>
                <w:rFonts w:ascii="宋体" w:hAnsi="宋体" w:cs="宋体" w:eastAsia="宋体" w:hint="default"/>
                <w:spacing w:val="-4"/>
                <w:sz w:val="21"/>
                <w:szCs w:val="21"/>
              </w:rPr>
              <w:t> </w:t>
            </w:r>
            <w:r>
              <w:rPr>
                <w:rFonts w:ascii="宋体" w:hAnsi="宋体" w:cs="宋体" w:eastAsia="宋体" w:hint="default"/>
                <w:sz w:val="21"/>
                <w:szCs w:val="21"/>
              </w:rPr>
              <w:t>Lake</w:t>
            </w:r>
            <w:r>
              <w:rPr>
                <w:rFonts w:ascii="宋体" w:hAnsi="宋体" w:cs="宋体" w:eastAsia="宋体" w:hint="default"/>
                <w:spacing w:val="1"/>
                <w:sz w:val="21"/>
                <w:szCs w:val="21"/>
              </w:rPr>
              <w:t> </w:t>
            </w:r>
            <w:r>
              <w:rPr>
                <w:rFonts w:ascii="宋体" w:hAnsi="宋体" w:cs="宋体" w:eastAsia="宋体" w:hint="default"/>
                <w:sz w:val="21"/>
                <w:szCs w:val="21"/>
              </w:rPr>
              <w:t>Partners</w:t>
            </w:r>
            <w:r>
              <w:rPr>
                <w:rFonts w:ascii="宋体" w:hAnsi="宋体" w:cs="宋体" w:eastAsia="宋体" w:hint="default"/>
                <w:sz w:val="21"/>
                <w:szCs w:val="21"/>
              </w:rPr>
              <w:t>）董事总经理；</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月，任中国好耶网络</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集团（</w:t>
            </w:r>
            <w:r>
              <w:rPr>
                <w:rFonts w:ascii="宋体" w:hAnsi="宋体" w:cs="宋体" w:eastAsia="宋体" w:hint="default"/>
                <w:sz w:val="21"/>
                <w:szCs w:val="21"/>
              </w:rPr>
              <w:t>Allyes Online Media Holding</w:t>
            </w:r>
            <w:r>
              <w:rPr>
                <w:rFonts w:ascii="宋体" w:hAnsi="宋体" w:cs="宋体" w:eastAsia="宋体" w:hint="default"/>
                <w:spacing w:val="-2"/>
                <w:sz w:val="21"/>
                <w:szCs w:val="21"/>
              </w:rPr>
              <w:t> </w:t>
            </w:r>
            <w:r>
              <w:rPr>
                <w:rFonts w:ascii="宋体" w:hAnsi="宋体" w:cs="宋体" w:eastAsia="宋体" w:hint="default"/>
                <w:sz w:val="21"/>
                <w:szCs w:val="21"/>
              </w:rPr>
              <w:t>Ltd.</w:t>
            </w:r>
            <w:r>
              <w:rPr>
                <w:rFonts w:ascii="宋体" w:hAnsi="宋体" w:cs="宋体" w:eastAsia="宋体" w:hint="default"/>
                <w:sz w:val="21"/>
                <w:szCs w:val="21"/>
              </w:rPr>
              <w:t>）董事长；</w:t>
            </w:r>
            <w:r>
              <w:rPr>
                <w:rFonts w:ascii="宋体" w:hAnsi="宋体" w:cs="宋体" w:eastAsia="宋体" w:hint="default"/>
                <w:sz w:val="21"/>
                <w:szCs w:val="21"/>
              </w:rPr>
              <w:t>2015</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11</w:t>
            </w:r>
            <w:r>
              <w:rPr>
                <w:rFonts w:ascii="宋体" w:hAnsi="宋体" w:cs="宋体" w:eastAsia="宋体" w:hint="default"/>
                <w:spacing w:val="-36"/>
                <w:sz w:val="21"/>
                <w:szCs w:val="21"/>
              </w:rPr>
              <w:t> </w:t>
            </w:r>
            <w:r>
              <w:rPr>
                <w:rFonts w:ascii="宋体" w:hAnsi="宋体" w:cs="宋体" w:eastAsia="宋体" w:hint="default"/>
                <w:sz w:val="21"/>
                <w:szCs w:val="21"/>
              </w:rPr>
              <w:t>月至</w:t>
            </w:r>
            <w:r>
              <w:rPr>
                <w:rFonts w:ascii="宋体" w:hAnsi="宋体" w:cs="宋体" w:eastAsia="宋体" w:hint="default"/>
                <w:spacing w:val="-36"/>
                <w:sz w:val="21"/>
                <w:szCs w:val="21"/>
              </w:rPr>
              <w:t> </w:t>
            </w:r>
            <w:r>
              <w:rPr>
                <w:rFonts w:ascii="宋体" w:hAnsi="宋体" w:cs="宋体" w:eastAsia="宋体" w:hint="default"/>
                <w:sz w:val="21"/>
                <w:szCs w:val="21"/>
              </w:rPr>
              <w:t>2017</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12</w:t>
            </w:r>
            <w:r>
              <w:rPr>
                <w:rFonts w:ascii="宋体" w:hAnsi="宋体" w:cs="宋体" w:eastAsia="宋体" w:hint="default"/>
                <w:spacing w:val="-36"/>
                <w:sz w:val="21"/>
                <w:szCs w:val="21"/>
              </w:rPr>
              <w:t> </w:t>
            </w:r>
            <w:r>
              <w:rPr>
                <w:rFonts w:ascii="宋体" w:hAnsi="宋体" w:cs="宋体" w:eastAsia="宋体" w:hint="default"/>
                <w:sz w:val="21"/>
                <w:szCs w:val="21"/>
              </w:rPr>
              <w:t>月，任</w:t>
            </w:r>
            <w:r>
              <w:rPr>
                <w:rFonts w:ascii="宋体" w:hAnsi="宋体" w:cs="宋体" w:eastAsia="宋体" w:hint="default"/>
                <w:spacing w:val="-35"/>
                <w:sz w:val="21"/>
                <w:szCs w:val="21"/>
              </w:rPr>
              <w:t> </w:t>
            </w:r>
            <w:r>
              <w:rPr>
                <w:rFonts w:ascii="宋体" w:hAnsi="宋体" w:cs="宋体" w:eastAsia="宋体" w:hint="default"/>
                <w:sz w:val="21"/>
                <w:szCs w:val="21"/>
              </w:rPr>
              <w:t>Team Curis</w:t>
            </w:r>
            <w:r>
              <w:rPr>
                <w:rFonts w:ascii="宋体" w:hAnsi="宋体" w:cs="宋体" w:eastAsia="宋体" w:hint="default"/>
                <w:spacing w:val="-5"/>
                <w:sz w:val="21"/>
                <w:szCs w:val="21"/>
              </w:rPr>
              <w:t> </w:t>
            </w:r>
            <w:r>
              <w:rPr>
                <w:rFonts w:ascii="宋体" w:hAnsi="宋体" w:cs="宋体" w:eastAsia="宋体" w:hint="default"/>
                <w:sz w:val="21"/>
                <w:szCs w:val="21"/>
              </w:rPr>
              <w:t>Group</w:t>
            </w:r>
            <w:r>
              <w:rPr>
                <w:rFonts w:ascii="宋体" w:hAnsi="宋体" w:cs="宋体" w:eastAsia="宋体" w:hint="default"/>
                <w:spacing w:val="-39"/>
                <w:sz w:val="21"/>
                <w:szCs w:val="21"/>
              </w:rPr>
              <w:t> </w:t>
            </w:r>
            <w:r>
              <w:rPr>
                <w:rFonts w:ascii="宋体" w:hAnsi="宋体" w:cs="宋体" w:eastAsia="宋体" w:hint="default"/>
                <w:sz w:val="21"/>
                <w:szCs w:val="21"/>
              </w:rPr>
              <w:t>首席执行官。</w:t>
            </w:r>
            <w:r>
              <w:rPr>
                <w:rFonts w:ascii="宋体" w:hAnsi="宋体" w:cs="宋体" w:eastAsia="宋体" w:hint="default"/>
                <w:sz w:val="21"/>
                <w:szCs w:val="21"/>
              </w:rPr>
              <w:t>2018</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月至今，</w:t>
            </w:r>
            <w:r>
              <w:rPr>
                <w:rFonts w:ascii="宋体" w:hAnsi="宋体" w:cs="宋体" w:eastAsia="宋体" w:hint="default"/>
                <w:sz w:val="21"/>
                <w:szCs w:val="21"/>
              </w:rPr>
              <w:t>SoftBank</w:t>
            </w:r>
            <w:r>
              <w:rPr>
                <w:rFonts w:ascii="宋体" w:hAnsi="宋体" w:cs="宋体" w:eastAsia="宋体" w:hint="default"/>
                <w:spacing w:val="-3"/>
                <w:sz w:val="21"/>
                <w:szCs w:val="21"/>
              </w:rPr>
              <w:t> </w:t>
            </w:r>
            <w:r>
              <w:rPr>
                <w:rFonts w:ascii="宋体" w:hAnsi="宋体" w:cs="宋体" w:eastAsia="宋体" w:hint="default"/>
                <w:sz w:val="21"/>
                <w:szCs w:val="21"/>
              </w:rPr>
              <w:t>Investment</w:t>
            </w:r>
            <w:r>
              <w:rPr>
                <w:rFonts w:ascii="宋体" w:hAnsi="宋体" w:cs="宋体" w:eastAsia="宋体" w:hint="default"/>
                <w:spacing w:val="-3"/>
                <w:sz w:val="21"/>
                <w:szCs w:val="21"/>
              </w:rPr>
              <w:t> </w:t>
            </w:r>
            <w:r>
              <w:rPr>
                <w:rFonts w:ascii="宋体" w:hAnsi="宋体" w:cs="宋体" w:eastAsia="宋体" w:hint="default"/>
                <w:sz w:val="21"/>
                <w:szCs w:val="21"/>
              </w:rPr>
              <w:t>Advisers</w:t>
            </w:r>
            <w:r>
              <w:rPr>
                <w:rFonts w:ascii="宋体" w:hAnsi="宋体" w:cs="宋体" w:eastAsia="宋体" w:hint="default"/>
                <w:spacing w:val="-57"/>
                <w:sz w:val="21"/>
                <w:szCs w:val="21"/>
              </w:rPr>
              <w:t> </w:t>
            </w:r>
            <w:r>
              <w:rPr>
                <w:rFonts w:ascii="宋体" w:hAnsi="宋体" w:cs="宋体" w:eastAsia="宋体" w:hint="default"/>
                <w:sz w:val="21"/>
                <w:szCs w:val="21"/>
              </w:rPr>
              <w:t>合伙人。现兼任三六零独立董事，兼任北京奇飞翔艺商务咨询有限公司董事。</w:t>
            </w:r>
          </w:p>
        </w:tc>
      </w:tr>
      <w:tr>
        <w:trPr>
          <w:trHeight w:val="5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MING</w:t>
            </w:r>
            <w:r>
              <w:rPr>
                <w:rFonts w:ascii="宋体"/>
                <w:spacing w:val="2"/>
                <w:sz w:val="21"/>
              </w:rPr>
              <w:t> </w:t>
            </w:r>
            <w:r>
              <w:rPr>
                <w:rFonts w:ascii="宋体"/>
                <w:sz w:val="21"/>
              </w:rPr>
              <w:t>HUANG</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（黄明）</w:t>
            </w:r>
          </w:p>
        </w:tc>
        <w:tc>
          <w:tcPr>
            <w:tcW w:w="1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月，任长江商学院教授；</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月至今，任中欧国际工商学院教授。现兼任三六零独立董事。</w:t>
            </w:r>
          </w:p>
        </w:tc>
      </w:tr>
      <w:tr>
        <w:trPr>
          <w:trHeight w:val="82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刘贵彬</w:t>
            </w:r>
          </w:p>
        </w:tc>
        <w:tc>
          <w:tcPr>
            <w:tcW w:w="1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2007</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11</w:t>
            </w:r>
            <w:r>
              <w:rPr>
                <w:rFonts w:ascii="宋体" w:hAnsi="宋体" w:cs="宋体" w:eastAsia="宋体" w:hint="default"/>
                <w:spacing w:val="-55"/>
                <w:sz w:val="21"/>
                <w:szCs w:val="21"/>
              </w:rPr>
              <w:t> </w:t>
            </w:r>
            <w:r>
              <w:rPr>
                <w:rFonts w:ascii="宋体" w:hAnsi="宋体" w:cs="宋体" w:eastAsia="宋体" w:hint="default"/>
                <w:w w:val="100"/>
                <w:sz w:val="21"/>
                <w:szCs w:val="21"/>
              </w:rPr>
              <w:t>月至</w:t>
            </w:r>
            <w:r>
              <w:rPr>
                <w:rFonts w:ascii="宋体" w:hAnsi="宋体" w:cs="宋体" w:eastAsia="宋体" w:hint="default"/>
                <w:spacing w:val="-54"/>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1</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宋体" w:hAnsi="宋体" w:cs="宋体" w:eastAsia="宋体" w:hint="default"/>
                <w:w w:val="100"/>
                <w:sz w:val="21"/>
                <w:szCs w:val="21"/>
              </w:rPr>
              <w:t>2</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任</w:t>
            </w:r>
            <w:r>
              <w:rPr>
                <w:rFonts w:ascii="宋体" w:hAnsi="宋体" w:cs="宋体" w:eastAsia="宋体" w:hint="default"/>
                <w:w w:val="100"/>
                <w:sz w:val="21"/>
                <w:szCs w:val="21"/>
              </w:rPr>
              <w:t>中</w:t>
            </w:r>
            <w:r>
              <w:rPr>
                <w:rFonts w:ascii="宋体" w:hAnsi="宋体" w:cs="宋体" w:eastAsia="宋体" w:hint="default"/>
                <w:spacing w:val="-3"/>
                <w:w w:val="100"/>
                <w:sz w:val="21"/>
                <w:szCs w:val="21"/>
              </w:rPr>
              <w:t>瑞</w:t>
            </w:r>
            <w:r>
              <w:rPr>
                <w:rFonts w:ascii="宋体" w:hAnsi="宋体" w:cs="宋体" w:eastAsia="宋体" w:hint="default"/>
                <w:w w:val="100"/>
                <w:sz w:val="21"/>
                <w:szCs w:val="21"/>
              </w:rPr>
              <w:t>岳</w:t>
            </w:r>
            <w:r>
              <w:rPr>
                <w:rFonts w:ascii="宋体" w:hAnsi="宋体" w:cs="宋体" w:eastAsia="宋体" w:hint="default"/>
                <w:spacing w:val="-3"/>
                <w:w w:val="100"/>
                <w:sz w:val="21"/>
                <w:szCs w:val="21"/>
              </w:rPr>
              <w:t>华</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师</w:t>
            </w:r>
            <w:r>
              <w:rPr>
                <w:rFonts w:ascii="宋体" w:hAnsi="宋体" w:cs="宋体" w:eastAsia="宋体" w:hint="default"/>
                <w:spacing w:val="-3"/>
                <w:w w:val="100"/>
                <w:sz w:val="21"/>
                <w:szCs w:val="21"/>
              </w:rPr>
              <w:t>事务</w:t>
            </w:r>
            <w:r>
              <w:rPr>
                <w:rFonts w:ascii="宋体" w:hAnsi="宋体" w:cs="宋体" w:eastAsia="宋体" w:hint="default"/>
                <w:w w:val="100"/>
                <w:sz w:val="21"/>
                <w:szCs w:val="21"/>
              </w:rPr>
              <w:t>所有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长</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011</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2</w:t>
            </w:r>
            <w:r>
              <w:rPr>
                <w:rFonts w:ascii="宋体" w:hAnsi="宋体" w:cs="宋体" w:eastAsia="宋体" w:hint="default"/>
                <w:spacing w:val="-53"/>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至</w:t>
            </w:r>
            <w:r>
              <w:rPr>
                <w:rFonts w:ascii="宋体" w:hAnsi="宋体" w:cs="宋体" w:eastAsia="宋体" w:hint="default"/>
                <w:spacing w:val="-5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013</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4</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任</w:t>
            </w:r>
            <w:r>
              <w:rPr>
                <w:rFonts w:ascii="宋体" w:hAnsi="宋体" w:cs="宋体" w:eastAsia="宋体" w:hint="default"/>
                <w:w w:val="100"/>
                <w:sz w:val="21"/>
                <w:szCs w:val="21"/>
              </w:rPr>
              <w:t>中瑞</w:t>
            </w:r>
            <w:r>
              <w:rPr>
                <w:rFonts w:ascii="宋体" w:hAnsi="宋体" w:cs="宋体" w:eastAsia="宋体" w:hint="default"/>
                <w:spacing w:val="-3"/>
                <w:w w:val="100"/>
                <w:sz w:val="21"/>
                <w:szCs w:val="21"/>
              </w:rPr>
              <w:t>岳</w:t>
            </w:r>
            <w:r>
              <w:rPr>
                <w:rFonts w:ascii="宋体" w:hAnsi="宋体" w:cs="宋体" w:eastAsia="宋体" w:hint="default"/>
                <w:w w:val="100"/>
                <w:sz w:val="21"/>
                <w:szCs w:val="21"/>
              </w:rPr>
              <w:t>华</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师</w:t>
            </w:r>
            <w:r>
              <w:rPr>
                <w:rFonts w:ascii="宋体" w:hAnsi="宋体" w:cs="宋体" w:eastAsia="宋体" w:hint="default"/>
                <w:w w:val="100"/>
                <w:sz w:val="21"/>
                <w:szCs w:val="21"/>
              </w:rPr>
              <w:t>事</w:t>
            </w:r>
            <w:r>
              <w:rPr>
                <w:rFonts w:ascii="宋体" w:hAnsi="宋体" w:cs="宋体" w:eastAsia="宋体" w:hint="default"/>
                <w:spacing w:val="-3"/>
                <w:w w:val="100"/>
                <w:sz w:val="21"/>
                <w:szCs w:val="21"/>
              </w:rPr>
              <w:t>务</w:t>
            </w:r>
            <w:r>
              <w:rPr>
                <w:rFonts w:ascii="宋体" w:hAnsi="宋体" w:cs="宋体" w:eastAsia="宋体" w:hint="default"/>
                <w:w w:val="100"/>
                <w:sz w:val="21"/>
                <w:szCs w:val="21"/>
              </w:rPr>
              <w:t>所</w:t>
            </w:r>
            <w:r>
              <w:rPr>
                <w:rFonts w:ascii="宋体" w:hAnsi="宋体" w:cs="宋体" w:eastAsia="宋体" w:hint="default"/>
                <w:spacing w:val="-3"/>
                <w:w w:val="100"/>
                <w:sz w:val="21"/>
                <w:szCs w:val="21"/>
              </w:rPr>
              <w:t>(</w:t>
            </w:r>
            <w:r>
              <w:rPr>
                <w:rFonts w:ascii="宋体" w:hAnsi="宋体" w:cs="宋体" w:eastAsia="宋体" w:hint="default"/>
                <w:w w:val="100"/>
                <w:sz w:val="21"/>
                <w:szCs w:val="21"/>
              </w:rPr>
              <w:t>特</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殊普通合伙</w:t>
            </w:r>
            <w:r>
              <w:rPr>
                <w:rFonts w:ascii="宋体" w:hAnsi="宋体" w:cs="宋体" w:eastAsia="宋体" w:hint="default"/>
                <w:spacing w:val="-5"/>
                <w:sz w:val="21"/>
                <w:szCs w:val="21"/>
              </w:rPr>
              <w:t>)</w:t>
            </w:r>
            <w:r>
              <w:rPr>
                <w:rFonts w:ascii="宋体" w:hAnsi="宋体" w:cs="宋体" w:eastAsia="宋体" w:hint="default"/>
                <w:spacing w:val="-5"/>
                <w:sz w:val="21"/>
                <w:szCs w:val="21"/>
              </w:rPr>
              <w:t>合伙人兼管理委员会委员；</w:t>
            </w:r>
            <w:r>
              <w:rPr>
                <w:rFonts w:ascii="宋体" w:hAnsi="宋体" w:cs="宋体" w:eastAsia="宋体" w:hint="default"/>
                <w:spacing w:val="-5"/>
                <w:sz w:val="21"/>
                <w:szCs w:val="21"/>
              </w:rPr>
              <w:t>2013</w:t>
            </w:r>
            <w:r>
              <w:rPr>
                <w:rFonts w:ascii="宋体" w:hAnsi="宋体" w:cs="宋体" w:eastAsia="宋体"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5</w:t>
            </w:r>
            <w:r>
              <w:rPr>
                <w:rFonts w:ascii="宋体" w:hAnsi="宋体" w:cs="宋体" w:eastAsia="宋体" w:hint="default"/>
                <w:spacing w:val="-33"/>
                <w:sz w:val="21"/>
                <w:szCs w:val="21"/>
              </w:rPr>
              <w:t> </w:t>
            </w:r>
            <w:r>
              <w:rPr>
                <w:rFonts w:ascii="宋体" w:hAnsi="宋体" w:cs="宋体" w:eastAsia="宋体" w:hint="default"/>
                <w:spacing w:val="-6"/>
                <w:sz w:val="21"/>
                <w:szCs w:val="21"/>
              </w:rPr>
              <w:t>月至今，任瑞华会计师事务所</w:t>
            </w:r>
            <w:r>
              <w:rPr>
                <w:rFonts w:ascii="宋体" w:hAnsi="宋体" w:cs="宋体" w:eastAsia="宋体" w:hint="default"/>
                <w:spacing w:val="-6"/>
                <w:sz w:val="21"/>
                <w:szCs w:val="21"/>
              </w:rPr>
              <w:t>(</w:t>
            </w:r>
            <w:r>
              <w:rPr>
                <w:rFonts w:ascii="宋体" w:hAnsi="宋体" w:cs="宋体" w:eastAsia="宋体" w:hint="default"/>
                <w:spacing w:val="-6"/>
                <w:sz w:val="21"/>
                <w:szCs w:val="21"/>
              </w:rPr>
              <w:t>特殊普通合伙</w:t>
            </w:r>
            <w:r>
              <w:rPr>
                <w:rFonts w:ascii="宋体" w:hAnsi="宋体" w:cs="宋体" w:eastAsia="宋体" w:hint="default"/>
                <w:spacing w:val="-6"/>
                <w:sz w:val="21"/>
                <w:szCs w:val="21"/>
              </w:rPr>
              <w:t>)</w:t>
            </w:r>
            <w:r>
              <w:rPr>
                <w:rFonts w:ascii="宋体" w:hAnsi="宋体" w:cs="宋体" w:eastAsia="宋体" w:hint="default"/>
                <w:spacing w:val="-6"/>
                <w:sz w:val="21"/>
                <w:szCs w:val="21"/>
              </w:rPr>
              <w:t>合伙人兼管理委员会委员。自</w:t>
            </w:r>
            <w:r>
              <w:rPr>
                <w:rFonts w:ascii="宋体" w:hAnsi="宋体" w:cs="宋体" w:eastAsia="宋体" w:hint="default"/>
                <w:spacing w:val="-28"/>
                <w:sz w:val="21"/>
                <w:szCs w:val="21"/>
              </w:rPr>
              <w:t> </w:t>
            </w:r>
            <w:r>
              <w:rPr>
                <w:rFonts w:ascii="宋体" w:hAnsi="宋体" w:cs="宋体" w:eastAsia="宋体" w:hint="default"/>
                <w:sz w:val="21"/>
                <w:szCs w:val="21"/>
              </w:rPr>
              <w:t>2018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5"/>
                <w:sz w:val="21"/>
                <w:szCs w:val="21"/>
              </w:rPr>
              <w:t> </w:t>
            </w:r>
            <w:r>
              <w:rPr>
                <w:rFonts w:ascii="宋体" w:hAnsi="宋体" w:cs="宋体" w:eastAsia="宋体" w:hint="default"/>
                <w:sz w:val="21"/>
                <w:szCs w:val="21"/>
              </w:rPr>
              <w:t>日起兼任三六零独立董事，已于</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日向公司董事会提出辞职。</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张莉</w:t>
            </w:r>
          </w:p>
        </w:tc>
        <w:tc>
          <w:tcPr>
            <w:tcW w:w="1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月起，在</w:t>
            </w:r>
            <w:r>
              <w:rPr>
                <w:rFonts w:ascii="宋体" w:hAnsi="宋体" w:cs="宋体" w:eastAsia="宋体" w:hint="default"/>
                <w:spacing w:val="-55"/>
                <w:sz w:val="21"/>
                <w:szCs w:val="21"/>
              </w:rPr>
              <w:t> </w:t>
            </w:r>
            <w:r>
              <w:rPr>
                <w:rFonts w:ascii="宋体" w:hAnsi="宋体" w:cs="宋体" w:eastAsia="宋体" w:hint="default"/>
                <w:sz w:val="21"/>
                <w:szCs w:val="21"/>
              </w:rPr>
              <w:t>Qihoo360</w:t>
            </w:r>
            <w:r>
              <w:rPr>
                <w:rFonts w:ascii="宋体" w:hAnsi="宋体" w:cs="宋体" w:eastAsia="宋体" w:hint="default"/>
                <w:spacing w:val="-55"/>
                <w:sz w:val="21"/>
                <w:szCs w:val="21"/>
              </w:rPr>
              <w:t> </w:t>
            </w:r>
            <w:r>
              <w:rPr>
                <w:rFonts w:ascii="宋体" w:hAnsi="宋体" w:cs="宋体" w:eastAsia="宋体" w:hint="default"/>
                <w:sz w:val="21"/>
                <w:szCs w:val="21"/>
              </w:rPr>
              <w:t>任职，历任运营主管、运营经理、运营副总监、高级总监。现任三六零监事、高级总监。</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郑庆生</w:t>
            </w:r>
          </w:p>
        </w:tc>
        <w:tc>
          <w:tcPr>
            <w:tcW w:w="1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月，任挚信资本合伙人；</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月至今，任红杉资本中国基金合伙人。现兼任三六零监事。</w:t>
            </w:r>
          </w:p>
        </w:tc>
      </w:tr>
      <w:tr>
        <w:trPr>
          <w:trHeight w:val="5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李宜檑</w:t>
            </w:r>
          </w:p>
        </w:tc>
        <w:tc>
          <w:tcPr>
            <w:tcW w:w="1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5</w:t>
            </w:r>
            <w:r>
              <w:rPr>
                <w:rFonts w:ascii="宋体" w:hAnsi="宋体" w:cs="宋体" w:eastAsia="宋体" w:hint="default"/>
                <w:spacing w:val="-45"/>
                <w:sz w:val="21"/>
                <w:szCs w:val="21"/>
              </w:rPr>
              <w:t> </w:t>
            </w:r>
            <w:r>
              <w:rPr>
                <w:rFonts w:ascii="宋体" w:hAnsi="宋体" w:cs="宋体" w:eastAsia="宋体" w:hint="default"/>
                <w:sz w:val="21"/>
                <w:szCs w:val="21"/>
              </w:rPr>
              <w:t>月起，在</w:t>
            </w:r>
            <w:r>
              <w:rPr>
                <w:rFonts w:ascii="宋体" w:hAnsi="宋体" w:cs="宋体" w:eastAsia="宋体" w:hint="default"/>
                <w:spacing w:val="-47"/>
                <w:sz w:val="21"/>
                <w:szCs w:val="21"/>
              </w:rPr>
              <w:t> </w:t>
            </w:r>
            <w:r>
              <w:rPr>
                <w:rFonts w:ascii="宋体" w:hAnsi="宋体" w:cs="宋体" w:eastAsia="宋体" w:hint="default"/>
                <w:sz w:val="21"/>
                <w:szCs w:val="21"/>
              </w:rPr>
              <w:t>Qihoo360</w:t>
            </w:r>
            <w:r>
              <w:rPr>
                <w:rFonts w:ascii="宋体" w:hAnsi="宋体" w:cs="宋体" w:eastAsia="宋体" w:hint="default"/>
                <w:spacing w:val="-45"/>
                <w:sz w:val="21"/>
                <w:szCs w:val="21"/>
              </w:rPr>
              <w:t> </w:t>
            </w:r>
            <w:r>
              <w:rPr>
                <w:rFonts w:ascii="宋体" w:hAnsi="宋体" w:cs="宋体" w:eastAsia="宋体" w:hint="default"/>
                <w:sz w:val="21"/>
                <w:szCs w:val="21"/>
              </w:rPr>
              <w:t>任职，历任测试工程师、测试经理、高级测试经理、运营总监。现任三六零监事、安全产品事业部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r>
      <w:tr>
        <w:trPr>
          <w:trHeight w:val="1100"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王巍</w:t>
            </w:r>
          </w:p>
        </w:tc>
        <w:tc>
          <w:tcPr>
            <w:tcW w:w="1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月，任中泰证券投资银行部业务副总监；</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月，任申万宏源投资银行部业务总监；</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pacing w:val="-5"/>
                <w:sz w:val="21"/>
                <w:szCs w:val="21"/>
              </w:rPr>
              <w:t>月，任达晨创投并购业务负责人；</w:t>
            </w:r>
            <w:r>
              <w:rPr>
                <w:rFonts w:ascii="宋体" w:hAnsi="宋体" w:cs="宋体" w:eastAsia="宋体" w:hint="default"/>
                <w:spacing w:val="-5"/>
                <w:sz w:val="21"/>
                <w:szCs w:val="21"/>
              </w:rPr>
              <w:t>2015</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pacing w:val="-4"/>
                <w:sz w:val="21"/>
                <w:szCs w:val="21"/>
              </w:rPr>
              <w:t>月，任四川迅游网络科技股份有限公司副总裁</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兼董事会秘书；</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月，任华讯方舟股份有限公司副总经理兼董事会秘书、首席投资官；</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pacing w:val="-3"/>
                <w:sz w:val="21"/>
                <w:szCs w:val="21"/>
              </w:rPr>
              <w:t>月加入三</w:t>
            </w:r>
            <w:r>
              <w:rPr>
                <w:rFonts w:ascii="宋体" w:hAnsi="宋体" w:cs="宋体" w:eastAsia="宋体" w:hint="default"/>
                <w:spacing w:val="-3"/>
                <w:w w:val="100"/>
                <w:sz w:val="21"/>
                <w:szCs w:val="21"/>
              </w:rPr>
              <w:t> </w:t>
            </w:r>
            <w:r>
              <w:rPr>
                <w:rFonts w:ascii="宋体" w:hAnsi="宋体" w:cs="宋体" w:eastAsia="宋体" w:hint="default"/>
                <w:sz w:val="21"/>
                <w:szCs w:val="21"/>
              </w:rPr>
              <w:t>六零，现任三六零集团副总裁兼董事会秘书。</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张矛</w:t>
            </w:r>
          </w:p>
        </w:tc>
        <w:tc>
          <w:tcPr>
            <w:tcW w:w="1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2018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z w:val="21"/>
                <w:szCs w:val="21"/>
              </w:rPr>
              <w:t>月，历任中国联合网络通信集团有限公司财务部管理会计处经理</w:t>
            </w:r>
            <w:r>
              <w:rPr>
                <w:rFonts w:ascii="宋体" w:hAnsi="宋体" w:cs="宋体" w:eastAsia="宋体" w:hint="default"/>
                <w:sz w:val="21"/>
                <w:szCs w:val="21"/>
              </w:rPr>
              <w:t>(</w:t>
            </w:r>
            <w:r>
              <w:rPr>
                <w:rFonts w:ascii="宋体" w:hAnsi="宋体" w:cs="宋体" w:eastAsia="宋体" w:hint="default"/>
                <w:sz w:val="21"/>
                <w:szCs w:val="21"/>
              </w:rPr>
              <w:t>处长</w:t>
            </w:r>
            <w:r>
              <w:rPr>
                <w:rFonts w:ascii="宋体" w:hAnsi="宋体" w:cs="宋体" w:eastAsia="宋体" w:hint="default"/>
                <w:sz w:val="21"/>
                <w:szCs w:val="21"/>
              </w:rPr>
              <w:t>)</w:t>
            </w:r>
            <w:r>
              <w:rPr>
                <w:rFonts w:ascii="宋体" w:hAnsi="宋体" w:cs="宋体" w:eastAsia="宋体" w:hint="default"/>
                <w:sz w:val="21"/>
                <w:szCs w:val="21"/>
              </w:rPr>
              <w:t>、财务部副总经理、财务部总</w:t>
            </w:r>
          </w:p>
        </w:tc>
      </w:tr>
    </w:tbl>
    <w:p>
      <w:pPr>
        <w:spacing w:after="0" w:line="241" w:lineRule="exact"/>
        <w:jc w:val="left"/>
        <w:rPr>
          <w:rFonts w:ascii="宋体" w:hAnsi="宋体" w:cs="宋体" w:eastAsia="宋体" w:hint="default"/>
          <w:sz w:val="21"/>
          <w:szCs w:val="21"/>
        </w:rPr>
        <w:sectPr>
          <w:pgSz w:w="16840" w:h="11910" w:orient="landscape"/>
          <w:pgMar w:header="857" w:footer="1218" w:top="1320" w:bottom="1400" w:left="1220" w:right="12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122"/>
        <w:gridCol w:w="11980"/>
      </w:tblGrid>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
        </w:tc>
        <w:tc>
          <w:tcPr>
            <w:tcW w:w="1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月加入三六零，现任三六零财务副总裁兼财务负责人。</w:t>
            </w:r>
          </w:p>
        </w:tc>
      </w:tr>
      <w:tr>
        <w:trPr>
          <w:trHeight w:val="557"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谭晓生（离任）</w:t>
            </w:r>
          </w:p>
        </w:tc>
        <w:tc>
          <w:tcPr>
            <w:tcW w:w="1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月起，在</w:t>
            </w:r>
            <w:r>
              <w:rPr>
                <w:rFonts w:ascii="宋体" w:hAnsi="宋体" w:cs="宋体" w:eastAsia="宋体" w:hint="default"/>
                <w:spacing w:val="-53"/>
                <w:sz w:val="21"/>
                <w:szCs w:val="21"/>
              </w:rPr>
              <w:t> </w:t>
            </w:r>
            <w:r>
              <w:rPr>
                <w:rFonts w:ascii="宋体" w:hAnsi="宋体" w:cs="宋体" w:eastAsia="宋体" w:hint="default"/>
                <w:sz w:val="21"/>
                <w:szCs w:val="21"/>
              </w:rPr>
              <w:t>Qihoo360</w:t>
            </w:r>
            <w:r>
              <w:rPr>
                <w:rFonts w:ascii="宋体" w:hAnsi="宋体" w:cs="宋体" w:eastAsia="宋体" w:hint="default"/>
                <w:spacing w:val="-54"/>
                <w:sz w:val="21"/>
                <w:szCs w:val="21"/>
              </w:rPr>
              <w:t> </w:t>
            </w:r>
            <w:r>
              <w:rPr>
                <w:rFonts w:ascii="宋体" w:hAnsi="宋体" w:cs="宋体" w:eastAsia="宋体" w:hint="default"/>
                <w:sz w:val="21"/>
                <w:szCs w:val="21"/>
              </w:rPr>
              <w:t>任职，历任公司战略投资总监、副总裁、首席隐私官、首席安全官、副总经理。已于</w:t>
            </w:r>
            <w:r>
              <w:rPr>
                <w:rFonts w:ascii="宋体" w:hAnsi="宋体" w:cs="宋体" w:eastAsia="宋体" w:hint="default"/>
                <w:spacing w:val="-54"/>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日辞职。</w:t>
            </w:r>
          </w:p>
        </w:tc>
      </w:tr>
      <w:tr>
        <w:trPr>
          <w:trHeight w:val="5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金志峰（离任）</w:t>
            </w:r>
          </w:p>
        </w:tc>
        <w:tc>
          <w:tcPr>
            <w:tcW w:w="11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5"/>
                <w:sz w:val="21"/>
                <w:szCs w:val="21"/>
              </w:rPr>
              <w:t> </w:t>
            </w:r>
            <w:r>
              <w:rPr>
                <w:rFonts w:ascii="宋体" w:hAnsi="宋体" w:cs="宋体" w:eastAsia="宋体" w:hint="default"/>
                <w:sz w:val="21"/>
                <w:szCs w:val="21"/>
              </w:rPr>
              <w:t>年至</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月，任江南嘉捷董事长、总经理；</w:t>
            </w:r>
            <w:r>
              <w:rPr>
                <w:rFonts w:ascii="宋体" w:hAnsi="宋体" w:cs="宋体" w:eastAsia="宋体" w:hint="default"/>
                <w:sz w:val="21"/>
                <w:szCs w:val="21"/>
              </w:rPr>
              <w:t>2006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月，兼任苏州富士电梯有限公司董事长；</w:t>
            </w:r>
            <w:r>
              <w:rPr>
                <w:rFonts w:ascii="宋体" w:hAnsi="宋体" w:cs="宋体" w:eastAsia="宋体" w:hint="default"/>
                <w:sz w:val="21"/>
                <w:szCs w:val="21"/>
              </w:rPr>
              <w:t>2006</w:t>
            </w:r>
            <w:r>
              <w:rPr>
                <w:rFonts w:ascii="宋体" w:hAnsi="宋体" w:cs="宋体" w:eastAsia="宋体" w:hint="default"/>
                <w:spacing w:val="-55"/>
                <w:sz w:val="21"/>
                <w:szCs w:val="21"/>
              </w:rPr>
              <w:t> </w:t>
            </w:r>
            <w:r>
              <w:rPr>
                <w:rFonts w:ascii="宋体" w:hAnsi="宋体" w:cs="宋体" w:eastAsia="宋体" w:hint="default"/>
                <w:spacing w:val="-3"/>
                <w:sz w:val="21"/>
                <w:szCs w:val="21"/>
              </w:rPr>
              <w:t>年起兼</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任苏州史杰克品牌管理有限公司执行董事兼总经理、苏州劳灵精密机械有限公司董事。</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钱金水（离任）</w:t>
            </w:r>
          </w:p>
        </w:tc>
        <w:tc>
          <w:tcPr>
            <w:tcW w:w="1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月，任江南嘉捷副董事长；</w:t>
            </w: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年起，兼任苏州市建业实业有限公司执行董事长兼总经理。</w:t>
            </w:r>
          </w:p>
        </w:tc>
      </w:tr>
      <w:tr>
        <w:trPr>
          <w:trHeight w:val="555"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金祖铭（离任）</w:t>
            </w:r>
          </w:p>
        </w:tc>
        <w:tc>
          <w:tcPr>
            <w:tcW w:w="1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pacing w:val="-3"/>
                <w:sz w:val="21"/>
                <w:szCs w:val="21"/>
              </w:rPr>
              <w:t>月，任江南嘉捷董事；</w:t>
            </w:r>
            <w:r>
              <w:rPr>
                <w:rFonts w:ascii="宋体" w:hAnsi="宋体" w:cs="宋体" w:eastAsia="宋体" w:hint="default"/>
                <w:spacing w:val="-3"/>
                <w:sz w:val="21"/>
                <w:szCs w:val="21"/>
              </w:rPr>
              <w:t>2002</w:t>
            </w:r>
            <w:r>
              <w:rPr>
                <w:rFonts w:ascii="宋体" w:hAnsi="宋体" w:cs="宋体" w:eastAsia="宋体" w:hint="default"/>
                <w:spacing w:val="-55"/>
                <w:sz w:val="21"/>
                <w:szCs w:val="21"/>
              </w:rPr>
              <w:t> </w:t>
            </w:r>
            <w:r>
              <w:rPr>
                <w:rFonts w:ascii="宋体" w:hAnsi="宋体" w:cs="宋体" w:eastAsia="宋体" w:hint="default"/>
                <w:sz w:val="21"/>
                <w:szCs w:val="21"/>
              </w:rPr>
              <w:t>年起，兼任苏州江南赛特数控设备有限公司</w:t>
            </w:r>
            <w:r>
              <w:rPr>
                <w:rFonts w:ascii="宋体" w:hAnsi="宋体" w:cs="宋体" w:eastAsia="宋体" w:hint="default"/>
                <w:sz w:val="21"/>
                <w:szCs w:val="21"/>
              </w:rPr>
              <w:t>(</w:t>
            </w:r>
            <w:r>
              <w:rPr>
                <w:rFonts w:ascii="宋体" w:hAnsi="宋体" w:cs="宋体" w:eastAsia="宋体" w:hint="default"/>
                <w:sz w:val="21"/>
                <w:szCs w:val="21"/>
              </w:rPr>
              <w:t>待注销</w:t>
            </w:r>
            <w:r>
              <w:rPr>
                <w:rFonts w:ascii="宋体" w:hAnsi="宋体" w:cs="宋体" w:eastAsia="宋体" w:hint="default"/>
                <w:sz w:val="21"/>
                <w:szCs w:val="21"/>
              </w:rPr>
              <w:t>)</w:t>
            </w:r>
            <w:r>
              <w:rPr>
                <w:rFonts w:ascii="宋体" w:hAnsi="宋体" w:cs="宋体" w:eastAsia="宋体" w:hint="default"/>
                <w:sz w:val="21"/>
                <w:szCs w:val="21"/>
              </w:rPr>
              <w:t>董事长；</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pacing w:val="-4"/>
                <w:sz w:val="21"/>
                <w:szCs w:val="21"/>
              </w:rPr>
              <w:t>月起，兼</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任苏州江南嘉捷机电研究院有限公司董事长兼总经理；</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月起，兼任苏州劳灵精密机械有限公司董事。</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王惠芳（离任）</w:t>
            </w:r>
          </w:p>
        </w:tc>
        <w:tc>
          <w:tcPr>
            <w:tcW w:w="1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年至</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月，任江南嘉捷董事。</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吴炯（离任）</w:t>
            </w:r>
          </w:p>
        </w:tc>
        <w:tc>
          <w:tcPr>
            <w:tcW w:w="1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月，任江南嘉捷董事兼副总经理。</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程礼源（离任）</w:t>
            </w:r>
          </w:p>
        </w:tc>
        <w:tc>
          <w:tcPr>
            <w:tcW w:w="1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月，任江南嘉捷独立董事。</w:t>
            </w:r>
          </w:p>
        </w:tc>
      </w:tr>
      <w:tr>
        <w:trPr>
          <w:trHeight w:val="5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王稼铭（离任）</w:t>
            </w:r>
          </w:p>
        </w:tc>
        <w:tc>
          <w:tcPr>
            <w:tcW w:w="1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年起，任中通诚资产评估有限公司（证券资质）江苏仁合分公司负责人；</w:t>
            </w: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z w:val="21"/>
                <w:szCs w:val="21"/>
              </w:rPr>
              <w:t>月起，兼任苏州三光科技股份有限公司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月，任江南嘉捷独立董事。</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肖翔（离任）</w:t>
            </w:r>
          </w:p>
        </w:tc>
        <w:tc>
          <w:tcPr>
            <w:tcW w:w="1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年起，任北京大成（苏州）律师事务所负责人；</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月，任江南嘉捷独立董事。</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陈喆（离任）</w:t>
            </w:r>
          </w:p>
        </w:tc>
        <w:tc>
          <w:tcPr>
            <w:tcW w:w="1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月，任江南嘉捷工会主席、监事会主席；</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月，任苏州富士电梯有限公司监事。</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徐娟（离任）</w:t>
            </w:r>
          </w:p>
        </w:tc>
        <w:tc>
          <w:tcPr>
            <w:tcW w:w="1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月，任江南嘉捷监事。</w:t>
            </w:r>
          </w:p>
        </w:tc>
      </w:tr>
      <w:tr>
        <w:trPr>
          <w:trHeight w:val="28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潘代秋（离任）</w:t>
            </w:r>
          </w:p>
        </w:tc>
        <w:tc>
          <w:tcPr>
            <w:tcW w:w="11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月，任江南嘉捷监事；</w:t>
            </w: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月起，兼任江南嘉捷研究院监事。</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苏金荣（离任）</w:t>
            </w:r>
          </w:p>
        </w:tc>
        <w:tc>
          <w:tcPr>
            <w:tcW w:w="1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月，任江南嘉捷高级管理人员；</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月，兼任苏州富士电梯有限公司总经理。</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魏山虎（离任）</w:t>
            </w:r>
          </w:p>
        </w:tc>
        <w:tc>
          <w:tcPr>
            <w:tcW w:w="1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月，任江南嘉捷高级管理人员；</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月起，兼任苏州劳灵精密机械有限公司总经理。</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邹克雷（离任）</w:t>
            </w:r>
          </w:p>
        </w:tc>
        <w:tc>
          <w:tcPr>
            <w:tcW w:w="1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月，任江南嘉捷董事会秘书；</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月起，兼任苏州金融租赁股份有限公司董事。</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夏涛（离任）</w:t>
            </w:r>
          </w:p>
        </w:tc>
        <w:tc>
          <w:tcPr>
            <w:tcW w:w="1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月，任江南嘉捷高级管理人员。</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钱勇华（离任）</w:t>
            </w:r>
          </w:p>
        </w:tc>
        <w:tc>
          <w:tcPr>
            <w:tcW w:w="1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月，任江南嘉捷高级管理人员。</w:t>
            </w:r>
          </w:p>
        </w:tc>
      </w:tr>
    </w:tbl>
    <w:p>
      <w:pPr>
        <w:spacing w:line="240" w:lineRule="auto" w:before="6"/>
        <w:rPr>
          <w:rFonts w:ascii="宋体" w:hAnsi="宋体" w:cs="宋体" w:eastAsia="宋体" w:hint="default"/>
          <w:sz w:val="18"/>
          <w:szCs w:val="18"/>
        </w:rPr>
      </w:pPr>
    </w:p>
    <w:p>
      <w:pPr>
        <w:pStyle w:val="BodyText"/>
        <w:spacing w:line="274" w:lineRule="exact" w:before="36"/>
        <w:ind w:left="220" w:right="0"/>
        <w:jc w:val="left"/>
      </w:pPr>
      <w:r>
        <w:rPr/>
        <w:t>其它情况说明</w:t>
      </w:r>
    </w:p>
    <w:p>
      <w:pPr>
        <w:pStyle w:val="BodyText"/>
        <w:spacing w:line="274" w:lineRule="exact"/>
        <w:ind w:left="220" w:right="0"/>
        <w:jc w:val="left"/>
      </w:pPr>
      <w:r>
        <w:rPr/>
        <w:t>□适用 √不适用</w:t>
      </w:r>
    </w:p>
    <w:p>
      <w:pPr>
        <w:spacing w:after="0" w:line="274" w:lineRule="exact"/>
        <w:jc w:val="left"/>
        <w:sectPr>
          <w:pgSz w:w="16840" w:h="11910" w:orient="landscape"/>
          <w:pgMar w:header="857" w:footer="1218" w:top="1320" w:bottom="1400" w:left="122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Heading5"/>
        <w:spacing w:line="240" w:lineRule="auto" w:before="36"/>
        <w:ind w:right="234"/>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5"/>
        <w:spacing w:line="290" w:lineRule="auto" w:before="29"/>
        <w:ind w:right="2963"/>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w w:val="100"/>
        </w:rPr>
        <w:t> </w:t>
      </w:r>
      <w:r>
        <w:rPr>
          <w:spacing w:val="-1"/>
        </w:rPr>
        <w:t>二、现任及报告期内离任董事、监事和高级管理人员的任职情况</w:t>
      </w:r>
      <w:r>
        <w:rPr>
          <w:spacing w:val="-81"/>
        </w:rPr>
        <w:t> </w:t>
      </w:r>
      <w:r>
        <w:rPr>
          <w:spacing w:val="-81"/>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3" w:lineRule="exact"/>
        <w:ind w:left="218" w:right="234"/>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33"/>
        <w:gridCol w:w="3368"/>
        <w:gridCol w:w="2849"/>
      </w:tblGrid>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在股东单位担任的职务</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周鸿祎</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天津奇信志成科技有限公司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62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周鸿祎先生现兼任控股股东奇信志成执行董事职务</w:t>
            </w:r>
          </w:p>
        </w:tc>
      </w:tr>
    </w:tbl>
    <w:p>
      <w:pPr>
        <w:spacing w:line="240" w:lineRule="auto" w:before="2"/>
        <w:rPr>
          <w:rFonts w:ascii="宋体" w:hAnsi="宋体" w:cs="宋体" w:eastAsia="宋体" w:hint="default"/>
          <w:sz w:val="20"/>
          <w:szCs w:val="20"/>
        </w:rPr>
      </w:pPr>
    </w:p>
    <w:p>
      <w:pPr>
        <w:pStyle w:val="Heading5"/>
        <w:spacing w:line="240" w:lineRule="auto" w:before="36"/>
        <w:ind w:right="234"/>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0"/>
        <w:ind w:left="218" w:right="234"/>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97"/>
        <w:gridCol w:w="3371"/>
        <w:gridCol w:w="1418"/>
        <w:gridCol w:w="2338"/>
      </w:tblGrid>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49"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在其他单位</w:t>
            </w:r>
          </w:p>
          <w:p>
            <w:pPr>
              <w:pStyle w:val="TableParagraph"/>
              <w:spacing w:line="273" w:lineRule="exact"/>
              <w:ind w:left="177"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兼职单位与上市公司关</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联关系</w:t>
            </w:r>
          </w:p>
        </w:tc>
      </w:tr>
      <w:tr>
        <w:trPr>
          <w:trHeight w:val="554" w:hRule="exact"/>
        </w:trPr>
        <w:tc>
          <w:tcPr>
            <w:tcW w:w="16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527" w:right="0"/>
              <w:jc w:val="left"/>
              <w:rPr>
                <w:rFonts w:ascii="宋体" w:hAnsi="宋体" w:cs="宋体" w:eastAsia="宋体" w:hint="default"/>
                <w:sz w:val="21"/>
                <w:szCs w:val="21"/>
              </w:rPr>
            </w:pPr>
            <w:r>
              <w:rPr>
                <w:rFonts w:ascii="宋体" w:hAnsi="宋体" w:cs="宋体" w:eastAsia="宋体" w:hint="default"/>
                <w:sz w:val="21"/>
                <w:szCs w:val="21"/>
              </w:rPr>
              <w:t>周鸿祎</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北京奇安信科技有限公司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公司控制的企业参股的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企业</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天津奇信智控科技有限公司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控股股东控制的企业</w:t>
            </w:r>
          </w:p>
        </w:tc>
      </w:tr>
      <w:tr>
        <w:trPr>
          <w:trHeight w:val="281"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天津奇信健控科技有限公司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控股股东控制的企业</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天津奇信欧控科技有限公司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控股股东控制的企业</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天津奇信富控科技有限公司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控股股东控制的企业</w:t>
            </w:r>
          </w:p>
        </w:tc>
      </w:tr>
      <w:tr>
        <w:trPr>
          <w:trHeight w:val="554"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奇酷互联网络科技（深圳）有限公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控股股东控制的企业</w:t>
            </w:r>
          </w:p>
        </w:tc>
      </w:tr>
      <w:tr>
        <w:trPr>
          <w:trHeight w:val="281"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北京奇飞翔艺商务咨询有限公司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控股股东控制的企业</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奇虎三六零软件（北京）有限公司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控股股东控制的企业</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北京奇创优胜科技有限公司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控股股东控制的企业</w:t>
            </w:r>
          </w:p>
        </w:tc>
      </w:tr>
      <w:tr>
        <w:trPr>
          <w:trHeight w:val="281"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北京良医科技有限公司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控股股东控制的企业</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珠海横琴奇信志成投资有限公司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实际控制人控制的企业</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深圳市大神电子商务有限公司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控股股东控制的企业</w:t>
            </w:r>
          </w:p>
        </w:tc>
      </w:tr>
      <w:tr>
        <w:trPr>
          <w:trHeight w:val="281"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天津众信股权投资管理有限公司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实际控制人控制的企业</w:t>
            </w:r>
          </w:p>
        </w:tc>
      </w:tr>
      <w:tr>
        <w:trPr>
          <w:trHeight w:val="554"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Qi</w:t>
            </w:r>
            <w:r>
              <w:rPr>
                <w:rFonts w:ascii="宋体"/>
                <w:spacing w:val="-19"/>
                <w:sz w:val="21"/>
              </w:rPr>
              <w:t> </w:t>
            </w:r>
            <w:r>
              <w:rPr>
                <w:rFonts w:ascii="宋体"/>
                <w:sz w:val="21"/>
              </w:rPr>
              <w:t>Xin</w:t>
            </w:r>
            <w:r>
              <w:rPr>
                <w:rFonts w:ascii="宋体"/>
                <w:spacing w:val="-21"/>
                <w:sz w:val="21"/>
              </w:rPr>
              <w:t> </w:t>
            </w:r>
            <w:r>
              <w:rPr>
                <w:rFonts w:ascii="宋体"/>
                <w:sz w:val="21"/>
              </w:rPr>
              <w:t>Zhi</w:t>
            </w:r>
            <w:r>
              <w:rPr>
                <w:rFonts w:ascii="宋体"/>
                <w:spacing w:val="-21"/>
                <w:sz w:val="21"/>
              </w:rPr>
              <w:t> </w:t>
            </w:r>
            <w:r>
              <w:rPr>
                <w:rFonts w:ascii="宋体"/>
                <w:sz w:val="21"/>
              </w:rPr>
              <w:t>Kong</w:t>
            </w:r>
            <w:r>
              <w:rPr>
                <w:rFonts w:ascii="宋体"/>
                <w:spacing w:val="-21"/>
                <w:sz w:val="21"/>
              </w:rPr>
              <w:t> </w:t>
            </w:r>
            <w:r>
              <w:rPr>
                <w:rFonts w:ascii="宋体"/>
                <w:sz w:val="21"/>
              </w:rPr>
              <w:t>Technology</w:t>
            </w:r>
            <w:r>
              <w:rPr>
                <w:rFonts w:ascii="宋体"/>
                <w:spacing w:val="-19"/>
                <w:sz w:val="21"/>
              </w:rPr>
              <w:t> </w:t>
            </w:r>
            <w:r>
              <w:rPr>
                <w:rFonts w:ascii="宋体"/>
                <w:sz w:val="21"/>
              </w:rPr>
              <w:t>Co.,</w:t>
            </w:r>
          </w:p>
          <w:p>
            <w:pPr>
              <w:pStyle w:val="TableParagraph"/>
              <w:spacing w:line="274" w:lineRule="exact"/>
              <w:ind w:left="100" w:right="0"/>
              <w:jc w:val="left"/>
              <w:rPr>
                <w:rFonts w:ascii="宋体" w:hAnsi="宋体" w:cs="宋体" w:eastAsia="宋体" w:hint="default"/>
                <w:sz w:val="21"/>
                <w:szCs w:val="21"/>
              </w:rPr>
            </w:pPr>
            <w:r>
              <w:rPr>
                <w:rFonts w:ascii="宋体"/>
                <w:sz w:val="21"/>
              </w:rPr>
              <w:t>Ltd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控股股东控制的企业</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Tech Time Development</w:t>
            </w:r>
            <w:r>
              <w:rPr>
                <w:rFonts w:ascii="宋体"/>
                <w:spacing w:val="-1"/>
                <w:sz w:val="21"/>
              </w:rPr>
              <w:t> </w:t>
            </w:r>
            <w:r>
              <w:rPr>
                <w:rFonts w:ascii="宋体"/>
                <w:sz w:val="21"/>
              </w:rPr>
              <w:t>Limited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控股股东控制的企业</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Qihoo 360 Technology Co.</w:t>
            </w:r>
            <w:r>
              <w:rPr>
                <w:rFonts w:ascii="宋体"/>
                <w:spacing w:val="-1"/>
                <w:sz w:val="21"/>
              </w:rPr>
              <w:t> </w:t>
            </w:r>
            <w:r>
              <w:rPr>
                <w:rFonts w:ascii="宋体"/>
                <w:sz w:val="21"/>
              </w:rPr>
              <w:t>Ltd.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控股股东控制的企业</w:t>
            </w:r>
          </w:p>
        </w:tc>
      </w:tr>
      <w:tr>
        <w:trPr>
          <w:trHeight w:val="555"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Philosophy Quantum </w:t>
            </w:r>
            <w:r>
              <w:rPr>
                <w:rFonts w:ascii="宋体"/>
                <w:spacing w:val="1"/>
                <w:sz w:val="21"/>
              </w:rPr>
              <w:t> </w:t>
            </w:r>
            <w:r>
              <w:rPr>
                <w:rFonts w:ascii="宋体"/>
                <w:sz w:val="21"/>
              </w:rPr>
              <w:t>Investment</w:t>
            </w:r>
          </w:p>
          <w:p>
            <w:pPr>
              <w:pStyle w:val="TableParagraph"/>
              <w:spacing w:line="273" w:lineRule="exact"/>
              <w:ind w:left="100" w:right="0"/>
              <w:jc w:val="left"/>
              <w:rPr>
                <w:rFonts w:ascii="宋体" w:hAnsi="宋体" w:cs="宋体" w:eastAsia="宋体" w:hint="default"/>
                <w:sz w:val="21"/>
                <w:szCs w:val="21"/>
              </w:rPr>
            </w:pPr>
            <w:r>
              <w:rPr>
                <w:rFonts w:ascii="宋体"/>
                <w:sz w:val="21"/>
              </w:rPr>
              <w:t>Co. Limited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控股股东控制的企业</w:t>
            </w:r>
          </w:p>
        </w:tc>
      </w:tr>
      <w:tr>
        <w:trPr>
          <w:trHeight w:val="554"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tabs>
                <w:tab w:pos="736" w:val="left" w:leader="none"/>
              </w:tabs>
              <w:spacing w:line="239" w:lineRule="exact"/>
              <w:ind w:left="100" w:right="0"/>
              <w:jc w:val="left"/>
              <w:rPr>
                <w:rFonts w:ascii="宋体" w:hAnsi="宋体" w:cs="宋体" w:eastAsia="宋体" w:hint="default"/>
                <w:sz w:val="21"/>
                <w:szCs w:val="21"/>
              </w:rPr>
            </w:pPr>
            <w:r>
              <w:rPr>
                <w:rFonts w:ascii="宋体"/>
                <w:sz w:val="21"/>
              </w:rPr>
              <w:t>360</w:t>
              <w:tab/>
              <w:t>InternationalDevelopment</w:t>
            </w:r>
          </w:p>
          <w:p>
            <w:pPr>
              <w:pStyle w:val="TableParagraph"/>
              <w:spacing w:line="273" w:lineRule="exact"/>
              <w:ind w:left="100" w:right="0"/>
              <w:jc w:val="left"/>
              <w:rPr>
                <w:rFonts w:ascii="宋体" w:hAnsi="宋体" w:cs="宋体" w:eastAsia="宋体" w:hint="default"/>
                <w:sz w:val="21"/>
                <w:szCs w:val="21"/>
              </w:rPr>
            </w:pPr>
            <w:r>
              <w:rPr>
                <w:rFonts w:ascii="宋体"/>
                <w:sz w:val="21"/>
              </w:rPr>
              <w:t>Co. Limited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控股股东控制的企业</w:t>
            </w:r>
          </w:p>
        </w:tc>
      </w:tr>
      <w:tr>
        <w:trPr>
          <w:trHeight w:val="554"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Qiji International Development</w:t>
            </w:r>
          </w:p>
          <w:p>
            <w:pPr>
              <w:pStyle w:val="TableParagraph"/>
              <w:spacing w:line="274" w:lineRule="exact"/>
              <w:ind w:left="100" w:right="0"/>
              <w:jc w:val="left"/>
              <w:rPr>
                <w:rFonts w:ascii="宋体" w:hAnsi="宋体" w:cs="宋体" w:eastAsia="宋体" w:hint="default"/>
                <w:sz w:val="21"/>
                <w:szCs w:val="21"/>
              </w:rPr>
            </w:pPr>
            <w:r>
              <w:rPr>
                <w:rFonts w:ascii="宋体"/>
                <w:sz w:val="21"/>
              </w:rPr>
              <w:t>Limited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控股股东控制的企业</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Coolpad E-Commerce</w:t>
            </w:r>
            <w:r>
              <w:rPr>
                <w:rFonts w:ascii="宋体"/>
                <w:spacing w:val="-2"/>
                <w:sz w:val="21"/>
              </w:rPr>
              <w:t> </w:t>
            </w:r>
            <w:r>
              <w:rPr>
                <w:rFonts w:ascii="宋体"/>
                <w:sz w:val="21"/>
              </w:rPr>
              <w:t>Inc.</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控股股东控制的企业</w:t>
            </w:r>
          </w:p>
        </w:tc>
      </w:tr>
      <w:tr>
        <w:trPr>
          <w:trHeight w:val="281"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Coolpad E-Commerce</w:t>
            </w:r>
            <w:r>
              <w:rPr>
                <w:rFonts w:ascii="宋体"/>
                <w:spacing w:val="-3"/>
                <w:sz w:val="21"/>
              </w:rPr>
              <w:t> </w:t>
            </w:r>
            <w:r>
              <w:rPr>
                <w:rFonts w:ascii="宋体"/>
                <w:sz w:val="21"/>
              </w:rPr>
              <w:t>Limited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控股股东控制的企业</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Aerovane Company</w:t>
            </w:r>
            <w:r>
              <w:rPr>
                <w:rFonts w:ascii="宋体"/>
                <w:spacing w:val="-5"/>
                <w:sz w:val="21"/>
              </w:rPr>
              <w:t> </w:t>
            </w:r>
            <w:r>
              <w:rPr>
                <w:rFonts w:ascii="宋体"/>
                <w:sz w:val="21"/>
              </w:rPr>
              <w:t>Limited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实际控制人控制的企业</w:t>
            </w:r>
          </w:p>
        </w:tc>
      </w:tr>
      <w:tr>
        <w:trPr>
          <w:trHeight w:val="554"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360 Finance, Inc.</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实际控制人控制的企业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参股的企业</w:t>
            </w:r>
          </w:p>
        </w:tc>
      </w:tr>
      <w:tr>
        <w:trPr>
          <w:trHeight w:val="555"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Ultrapower 360 PTE.</w:t>
            </w:r>
            <w:r>
              <w:rPr>
                <w:rFonts w:ascii="宋体"/>
                <w:spacing w:val="-1"/>
                <w:sz w:val="21"/>
              </w:rPr>
              <w:t> </w:t>
            </w:r>
            <w:r>
              <w:rPr>
                <w:rFonts w:ascii="宋体"/>
                <w:sz w:val="21"/>
              </w:rPr>
              <w:t>Ltd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公司控制的企业参股的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企业</w:t>
            </w:r>
          </w:p>
        </w:tc>
      </w:tr>
      <w:tr>
        <w:trPr>
          <w:trHeight w:val="554" w:hRule="exact"/>
        </w:trPr>
        <w:tc>
          <w:tcPr>
            <w:tcW w:w="1697" w:type="dxa"/>
            <w:vMerge/>
            <w:tcBorders>
              <w:left w:val="single" w:sz="4" w:space="0" w:color="000000"/>
              <w:bottom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Opera</w:t>
            </w:r>
            <w:r>
              <w:rPr>
                <w:rFonts w:ascii="宋体"/>
                <w:spacing w:val="2"/>
                <w:sz w:val="21"/>
              </w:rPr>
              <w:t> </w:t>
            </w:r>
            <w:r>
              <w:rPr>
                <w:rFonts w:ascii="宋体"/>
                <w:sz w:val="21"/>
              </w:rPr>
              <w:t>Limited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公司控制的企业参股的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企业</w:t>
            </w:r>
          </w:p>
        </w:tc>
      </w:tr>
    </w:tbl>
    <w:p>
      <w:pPr>
        <w:spacing w:after="0" w:line="274" w:lineRule="exact"/>
        <w:jc w:val="center"/>
        <w:rPr>
          <w:rFonts w:ascii="宋体" w:hAnsi="宋体" w:cs="宋体" w:eastAsia="宋体" w:hint="default"/>
          <w:sz w:val="21"/>
          <w:szCs w:val="21"/>
        </w:rPr>
        <w:sectPr>
          <w:headerReference w:type="default" r:id="rId47"/>
          <w:footerReference w:type="default" r:id="rId48"/>
          <w:pgSz w:w="11910" w:h="16840"/>
          <w:pgMar w:header="855" w:footer="1217" w:top="1320" w:bottom="1400" w:left="1580" w:right="1040"/>
          <w:pgNumType w:start="82"/>
        </w:sectPr>
      </w:pPr>
    </w:p>
    <w:p>
      <w:pPr>
        <w:spacing w:line="240" w:lineRule="auto" w:before="8"/>
        <w:rPr>
          <w:rFonts w:ascii="Times New Roman" w:hAnsi="Times New Roman" w:cs="Times New Roman" w:eastAsia="Times New Roman"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1697"/>
        <w:gridCol w:w="3371"/>
        <w:gridCol w:w="1418"/>
        <w:gridCol w:w="2338"/>
      </w:tblGrid>
      <w:tr>
        <w:trPr>
          <w:trHeight w:val="557"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49"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7" w:right="0"/>
              <w:jc w:val="left"/>
              <w:rPr>
                <w:rFonts w:ascii="宋体" w:hAnsi="宋体" w:cs="宋体" w:eastAsia="宋体" w:hint="default"/>
                <w:sz w:val="21"/>
                <w:szCs w:val="21"/>
              </w:rPr>
            </w:pPr>
            <w:r>
              <w:rPr>
                <w:rFonts w:ascii="宋体" w:hAnsi="宋体" w:cs="宋体" w:eastAsia="宋体" w:hint="default"/>
                <w:sz w:val="21"/>
                <w:szCs w:val="21"/>
              </w:rPr>
              <w:t>在其他单位</w:t>
            </w:r>
          </w:p>
          <w:p>
            <w:pPr>
              <w:pStyle w:val="TableParagraph"/>
              <w:spacing w:line="273" w:lineRule="exact"/>
              <w:ind w:left="177"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兼职单位与上市公司关</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联关系</w:t>
            </w:r>
          </w:p>
        </w:tc>
      </w:tr>
      <w:tr>
        <w:trPr>
          <w:trHeight w:val="554" w:hRule="exact"/>
        </w:trPr>
        <w:tc>
          <w:tcPr>
            <w:tcW w:w="1697" w:type="dxa"/>
            <w:vMerge w:val="restart"/>
            <w:tcBorders>
              <w:top w:val="single" w:sz="4" w:space="0" w:color="000000"/>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sz w:val="21"/>
              </w:rPr>
              <w:t>Kunhoo Software</w:t>
            </w:r>
            <w:r>
              <w:rPr>
                <w:rFonts w:ascii="宋体"/>
                <w:spacing w:val="-1"/>
                <w:sz w:val="21"/>
              </w:rPr>
              <w:t> </w:t>
            </w:r>
            <w:r>
              <w:rPr>
                <w:rFonts w:ascii="宋体"/>
                <w:sz w:val="21"/>
              </w:rPr>
              <w:t>LLC</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公司控制的企业参股的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企业的全资子公司</w:t>
            </w:r>
          </w:p>
        </w:tc>
      </w:tr>
      <w:tr>
        <w:trPr>
          <w:trHeight w:val="554"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Kunhoo Software</w:t>
            </w:r>
            <w:r>
              <w:rPr>
                <w:rFonts w:ascii="宋体"/>
                <w:spacing w:val="-2"/>
                <w:sz w:val="21"/>
              </w:rPr>
              <w:t> </w:t>
            </w:r>
            <w:r>
              <w:rPr>
                <w:rFonts w:ascii="宋体"/>
                <w:sz w:val="21"/>
              </w:rPr>
              <w:t>Limited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公司控制的企业参股的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企业的全资子公司</w:t>
            </w:r>
          </w:p>
        </w:tc>
      </w:tr>
      <w:tr>
        <w:trPr>
          <w:trHeight w:val="554"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Opera Software</w:t>
            </w:r>
            <w:r>
              <w:rPr>
                <w:rFonts w:ascii="宋体"/>
                <w:spacing w:val="2"/>
                <w:sz w:val="21"/>
              </w:rPr>
              <w:t> </w:t>
            </w:r>
            <w:r>
              <w:rPr>
                <w:rFonts w:ascii="宋体"/>
                <w:sz w:val="21"/>
              </w:rPr>
              <w:t>AS</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公司控制的企业参股的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企业的全资子公司</w:t>
            </w:r>
          </w:p>
        </w:tc>
      </w:tr>
      <w:tr>
        <w:trPr>
          <w:trHeight w:val="554"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Accessport</w:t>
            </w:r>
            <w:r>
              <w:rPr>
                <w:rFonts w:ascii="宋体" w:hAnsi="宋体" w:cs="宋体" w:eastAsia="宋体" w:hint="default"/>
                <w:spacing w:val="-54"/>
                <w:sz w:val="21"/>
                <w:szCs w:val="21"/>
              </w:rPr>
              <w:t> </w:t>
            </w:r>
            <w:r>
              <w:rPr>
                <w:rFonts w:ascii="宋体" w:hAnsi="宋体" w:cs="宋体" w:eastAsia="宋体" w:hint="default"/>
                <w:sz w:val="21"/>
                <w:szCs w:val="21"/>
              </w:rPr>
              <w:t>株式会社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公司全资子公司参股的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企业</w:t>
            </w:r>
          </w:p>
        </w:tc>
      </w:tr>
      <w:tr>
        <w:trPr>
          <w:trHeight w:val="554"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Colour</w:t>
            </w:r>
            <w:r>
              <w:rPr>
                <w:rFonts w:ascii="宋体"/>
                <w:spacing w:val="-26"/>
                <w:sz w:val="21"/>
              </w:rPr>
              <w:t> </w:t>
            </w:r>
            <w:r>
              <w:rPr>
                <w:rFonts w:ascii="宋体"/>
                <w:sz w:val="21"/>
              </w:rPr>
              <w:t>Life</w:t>
            </w:r>
            <w:r>
              <w:rPr>
                <w:rFonts w:ascii="宋体"/>
                <w:spacing w:val="-26"/>
                <w:sz w:val="21"/>
              </w:rPr>
              <w:t> </w:t>
            </w:r>
            <w:r>
              <w:rPr>
                <w:rFonts w:ascii="宋体"/>
                <w:sz w:val="21"/>
              </w:rPr>
              <w:t>Services</w:t>
            </w:r>
            <w:r>
              <w:rPr>
                <w:rFonts w:ascii="宋体"/>
                <w:spacing w:val="-26"/>
                <w:sz w:val="21"/>
              </w:rPr>
              <w:t> </w:t>
            </w:r>
            <w:r>
              <w:rPr>
                <w:rFonts w:ascii="宋体"/>
                <w:sz w:val="21"/>
              </w:rPr>
              <w:t>Group</w:t>
            </w:r>
            <w:r>
              <w:rPr>
                <w:rFonts w:ascii="宋体"/>
                <w:spacing w:val="-24"/>
                <w:sz w:val="21"/>
              </w:rPr>
              <w:t> </w:t>
            </w:r>
            <w:r>
              <w:rPr>
                <w:rFonts w:ascii="宋体"/>
                <w:sz w:val="21"/>
              </w:rPr>
              <w:t>Co.,</w:t>
            </w:r>
          </w:p>
          <w:p>
            <w:pPr>
              <w:pStyle w:val="TableParagraph"/>
              <w:spacing w:line="274" w:lineRule="exact"/>
              <w:ind w:left="100" w:right="0"/>
              <w:jc w:val="left"/>
              <w:rPr>
                <w:rFonts w:ascii="宋体" w:hAnsi="宋体" w:cs="宋体" w:eastAsia="宋体" w:hint="default"/>
                <w:sz w:val="21"/>
                <w:szCs w:val="21"/>
              </w:rPr>
            </w:pPr>
            <w:r>
              <w:rPr>
                <w:rFonts w:ascii="宋体"/>
                <w:sz w:val="21"/>
              </w:rPr>
              <w:t>Limited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非执行董事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4"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泰康在线财产保险股份有限公司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京楚投资有限责任公司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中关村人才协会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副理事长</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中国互联网协会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副理事长</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中国九三学社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中央委员</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中国人民政治协商会议第十三届全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国委员会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委员</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西安交通大学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兼职教授</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中国人民大学法学院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研究生导师</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中国人民公安大学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兼职教授</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bottom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中国网络社会组织联合会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副会长</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5" w:hRule="exact"/>
        </w:trPr>
        <w:tc>
          <w:tcPr>
            <w:tcW w:w="16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5"/>
              <w:ind w:left="527" w:right="0"/>
              <w:jc w:val="left"/>
              <w:rPr>
                <w:rFonts w:ascii="宋体" w:hAnsi="宋体" w:cs="宋体" w:eastAsia="宋体" w:hint="default"/>
                <w:sz w:val="21"/>
                <w:szCs w:val="21"/>
              </w:rPr>
            </w:pPr>
            <w:r>
              <w:rPr>
                <w:rFonts w:ascii="宋体" w:hAnsi="宋体" w:cs="宋体" w:eastAsia="宋体" w:hint="default"/>
                <w:sz w:val="21"/>
                <w:szCs w:val="21"/>
              </w:rPr>
              <w:t>石晓虹</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上海凭安网络科技有限公司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公司全资子公司参股的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企业</w:t>
            </w:r>
          </w:p>
        </w:tc>
      </w:tr>
      <w:tr>
        <w:trPr>
          <w:trHeight w:val="554"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浙江之江企业征信服务有限公司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公司全资子公司参股的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企业</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北京奇飞翔艺商务咨询有限公司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控股股东控制的企业</w:t>
            </w:r>
          </w:p>
        </w:tc>
      </w:tr>
      <w:tr>
        <w:trPr>
          <w:trHeight w:val="828"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0" w:right="101"/>
              <w:jc w:val="left"/>
              <w:rPr>
                <w:rFonts w:ascii="宋体" w:hAnsi="宋体" w:cs="宋体" w:eastAsia="宋体" w:hint="default"/>
                <w:sz w:val="21"/>
                <w:szCs w:val="21"/>
              </w:rPr>
            </w:pPr>
            <w:r>
              <w:rPr>
                <w:rFonts w:ascii="宋体" w:hAnsi="宋体" w:cs="宋体" w:eastAsia="宋体" w:hint="default"/>
                <w:spacing w:val="-1"/>
                <w:sz w:val="21"/>
                <w:szCs w:val="21"/>
              </w:rPr>
              <w:t>天津聚信股权投资合伙企业（有限</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合伙）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执行事务合</w:t>
            </w:r>
          </w:p>
          <w:p>
            <w:pPr>
              <w:pStyle w:val="TableParagraph"/>
              <w:spacing w:line="272" w:lineRule="exact" w:before="27"/>
              <w:ind w:left="597" w:right="175" w:hanging="420"/>
              <w:jc w:val="left"/>
              <w:rPr>
                <w:rFonts w:ascii="宋体" w:hAnsi="宋体" w:cs="宋体" w:eastAsia="宋体" w:hint="default"/>
                <w:sz w:val="21"/>
                <w:szCs w:val="21"/>
              </w:rPr>
            </w:pPr>
            <w:r>
              <w:rPr>
                <w:rFonts w:ascii="宋体" w:hAnsi="宋体" w:cs="宋体" w:eastAsia="宋体" w:hint="default"/>
                <w:sz w:val="21"/>
                <w:szCs w:val="21"/>
              </w:rPr>
              <w:t>伙人委派代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表</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1697" w:type="dxa"/>
            <w:vMerge/>
            <w:tcBorders>
              <w:left w:val="single" w:sz="4" w:space="0" w:color="000000"/>
              <w:bottom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天津聚信股权投资管理有限公司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6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74" w:lineRule="exact"/>
              <w:ind w:left="2" w:right="0"/>
              <w:jc w:val="center"/>
              <w:rPr>
                <w:rFonts w:ascii="宋体" w:hAnsi="宋体" w:cs="宋体" w:eastAsia="宋体" w:hint="default"/>
                <w:sz w:val="21"/>
                <w:szCs w:val="21"/>
              </w:rPr>
            </w:pPr>
            <w:r>
              <w:rPr>
                <w:rFonts w:ascii="宋体"/>
                <w:sz w:val="21"/>
              </w:rPr>
              <w:t>SHEN NANPENG</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（沈南鹏）</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红杉资本中国基金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全球执行合</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伙人</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Ctrip.com International,</w:t>
            </w:r>
            <w:r>
              <w:rPr>
                <w:rFonts w:ascii="宋体"/>
                <w:spacing w:val="-1"/>
                <w:sz w:val="21"/>
              </w:rPr>
              <w:t> </w:t>
            </w:r>
            <w:r>
              <w:rPr>
                <w:rFonts w:ascii="宋体"/>
                <w:sz w:val="21"/>
              </w:rPr>
              <w:t>Ltd.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4"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Meituan Dianping</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非执行董事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Noah Holdings Limited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非执行董事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tabs>
                <w:tab w:pos="945" w:val="left" w:leader="none"/>
                <w:tab w:pos="2416" w:val="left" w:leader="none"/>
              </w:tabs>
              <w:spacing w:line="240" w:lineRule="exact"/>
              <w:ind w:left="100" w:right="0"/>
              <w:jc w:val="left"/>
              <w:rPr>
                <w:rFonts w:ascii="宋体" w:hAnsi="宋体" w:cs="宋体" w:eastAsia="宋体" w:hint="default"/>
                <w:sz w:val="21"/>
                <w:szCs w:val="21"/>
              </w:rPr>
            </w:pPr>
            <w:r>
              <w:rPr>
                <w:rFonts w:ascii="宋体"/>
                <w:sz w:val="21"/>
              </w:rPr>
              <w:t>China</w:t>
              <w:tab/>
            </w:r>
            <w:r>
              <w:rPr>
                <w:rFonts w:ascii="宋体"/>
                <w:spacing w:val="-1"/>
                <w:sz w:val="21"/>
              </w:rPr>
              <w:t>Renaissance</w:t>
              <w:tab/>
              <w:t>Holdings</w:t>
            </w:r>
          </w:p>
          <w:p>
            <w:pPr>
              <w:pStyle w:val="TableParagraph"/>
              <w:spacing w:line="274" w:lineRule="exact"/>
              <w:ind w:left="100" w:right="0"/>
              <w:jc w:val="left"/>
              <w:rPr>
                <w:rFonts w:ascii="宋体" w:hAnsi="宋体" w:cs="宋体" w:eastAsia="宋体" w:hint="default"/>
                <w:sz w:val="21"/>
                <w:szCs w:val="21"/>
              </w:rPr>
            </w:pPr>
            <w:r>
              <w:rPr>
                <w:rFonts w:ascii="宋体"/>
                <w:sz w:val="21"/>
              </w:rPr>
              <w:t>Limited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非执行董事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Pinduoduo</w:t>
            </w:r>
            <w:r>
              <w:rPr>
                <w:rFonts w:ascii="宋体"/>
                <w:spacing w:val="2"/>
                <w:sz w:val="21"/>
              </w:rPr>
              <w:t> </w:t>
            </w:r>
            <w:r>
              <w:rPr>
                <w:rFonts w:ascii="宋体"/>
                <w:sz w:val="21"/>
              </w:rPr>
              <w:t>Inc.</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tabs>
                <w:tab w:pos="1085" w:val="left" w:leader="none"/>
                <w:tab w:pos="2066" w:val="left" w:leader="none"/>
                <w:tab w:pos="2837" w:val="left" w:leader="none"/>
              </w:tabs>
              <w:spacing w:line="240" w:lineRule="exact"/>
              <w:ind w:left="100" w:right="0"/>
              <w:jc w:val="left"/>
              <w:rPr>
                <w:rFonts w:ascii="宋体" w:hAnsi="宋体" w:cs="宋体" w:eastAsia="宋体" w:hint="default"/>
                <w:sz w:val="21"/>
                <w:szCs w:val="21"/>
              </w:rPr>
            </w:pPr>
            <w:r>
              <w:rPr>
                <w:rFonts w:ascii="宋体"/>
                <w:spacing w:val="-1"/>
                <w:sz w:val="21"/>
              </w:rPr>
              <w:t>Sequoia</w:t>
              <w:tab/>
              <w:t>Capital</w:t>
              <w:tab/>
            </w:r>
            <w:r>
              <w:rPr>
                <w:rFonts w:ascii="宋体"/>
                <w:spacing w:val="-2"/>
                <w:sz w:val="21"/>
              </w:rPr>
              <w:t>China</w:t>
              <w:tab/>
            </w:r>
            <w:r>
              <w:rPr>
                <w:rFonts w:ascii="宋体"/>
                <w:sz w:val="21"/>
              </w:rPr>
              <w:t>GFII</w:t>
            </w:r>
          </w:p>
          <w:p>
            <w:pPr>
              <w:pStyle w:val="TableParagraph"/>
              <w:spacing w:line="274" w:lineRule="exact"/>
              <w:ind w:left="100" w:right="0"/>
              <w:jc w:val="left"/>
              <w:rPr>
                <w:rFonts w:ascii="宋体" w:hAnsi="宋体" w:cs="宋体" w:eastAsia="宋体" w:hint="default"/>
                <w:sz w:val="21"/>
                <w:szCs w:val="21"/>
              </w:rPr>
            </w:pPr>
            <w:r>
              <w:rPr>
                <w:rFonts w:ascii="宋体"/>
                <w:sz w:val="21"/>
              </w:rPr>
              <w:t>(HK) Limited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Twin Peak</w:t>
            </w:r>
            <w:r>
              <w:rPr>
                <w:rFonts w:ascii="宋体"/>
                <w:spacing w:val="1"/>
                <w:sz w:val="21"/>
              </w:rPr>
              <w:t> </w:t>
            </w:r>
            <w:r>
              <w:rPr>
                <w:rFonts w:ascii="宋体"/>
                <w:sz w:val="21"/>
              </w:rPr>
              <w:t>Limited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优享创智（北京）科技服务有限公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北京首旅酒店（集团）股份有限公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非执行董事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5" w:hRule="exact"/>
        </w:trPr>
        <w:tc>
          <w:tcPr>
            <w:tcW w:w="1697" w:type="dxa"/>
            <w:vMerge/>
            <w:tcBorders>
              <w:left w:val="single" w:sz="4" w:space="0" w:color="000000"/>
              <w:bottom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优客工场（北京）创业投资有限公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center"/>
        <w:rPr>
          <w:rFonts w:ascii="宋体" w:hAnsi="宋体" w:cs="宋体" w:eastAsia="宋体" w:hint="default"/>
          <w:sz w:val="21"/>
          <w:szCs w:val="21"/>
        </w:rPr>
        <w:sectPr>
          <w:pgSz w:w="11910" w:h="16840"/>
          <w:pgMar w:header="855" w:footer="1217" w:top="1320" w:bottom="1400" w:left="1580" w:right="1160"/>
        </w:sectPr>
      </w:pPr>
    </w:p>
    <w:p>
      <w:pPr>
        <w:spacing w:line="240" w:lineRule="auto" w:before="8"/>
        <w:rPr>
          <w:rFonts w:ascii="Times New Roman" w:hAnsi="Times New Roman" w:cs="Times New Roman" w:eastAsia="Times New Roman"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1697"/>
        <w:gridCol w:w="3371"/>
        <w:gridCol w:w="1418"/>
        <w:gridCol w:w="2338"/>
      </w:tblGrid>
      <w:tr>
        <w:trPr>
          <w:trHeight w:val="557"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49"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7" w:right="0"/>
              <w:jc w:val="left"/>
              <w:rPr>
                <w:rFonts w:ascii="宋体" w:hAnsi="宋体" w:cs="宋体" w:eastAsia="宋体" w:hint="default"/>
                <w:sz w:val="21"/>
                <w:szCs w:val="21"/>
              </w:rPr>
            </w:pPr>
            <w:r>
              <w:rPr>
                <w:rFonts w:ascii="宋体" w:hAnsi="宋体" w:cs="宋体" w:eastAsia="宋体" w:hint="default"/>
                <w:sz w:val="21"/>
                <w:szCs w:val="21"/>
              </w:rPr>
              <w:t>在其他单位</w:t>
            </w:r>
          </w:p>
          <w:p>
            <w:pPr>
              <w:pStyle w:val="TableParagraph"/>
              <w:spacing w:line="273" w:lineRule="exact"/>
              <w:ind w:left="177"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兼职单位与上市公司关</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联关系</w:t>
            </w:r>
          </w:p>
        </w:tc>
      </w:tr>
      <w:tr>
        <w:trPr>
          <w:trHeight w:val="281" w:hRule="exact"/>
        </w:trPr>
        <w:tc>
          <w:tcPr>
            <w:tcW w:w="1697" w:type="dxa"/>
            <w:vMerge w:val="restart"/>
            <w:tcBorders>
              <w:top w:val="single" w:sz="4" w:space="0" w:color="000000"/>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英雄互娱科技股份有限公司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华泰瑞联基金管理有限公司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博纳影业集团股份有限公司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长沙智能驾驶研究院有限公司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上海巍美文化发展有限公司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星界资本股权投资管理</w:t>
            </w:r>
            <w:r>
              <w:rPr>
                <w:rFonts w:ascii="宋体" w:hAnsi="宋体" w:cs="宋体" w:eastAsia="宋体" w:hint="default"/>
                <w:sz w:val="21"/>
                <w:szCs w:val="21"/>
              </w:rPr>
              <w:t>(</w:t>
            </w:r>
            <w:r>
              <w:rPr>
                <w:rFonts w:ascii="宋体" w:hAnsi="宋体" w:cs="宋体" w:eastAsia="宋体" w:hint="default"/>
                <w:sz w:val="21"/>
                <w:szCs w:val="21"/>
              </w:rPr>
              <w:t>深圳</w:t>
            </w:r>
            <w:r>
              <w:rPr>
                <w:rFonts w:ascii="宋体" w:hAnsi="宋体" w:cs="宋体" w:eastAsia="宋体" w:hint="default"/>
                <w:sz w:val="21"/>
                <w:szCs w:val="21"/>
              </w:rPr>
              <w:t>)</w:t>
            </w:r>
            <w:r>
              <w:rPr>
                <w:rFonts w:ascii="宋体" w:hAnsi="宋体" w:cs="宋体" w:eastAsia="宋体" w:hint="default"/>
                <w:sz w:val="21"/>
                <w:szCs w:val="21"/>
              </w:rPr>
              <w:t>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连连数字科技有限公司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1697" w:type="dxa"/>
            <w:vMerge/>
            <w:tcBorders>
              <w:left w:val="single" w:sz="4" w:space="0" w:color="000000"/>
              <w:bottom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北京奇飞翔艺商务咨询有限公司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控股股东控制的企业</w:t>
            </w:r>
          </w:p>
        </w:tc>
      </w:tr>
      <w:tr>
        <w:trPr>
          <w:trHeight w:val="284" w:hRule="exact"/>
        </w:trPr>
        <w:tc>
          <w:tcPr>
            <w:tcW w:w="16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4"/>
              <w:ind w:left="2" w:right="0"/>
              <w:jc w:val="center"/>
              <w:rPr>
                <w:rFonts w:ascii="宋体" w:hAnsi="宋体" w:cs="宋体" w:eastAsia="宋体" w:hint="default"/>
                <w:sz w:val="21"/>
                <w:szCs w:val="21"/>
              </w:rPr>
            </w:pPr>
            <w:r>
              <w:rPr>
                <w:rFonts w:ascii="宋体" w:hAnsi="宋体" w:cs="宋体" w:eastAsia="宋体" w:hint="default"/>
                <w:sz w:val="21"/>
                <w:szCs w:val="21"/>
              </w:rPr>
              <w:t>罗宁</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中信国安信息产业股份有限公司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中信网络有限公司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pacing w:val="-11"/>
                <w:sz w:val="21"/>
                <w:szCs w:val="21"/>
              </w:rPr>
              <w:t>董事长、总经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理</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中信国安有限公司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中信通信项目管理有限责任公司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中国中信集团有限公司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总经理助理</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tabs>
                <w:tab w:pos="943" w:val="left" w:leader="none"/>
              </w:tabs>
              <w:spacing w:line="241" w:lineRule="exact"/>
              <w:ind w:left="100" w:right="0"/>
              <w:jc w:val="left"/>
              <w:rPr>
                <w:rFonts w:ascii="宋体" w:hAnsi="宋体" w:cs="宋体" w:eastAsia="宋体" w:hint="default"/>
                <w:sz w:val="21"/>
                <w:szCs w:val="21"/>
              </w:rPr>
            </w:pPr>
            <w:r>
              <w:rPr>
                <w:rFonts w:ascii="宋体"/>
                <w:sz w:val="21"/>
              </w:rPr>
              <w:t>CITIC</w:t>
              <w:tab/>
              <w:t>Limited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总经理助理</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世纪爱晚投资有限公司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中企网络通信技术有限公司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中信数字技术有限责任公司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pacing w:val="-11"/>
                <w:sz w:val="21"/>
                <w:szCs w:val="21"/>
              </w:rPr>
              <w:t>董事长、总经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理</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5"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中信数字媒体网络有限公司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pacing w:val="-11"/>
                <w:sz w:val="21"/>
                <w:szCs w:val="21"/>
              </w:rPr>
              <w:t>董事长、总经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理</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中信信息科技投资有限公司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pacing w:val="-11"/>
                <w:sz w:val="21"/>
                <w:szCs w:val="21"/>
              </w:rPr>
              <w:t>董事长、总经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理</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中信文化传媒集团有限公司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北京京视中信数字传媒有限公司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北京世华国际金融信息有限公司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信德电信国际合作有限责任公司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北京鸿联九五信息产业有限公司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北京华瑞网研科技有限公司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白银有色集团股份有限公司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国安（香港）控股有限公司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大有数字资源有限责任公司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5"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中广移动网络有限公司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12"/>
                <w:sz w:val="21"/>
                <w:szCs w:val="21"/>
              </w:rPr>
              <w:t>副董事长、总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经理</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tabs>
                <w:tab w:pos="892" w:val="left" w:leader="none"/>
                <w:tab w:pos="1893" w:val="left" w:leader="none"/>
              </w:tabs>
              <w:spacing w:line="240" w:lineRule="exact"/>
              <w:ind w:left="100" w:right="0"/>
              <w:jc w:val="left"/>
              <w:rPr>
                <w:rFonts w:ascii="宋体" w:hAnsi="宋体" w:cs="宋体" w:eastAsia="宋体" w:hint="default"/>
                <w:sz w:val="21"/>
                <w:szCs w:val="21"/>
              </w:rPr>
            </w:pPr>
            <w:r>
              <w:rPr>
                <w:rFonts w:ascii="宋体"/>
                <w:sz w:val="21"/>
              </w:rPr>
              <w:t>CITIC</w:t>
              <w:tab/>
            </w:r>
            <w:r>
              <w:rPr>
                <w:rFonts w:ascii="宋体"/>
                <w:spacing w:val="-1"/>
                <w:sz w:val="21"/>
              </w:rPr>
              <w:t>Telecom</w:t>
              <w:tab/>
              <w:t>International</w:t>
            </w:r>
          </w:p>
          <w:p>
            <w:pPr>
              <w:pStyle w:val="TableParagraph"/>
              <w:spacing w:line="274" w:lineRule="exact"/>
              <w:ind w:left="100" w:right="0"/>
              <w:jc w:val="left"/>
              <w:rPr>
                <w:rFonts w:ascii="宋体" w:hAnsi="宋体" w:cs="宋体" w:eastAsia="宋体" w:hint="default"/>
                <w:sz w:val="21"/>
                <w:szCs w:val="21"/>
              </w:rPr>
            </w:pPr>
            <w:r>
              <w:rPr>
                <w:rFonts w:ascii="宋体"/>
                <w:sz w:val="21"/>
              </w:rPr>
              <w:t>Holdings Limited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828"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tabs>
                <w:tab w:pos="2416" w:val="left" w:leader="none"/>
              </w:tabs>
              <w:spacing w:line="240" w:lineRule="exact"/>
              <w:ind w:left="100" w:right="0"/>
              <w:jc w:val="left"/>
              <w:rPr>
                <w:rFonts w:ascii="宋体" w:hAnsi="宋体" w:cs="宋体" w:eastAsia="宋体" w:hint="default"/>
                <w:sz w:val="21"/>
                <w:szCs w:val="21"/>
              </w:rPr>
            </w:pPr>
            <w:r>
              <w:rPr>
                <w:rFonts w:ascii="宋体"/>
                <w:sz w:val="21"/>
              </w:rPr>
              <w:t>Asia</w:t>
              <w:tab/>
              <w:t>atellite</w:t>
            </w:r>
          </w:p>
          <w:p>
            <w:pPr>
              <w:pStyle w:val="TableParagraph"/>
              <w:tabs>
                <w:tab w:pos="2416" w:val="left" w:leader="none"/>
              </w:tabs>
              <w:spacing w:line="272" w:lineRule="exact" w:before="27"/>
              <w:ind w:left="100" w:right="102"/>
              <w:jc w:val="left"/>
              <w:rPr>
                <w:rFonts w:ascii="宋体" w:hAnsi="宋体" w:cs="宋体" w:eastAsia="宋体" w:hint="default"/>
                <w:sz w:val="21"/>
                <w:szCs w:val="21"/>
              </w:rPr>
            </w:pPr>
            <w:r>
              <w:rPr>
                <w:rFonts w:ascii="宋体"/>
                <w:spacing w:val="-1"/>
                <w:sz w:val="21"/>
              </w:rPr>
              <w:t>Telecommunications</w:t>
              <w:tab/>
              <w:t>Holdings</w:t>
            </w:r>
            <w:r>
              <w:rPr>
                <w:rFonts w:ascii="宋体"/>
                <w:spacing w:val="-99"/>
                <w:sz w:val="21"/>
              </w:rPr>
              <w:t> </w:t>
            </w:r>
            <w:r>
              <w:rPr>
                <w:rFonts w:ascii="宋体"/>
                <w:spacing w:val="-99"/>
                <w:sz w:val="21"/>
              </w:rPr>
            </w:r>
            <w:r>
              <w:rPr>
                <w:rFonts w:ascii="宋体"/>
                <w:sz w:val="21"/>
              </w:rPr>
              <w:t>Limited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1697" w:type="dxa"/>
            <w:vMerge/>
            <w:tcBorders>
              <w:left w:val="single" w:sz="4" w:space="0" w:color="000000"/>
              <w:bottom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北京奇飞翔艺商务咨询有限公司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控股股东控制的企业</w:t>
            </w:r>
          </w:p>
        </w:tc>
      </w:tr>
      <w:tr>
        <w:trPr>
          <w:trHeight w:val="283" w:hRule="exact"/>
        </w:trPr>
        <w:tc>
          <w:tcPr>
            <w:tcW w:w="16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73" w:lineRule="exact"/>
              <w:ind w:left="422" w:right="0"/>
              <w:jc w:val="left"/>
              <w:rPr>
                <w:rFonts w:ascii="宋体" w:hAnsi="宋体" w:cs="宋体" w:eastAsia="宋体" w:hint="default"/>
                <w:sz w:val="21"/>
                <w:szCs w:val="21"/>
              </w:rPr>
            </w:pPr>
            <w:r>
              <w:rPr>
                <w:rFonts w:ascii="宋体"/>
                <w:sz w:val="21"/>
              </w:rPr>
              <w:t>XUN</w:t>
            </w:r>
            <w:r>
              <w:rPr>
                <w:rFonts w:ascii="宋体"/>
                <w:spacing w:val="1"/>
                <w:sz w:val="21"/>
              </w:rPr>
              <w:t> </w:t>
            </w:r>
            <w:r>
              <w:rPr>
                <w:rFonts w:ascii="宋体"/>
                <w:sz w:val="21"/>
              </w:rPr>
              <w:t>CHEN</w:t>
            </w:r>
          </w:p>
          <w:p>
            <w:pPr>
              <w:pStyle w:val="TableParagraph"/>
              <w:spacing w:line="273" w:lineRule="exact"/>
              <w:ind w:left="422" w:right="0"/>
              <w:jc w:val="left"/>
              <w:rPr>
                <w:rFonts w:ascii="宋体" w:hAnsi="宋体" w:cs="宋体" w:eastAsia="宋体" w:hint="default"/>
                <w:sz w:val="21"/>
                <w:szCs w:val="21"/>
              </w:rPr>
            </w:pPr>
            <w:r>
              <w:rPr>
                <w:rFonts w:ascii="宋体" w:hAnsi="宋体" w:cs="宋体" w:eastAsia="宋体" w:hint="default"/>
                <w:sz w:val="21"/>
                <w:szCs w:val="21"/>
              </w:rPr>
              <w:t>（陈恂）</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BaseBit Technologies.</w:t>
            </w:r>
            <w:r>
              <w:rPr>
                <w:rFonts w:ascii="宋体"/>
                <w:spacing w:val="-3"/>
                <w:sz w:val="21"/>
              </w:rPr>
              <w:t> </w:t>
            </w:r>
            <w:r>
              <w:rPr>
                <w:rFonts w:ascii="宋体"/>
                <w:sz w:val="21"/>
              </w:rPr>
              <w:t>Inc</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Applied Materials</w:t>
            </w:r>
            <w:r>
              <w:rPr>
                <w:rFonts w:ascii="宋体"/>
                <w:spacing w:val="1"/>
                <w:sz w:val="21"/>
              </w:rPr>
              <w:t> </w:t>
            </w:r>
            <w:r>
              <w:rPr>
                <w:rFonts w:ascii="宋体"/>
                <w:sz w:val="21"/>
              </w:rPr>
              <w:t>Inc.</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The Chen-Yang</w:t>
            </w:r>
            <w:r>
              <w:rPr>
                <w:rFonts w:ascii="宋体"/>
                <w:spacing w:val="-4"/>
                <w:sz w:val="21"/>
              </w:rPr>
              <w:t> </w:t>
            </w:r>
            <w:r>
              <w:rPr>
                <w:rFonts w:ascii="宋体"/>
                <w:sz w:val="21"/>
              </w:rPr>
              <w:t>Foundation</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助理</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4"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Future</w:t>
            </w:r>
            <w:r>
              <w:rPr>
                <w:rFonts w:ascii="宋体"/>
                <w:spacing w:val="1"/>
                <w:sz w:val="21"/>
              </w:rPr>
              <w:t> </w:t>
            </w:r>
            <w:r>
              <w:rPr>
                <w:rFonts w:ascii="宋体"/>
                <w:sz w:val="21"/>
              </w:rPr>
              <w:t>Forum</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理事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697" w:type="dxa"/>
            <w:vMerge/>
            <w:tcBorders>
              <w:left w:val="single" w:sz="4" w:space="0" w:color="000000"/>
              <w:bottom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HuaYuan Science and</w:t>
            </w:r>
            <w:r>
              <w:rPr>
                <w:rFonts w:ascii="宋体"/>
                <w:spacing w:val="1"/>
                <w:sz w:val="21"/>
              </w:rPr>
              <w:t> </w:t>
            </w:r>
            <w:r>
              <w:rPr>
                <w:rFonts w:ascii="宋体"/>
                <w:sz w:val="21"/>
              </w:rPr>
              <w:t>Technology</w:t>
            </w:r>
          </w:p>
          <w:p>
            <w:pPr>
              <w:pStyle w:val="TableParagraph"/>
              <w:spacing w:line="274" w:lineRule="exact"/>
              <w:ind w:left="100" w:right="0"/>
              <w:jc w:val="left"/>
              <w:rPr>
                <w:rFonts w:ascii="宋体" w:hAnsi="宋体" w:cs="宋体" w:eastAsia="宋体" w:hint="default"/>
                <w:sz w:val="21"/>
                <w:szCs w:val="21"/>
              </w:rPr>
            </w:pPr>
            <w:r>
              <w:rPr>
                <w:rFonts w:ascii="宋体"/>
                <w:sz w:val="21"/>
              </w:rPr>
              <w:t>Association</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center"/>
        <w:rPr>
          <w:rFonts w:ascii="宋体" w:hAnsi="宋体" w:cs="宋体" w:eastAsia="宋体" w:hint="default"/>
          <w:sz w:val="21"/>
          <w:szCs w:val="21"/>
        </w:rPr>
        <w:sectPr>
          <w:pgSz w:w="11910" w:h="16840"/>
          <w:pgMar w:header="855" w:footer="1217" w:top="1320" w:bottom="1400" w:left="1580" w:right="1160"/>
        </w:sectPr>
      </w:pPr>
    </w:p>
    <w:p>
      <w:pPr>
        <w:spacing w:line="240" w:lineRule="auto" w:before="8"/>
        <w:rPr>
          <w:rFonts w:ascii="Times New Roman" w:hAnsi="Times New Roman" w:cs="Times New Roman" w:eastAsia="Times New Roman"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1697"/>
        <w:gridCol w:w="3371"/>
        <w:gridCol w:w="1418"/>
        <w:gridCol w:w="2338"/>
      </w:tblGrid>
      <w:tr>
        <w:trPr>
          <w:trHeight w:val="557"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49"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7" w:right="0"/>
              <w:jc w:val="left"/>
              <w:rPr>
                <w:rFonts w:ascii="宋体" w:hAnsi="宋体" w:cs="宋体" w:eastAsia="宋体" w:hint="default"/>
                <w:sz w:val="21"/>
                <w:szCs w:val="21"/>
              </w:rPr>
            </w:pPr>
            <w:r>
              <w:rPr>
                <w:rFonts w:ascii="宋体" w:hAnsi="宋体" w:cs="宋体" w:eastAsia="宋体" w:hint="default"/>
                <w:sz w:val="21"/>
                <w:szCs w:val="21"/>
              </w:rPr>
              <w:t>在其他单位</w:t>
            </w:r>
          </w:p>
          <w:p>
            <w:pPr>
              <w:pStyle w:val="TableParagraph"/>
              <w:spacing w:line="273" w:lineRule="exact"/>
              <w:ind w:left="177"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兼职单位与上市公司关</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联关系</w:t>
            </w:r>
          </w:p>
        </w:tc>
      </w:tr>
      <w:tr>
        <w:trPr>
          <w:trHeight w:val="281" w:hRule="exact"/>
        </w:trPr>
        <w:tc>
          <w:tcPr>
            <w:tcW w:w="1697" w:type="dxa"/>
            <w:vMerge w:val="restart"/>
            <w:tcBorders>
              <w:top w:val="single" w:sz="4" w:space="0" w:color="000000"/>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SoftBank Group</w:t>
            </w:r>
            <w:r>
              <w:rPr>
                <w:rFonts w:ascii="宋体"/>
                <w:spacing w:val="-1"/>
                <w:sz w:val="21"/>
              </w:rPr>
              <w:t> </w:t>
            </w:r>
            <w:r>
              <w:rPr>
                <w:rFonts w:ascii="宋体"/>
                <w:sz w:val="21"/>
              </w:rPr>
              <w:t>Corp</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合伙人</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bottom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北京奇飞翔艺商务咨询限公司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控股股东控制的企业</w:t>
            </w:r>
          </w:p>
        </w:tc>
      </w:tr>
      <w:tr>
        <w:trPr>
          <w:trHeight w:val="554" w:hRule="exact"/>
        </w:trPr>
        <w:tc>
          <w:tcPr>
            <w:tcW w:w="16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73" w:lineRule="exact"/>
              <w:ind w:right="0"/>
              <w:jc w:val="center"/>
              <w:rPr>
                <w:rFonts w:ascii="宋体" w:hAnsi="宋体" w:cs="宋体" w:eastAsia="宋体" w:hint="default"/>
                <w:sz w:val="21"/>
                <w:szCs w:val="21"/>
              </w:rPr>
            </w:pPr>
            <w:r>
              <w:rPr>
                <w:rFonts w:ascii="宋体"/>
                <w:sz w:val="21"/>
              </w:rPr>
              <w:t>MING</w:t>
            </w:r>
            <w:r>
              <w:rPr>
                <w:rFonts w:ascii="宋体"/>
                <w:spacing w:val="2"/>
                <w:sz w:val="21"/>
              </w:rPr>
              <w:t> </w:t>
            </w:r>
            <w:r>
              <w:rPr>
                <w:rFonts w:ascii="宋体"/>
                <w:sz w:val="21"/>
              </w:rPr>
              <w:t>HUANG</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（黄明）</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美国康奈尔大学管理学院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正教授（终</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身）</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中欧国际工商学院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教授</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tabs>
                <w:tab w:pos="942" w:val="left" w:leader="none"/>
                <w:tab w:pos="1679" w:val="left" w:leader="none"/>
                <w:tab w:pos="2519" w:val="left" w:leader="none"/>
              </w:tabs>
              <w:spacing w:line="239" w:lineRule="exact"/>
              <w:ind w:left="100" w:right="0"/>
              <w:jc w:val="left"/>
              <w:rPr>
                <w:rFonts w:ascii="宋体" w:hAnsi="宋体" w:cs="宋体" w:eastAsia="宋体" w:hint="default"/>
                <w:sz w:val="21"/>
                <w:szCs w:val="21"/>
              </w:rPr>
            </w:pPr>
            <w:r>
              <w:rPr>
                <w:rFonts w:ascii="宋体"/>
                <w:sz w:val="21"/>
              </w:rPr>
              <w:t>Yingli</w:t>
              <w:tab/>
            </w:r>
            <w:r>
              <w:rPr>
                <w:rFonts w:ascii="宋体"/>
                <w:spacing w:val="-1"/>
                <w:sz w:val="21"/>
              </w:rPr>
              <w:t>Green</w:t>
              <w:tab/>
              <w:t>Energy</w:t>
              <w:tab/>
              <w:t>Holding</w:t>
            </w:r>
          </w:p>
          <w:p>
            <w:pPr>
              <w:pStyle w:val="TableParagraph"/>
              <w:spacing w:line="273" w:lineRule="exact"/>
              <w:ind w:left="100" w:right="0"/>
              <w:jc w:val="left"/>
              <w:rPr>
                <w:rFonts w:ascii="宋体" w:hAnsi="宋体" w:cs="宋体" w:eastAsia="宋体" w:hint="default"/>
                <w:sz w:val="21"/>
                <w:szCs w:val="21"/>
              </w:rPr>
            </w:pPr>
            <w:r>
              <w:rPr>
                <w:rFonts w:ascii="宋体"/>
                <w:sz w:val="21"/>
              </w:rPr>
              <w:t>Company</w:t>
            </w:r>
            <w:r>
              <w:rPr>
                <w:rFonts w:ascii="宋体"/>
                <w:spacing w:val="-1"/>
                <w:sz w:val="21"/>
              </w:rPr>
              <w:t> </w:t>
            </w:r>
            <w:r>
              <w:rPr>
                <w:rFonts w:ascii="宋体"/>
                <w:sz w:val="21"/>
              </w:rPr>
              <w:t>Limited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Fantasia  Holdings  Group</w:t>
            </w:r>
            <w:r>
              <w:rPr>
                <w:rFonts w:ascii="宋体"/>
                <w:spacing w:val="2"/>
                <w:sz w:val="21"/>
              </w:rPr>
              <w:t> </w:t>
            </w:r>
            <w:r>
              <w:rPr>
                <w:rFonts w:ascii="宋体"/>
                <w:sz w:val="21"/>
              </w:rPr>
              <w:t>Co.,</w:t>
            </w:r>
          </w:p>
          <w:p>
            <w:pPr>
              <w:pStyle w:val="TableParagraph"/>
              <w:spacing w:line="273" w:lineRule="exact"/>
              <w:ind w:left="100" w:right="0"/>
              <w:jc w:val="left"/>
              <w:rPr>
                <w:rFonts w:ascii="宋体" w:hAnsi="宋体" w:cs="宋体" w:eastAsia="宋体" w:hint="default"/>
                <w:sz w:val="21"/>
                <w:szCs w:val="21"/>
              </w:rPr>
            </w:pPr>
            <w:r>
              <w:rPr>
                <w:rFonts w:ascii="宋体"/>
                <w:sz w:val="21"/>
              </w:rPr>
              <w:t>Limited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独立非执行</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5"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sz w:val="21"/>
              </w:rPr>
              <w:t>WH Group</w:t>
            </w:r>
            <w:r>
              <w:rPr>
                <w:rFonts w:ascii="宋体"/>
                <w:spacing w:val="-1"/>
                <w:sz w:val="21"/>
              </w:rPr>
              <w:t> </w:t>
            </w:r>
            <w:r>
              <w:rPr>
                <w:rFonts w:ascii="宋体"/>
                <w:sz w:val="21"/>
              </w:rPr>
              <w:t>Limited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独立非执行</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JD.com, Inc.</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北京睿策投资管理有限公司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北京奇飞翔艺商务咨询有限公司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公司控股股东控制的企</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业</w:t>
            </w:r>
          </w:p>
        </w:tc>
      </w:tr>
      <w:tr>
        <w:trPr>
          <w:trHeight w:val="283" w:hRule="exact"/>
        </w:trPr>
        <w:tc>
          <w:tcPr>
            <w:tcW w:w="1697" w:type="dxa"/>
            <w:vMerge/>
            <w:tcBorders>
              <w:left w:val="single" w:sz="4" w:space="0" w:color="000000"/>
              <w:bottom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中国神华能源股份有限公司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6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left="527" w:right="0"/>
              <w:jc w:val="left"/>
              <w:rPr>
                <w:rFonts w:ascii="宋体" w:hAnsi="宋体" w:cs="宋体" w:eastAsia="宋体" w:hint="default"/>
                <w:sz w:val="21"/>
                <w:szCs w:val="21"/>
              </w:rPr>
            </w:pPr>
            <w:r>
              <w:rPr>
                <w:rFonts w:ascii="宋体" w:hAnsi="宋体" w:cs="宋体" w:eastAsia="宋体" w:hint="default"/>
                <w:sz w:val="21"/>
                <w:szCs w:val="21"/>
              </w:rPr>
              <w:t>刘贵彬</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2"/>
              <w:jc w:val="left"/>
              <w:rPr>
                <w:rFonts w:ascii="宋体" w:hAnsi="宋体" w:cs="宋体" w:eastAsia="宋体" w:hint="default"/>
                <w:sz w:val="21"/>
                <w:szCs w:val="21"/>
              </w:rPr>
            </w:pPr>
            <w:r>
              <w:rPr>
                <w:rFonts w:ascii="宋体" w:hAnsi="宋体" w:cs="宋体" w:eastAsia="宋体" w:hint="default"/>
                <w:w w:val="100"/>
                <w:sz w:val="21"/>
                <w:szCs w:val="21"/>
              </w:rPr>
              <w:t>瑞华</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师</w:t>
            </w:r>
            <w:r>
              <w:rPr>
                <w:rFonts w:ascii="宋体" w:hAnsi="宋体" w:cs="宋体" w:eastAsia="宋体" w:hint="default"/>
                <w:w w:val="100"/>
                <w:sz w:val="21"/>
                <w:szCs w:val="21"/>
              </w:rPr>
              <w:t>事</w:t>
            </w:r>
            <w:r>
              <w:rPr>
                <w:rFonts w:ascii="宋体" w:hAnsi="宋体" w:cs="宋体" w:eastAsia="宋体" w:hint="default"/>
                <w:spacing w:val="-3"/>
                <w:w w:val="100"/>
                <w:sz w:val="21"/>
                <w:szCs w:val="21"/>
              </w:rPr>
              <w:t>务</w:t>
            </w:r>
            <w:r>
              <w:rPr>
                <w:rFonts w:ascii="宋体" w:hAnsi="宋体" w:cs="宋体" w:eastAsia="宋体" w:hint="default"/>
                <w:spacing w:val="-101"/>
                <w:w w:val="100"/>
                <w:sz w:val="21"/>
                <w:szCs w:val="21"/>
              </w:rPr>
              <w:t>所</w:t>
            </w:r>
            <w:r>
              <w:rPr>
                <w:rFonts w:ascii="宋体" w:hAnsi="宋体" w:cs="宋体" w:eastAsia="宋体" w:hint="default"/>
                <w:spacing w:val="-3"/>
                <w:w w:val="100"/>
                <w:sz w:val="21"/>
                <w:szCs w:val="21"/>
              </w:rPr>
              <w:t>（</w:t>
            </w:r>
            <w:r>
              <w:rPr>
                <w:rFonts w:ascii="宋体" w:hAnsi="宋体" w:cs="宋体" w:eastAsia="宋体" w:hint="default"/>
                <w:w w:val="100"/>
                <w:sz w:val="21"/>
                <w:szCs w:val="21"/>
              </w:rPr>
              <w:t>特</w:t>
            </w:r>
            <w:r>
              <w:rPr>
                <w:rFonts w:ascii="宋体" w:hAnsi="宋体" w:cs="宋体" w:eastAsia="宋体" w:hint="default"/>
                <w:spacing w:val="-3"/>
                <w:w w:val="100"/>
                <w:sz w:val="21"/>
                <w:szCs w:val="21"/>
              </w:rPr>
              <w:t>殊普</w:t>
            </w:r>
            <w:r>
              <w:rPr>
                <w:rFonts w:ascii="宋体" w:hAnsi="宋体" w:cs="宋体" w:eastAsia="宋体" w:hint="default"/>
                <w:w w:val="100"/>
                <w:sz w:val="21"/>
                <w:szCs w:val="21"/>
              </w:rPr>
              <w:t>通合</w:t>
            </w:r>
            <w:r>
              <w:rPr>
                <w:rFonts w:ascii="宋体" w:hAnsi="宋体" w:cs="宋体" w:eastAsia="宋体" w:hint="default"/>
                <w:spacing w:val="-3"/>
                <w:w w:val="100"/>
                <w:sz w:val="21"/>
                <w:szCs w:val="21"/>
              </w:rPr>
              <w:t>伙</w:t>
            </w:r>
            <w:r>
              <w:rPr>
                <w:rFonts w:ascii="宋体" w:hAnsi="宋体" w:cs="宋体" w:eastAsia="宋体" w:hint="default"/>
                <w:w w:val="100"/>
                <w:sz w:val="21"/>
                <w:szCs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hanging="75"/>
              <w:jc w:val="left"/>
              <w:rPr>
                <w:rFonts w:ascii="宋体" w:hAnsi="宋体" w:cs="宋体" w:eastAsia="宋体" w:hint="default"/>
                <w:sz w:val="21"/>
                <w:szCs w:val="21"/>
              </w:rPr>
            </w:pPr>
            <w:r>
              <w:rPr>
                <w:rFonts w:ascii="宋体" w:hAnsi="宋体" w:cs="宋体" w:eastAsia="宋体" w:hint="default"/>
                <w:spacing w:val="-11"/>
                <w:sz w:val="21"/>
                <w:szCs w:val="21"/>
              </w:rPr>
              <w:t>合伙人、管理</w:t>
            </w:r>
          </w:p>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委员会委员</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Beijing  Capital International</w:t>
            </w:r>
          </w:p>
          <w:p>
            <w:pPr>
              <w:pStyle w:val="TableParagraph"/>
              <w:spacing w:line="274" w:lineRule="exact"/>
              <w:ind w:left="100" w:right="0"/>
              <w:jc w:val="left"/>
              <w:rPr>
                <w:rFonts w:ascii="宋体" w:hAnsi="宋体" w:cs="宋体" w:eastAsia="宋体" w:hint="default"/>
                <w:sz w:val="21"/>
                <w:szCs w:val="21"/>
              </w:rPr>
            </w:pPr>
            <w:r>
              <w:rPr>
                <w:rFonts w:ascii="宋体"/>
                <w:sz w:val="21"/>
              </w:rPr>
              <w:t>Airport Co.,</w:t>
            </w:r>
            <w:r>
              <w:rPr>
                <w:rFonts w:ascii="宋体"/>
                <w:spacing w:val="-1"/>
                <w:sz w:val="21"/>
              </w:rPr>
              <w:t> </w:t>
            </w:r>
            <w:r>
              <w:rPr>
                <w:rFonts w:ascii="宋体"/>
                <w:sz w:val="21"/>
              </w:rPr>
              <w:t>Ltd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独立非执行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中国卫通集团股份有限公司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5"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北京巅峰智业旅游文化创意股份有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中再资源环境股份有限公司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1697" w:type="dxa"/>
            <w:vMerge/>
            <w:tcBorders>
              <w:left w:val="single" w:sz="4" w:space="0" w:color="000000"/>
              <w:bottom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北京奇飞翔艺商务咨询有限公司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控股股东控制的企业</w:t>
            </w:r>
          </w:p>
        </w:tc>
      </w:tr>
      <w:tr>
        <w:trPr>
          <w:trHeight w:val="554" w:hRule="exact"/>
        </w:trPr>
        <w:tc>
          <w:tcPr>
            <w:tcW w:w="16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2" w:right="0"/>
              <w:jc w:val="center"/>
              <w:rPr>
                <w:rFonts w:ascii="宋体" w:hAnsi="宋体" w:cs="宋体" w:eastAsia="宋体" w:hint="default"/>
                <w:sz w:val="21"/>
                <w:szCs w:val="21"/>
              </w:rPr>
            </w:pPr>
            <w:r>
              <w:rPr>
                <w:rFonts w:ascii="宋体" w:hAnsi="宋体" w:cs="宋体" w:eastAsia="宋体" w:hint="default"/>
                <w:sz w:val="21"/>
                <w:szCs w:val="21"/>
              </w:rPr>
              <w:t>张莉</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天津莱玩网络科技有限公司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公司控制的企业参股的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企业</w:t>
            </w:r>
          </w:p>
        </w:tc>
      </w:tr>
      <w:tr>
        <w:trPr>
          <w:trHeight w:val="557" w:hRule="exact"/>
        </w:trPr>
        <w:tc>
          <w:tcPr>
            <w:tcW w:w="1697" w:type="dxa"/>
            <w:vMerge/>
            <w:tcBorders>
              <w:left w:val="single" w:sz="4" w:space="0" w:color="000000"/>
              <w:bottom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上海爱特米科技有限公司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公司控制的企业参股的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企业</w:t>
            </w:r>
          </w:p>
        </w:tc>
      </w:tr>
      <w:tr>
        <w:trPr>
          <w:trHeight w:val="281" w:hRule="exact"/>
        </w:trPr>
        <w:tc>
          <w:tcPr>
            <w:tcW w:w="16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527" w:right="0"/>
              <w:jc w:val="left"/>
              <w:rPr>
                <w:rFonts w:ascii="宋体" w:hAnsi="宋体" w:cs="宋体" w:eastAsia="宋体" w:hint="default"/>
                <w:sz w:val="21"/>
                <w:szCs w:val="21"/>
              </w:rPr>
            </w:pPr>
            <w:r>
              <w:rPr>
                <w:rFonts w:ascii="宋体" w:hAnsi="宋体" w:cs="宋体" w:eastAsia="宋体" w:hint="default"/>
                <w:sz w:val="21"/>
                <w:szCs w:val="21"/>
              </w:rPr>
              <w:t>郑庆生</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红杉资本中国基金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合伙人</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新经典文化股份有限公司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北京容联易通信息技术有限公司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北京康智乐思网络科技有限公司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4"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上海够快网络科技股份有限公司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上海如书文化传播有限公司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深圳减字科技有限公司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友乐活（北京）网络科技有限公司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华院数据技术（上海）有限公司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杭州数云信息技术有限公司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北京时连天下科技有限公司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上海驻云信息科技有限公司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北京严肃科技有限公司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北京我最在行信息技术有限公司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北京问日科技有限公司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4"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上海乌龙网络技术发展有限公司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上海多米网络信息技术有限公司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bottom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北京一丢丢科技有限公司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3" w:lineRule="exact"/>
        <w:jc w:val="center"/>
        <w:rPr>
          <w:rFonts w:ascii="宋体" w:hAnsi="宋体" w:cs="宋体" w:eastAsia="宋体" w:hint="default"/>
          <w:sz w:val="21"/>
          <w:szCs w:val="21"/>
        </w:rPr>
        <w:sectPr>
          <w:pgSz w:w="11910" w:h="16840"/>
          <w:pgMar w:header="855" w:footer="1217" w:top="1320" w:bottom="1400" w:left="1580" w:right="1160"/>
        </w:sectPr>
      </w:pPr>
    </w:p>
    <w:p>
      <w:pPr>
        <w:spacing w:line="240" w:lineRule="auto" w:before="8"/>
        <w:rPr>
          <w:rFonts w:ascii="Times New Roman" w:hAnsi="Times New Roman" w:cs="Times New Roman" w:eastAsia="Times New Roman"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1697"/>
        <w:gridCol w:w="3371"/>
        <w:gridCol w:w="1418"/>
        <w:gridCol w:w="2338"/>
      </w:tblGrid>
      <w:tr>
        <w:trPr>
          <w:trHeight w:val="557"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49"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7" w:right="0"/>
              <w:jc w:val="left"/>
              <w:rPr>
                <w:rFonts w:ascii="宋体" w:hAnsi="宋体" w:cs="宋体" w:eastAsia="宋体" w:hint="default"/>
                <w:sz w:val="21"/>
                <w:szCs w:val="21"/>
              </w:rPr>
            </w:pPr>
            <w:r>
              <w:rPr>
                <w:rFonts w:ascii="宋体" w:hAnsi="宋体" w:cs="宋体" w:eastAsia="宋体" w:hint="default"/>
                <w:sz w:val="21"/>
                <w:szCs w:val="21"/>
              </w:rPr>
              <w:t>在其他单位</w:t>
            </w:r>
          </w:p>
          <w:p>
            <w:pPr>
              <w:pStyle w:val="TableParagraph"/>
              <w:spacing w:line="273" w:lineRule="exact"/>
              <w:ind w:left="177"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兼职单位与上市公司关</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联关系</w:t>
            </w:r>
          </w:p>
        </w:tc>
      </w:tr>
      <w:tr>
        <w:trPr>
          <w:trHeight w:val="281" w:hRule="exact"/>
        </w:trPr>
        <w:tc>
          <w:tcPr>
            <w:tcW w:w="1697" w:type="dxa"/>
            <w:vMerge w:val="restart"/>
            <w:tcBorders>
              <w:top w:val="single" w:sz="4" w:space="0" w:color="000000"/>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重庆一点点科技有限公司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特赞（上海）信息科技有限公司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北京幻想纵横网络技术有限公司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深圳饭来科技有限公司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北京希珥瑞思科技有限公司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北京直客通科技有限公司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bottom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上海初生网络科技有限公司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张矛</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联通资本投资控股有限公司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1697" w:type="dxa"/>
            <w:vMerge/>
            <w:tcBorders>
              <w:left w:val="single" w:sz="4" w:space="0" w:color="000000"/>
              <w:bottom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联通创新创业投资有限公司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4" w:hRule="exact"/>
        </w:trPr>
        <w:tc>
          <w:tcPr>
            <w:tcW w:w="16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金志峰</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（已离任）</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苏州富士电梯有限公司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苏州史杰克品牌管理有限公司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w:t>
            </w:r>
            <w:r>
              <w:rPr>
                <w:rFonts w:ascii="宋体" w:hAnsi="宋体" w:cs="宋体" w:eastAsia="宋体" w:hint="default"/>
                <w:sz w:val="21"/>
                <w:szCs w:val="21"/>
              </w:rPr>
              <w:t>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经理</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苏州劳灵精密机械有限公司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697" w:type="dxa"/>
            <w:vMerge/>
            <w:tcBorders>
              <w:left w:val="single" w:sz="4" w:space="0" w:color="000000"/>
              <w:bottom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苏州工业园区江南赛特数控设备有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姚珏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（已离任）</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tabs>
                <w:tab w:pos="1101" w:val="left" w:leader="none"/>
                <w:tab w:pos="2416" w:val="left" w:leader="none"/>
              </w:tabs>
              <w:spacing w:line="239" w:lineRule="exact"/>
              <w:ind w:left="100" w:right="0"/>
              <w:jc w:val="left"/>
              <w:rPr>
                <w:rFonts w:ascii="宋体" w:hAnsi="宋体" w:cs="宋体" w:eastAsia="宋体" w:hint="default"/>
                <w:sz w:val="21"/>
                <w:szCs w:val="21"/>
              </w:rPr>
            </w:pPr>
            <w:r>
              <w:rPr>
                <w:rFonts w:ascii="宋体"/>
                <w:spacing w:val="-1"/>
                <w:sz w:val="21"/>
              </w:rPr>
              <w:t>Yintech</w:t>
              <w:tab/>
              <w:t>Investment</w:t>
              <w:tab/>
              <w:t>Holdings</w:t>
            </w:r>
          </w:p>
          <w:p>
            <w:pPr>
              <w:pStyle w:val="TableParagraph"/>
              <w:spacing w:line="273" w:lineRule="exact"/>
              <w:ind w:left="100" w:right="0"/>
              <w:jc w:val="left"/>
              <w:rPr>
                <w:rFonts w:ascii="宋体" w:hAnsi="宋体" w:cs="宋体" w:eastAsia="宋体" w:hint="default"/>
                <w:sz w:val="21"/>
                <w:szCs w:val="21"/>
              </w:rPr>
            </w:pPr>
            <w:r>
              <w:rPr>
                <w:rFonts w:ascii="宋体"/>
                <w:sz w:val="21"/>
              </w:rPr>
              <w:t>Limited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杨超</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（已离任）</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杭州橙群网络科技有限公司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公司控制的企业参股的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企业</w:t>
            </w:r>
          </w:p>
        </w:tc>
      </w:tr>
      <w:tr>
        <w:trPr>
          <w:trHeight w:val="554" w:hRule="exact"/>
        </w:trPr>
        <w:tc>
          <w:tcPr>
            <w:tcW w:w="16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谭晓生</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（已离任）</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北京云安世纪科技有限公司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公司全资子公司参股的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企业</w:t>
            </w:r>
          </w:p>
        </w:tc>
      </w:tr>
      <w:tr>
        <w:trPr>
          <w:trHeight w:val="555"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北京恒易传奇科技有限责任公司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公司控股股东控制的企</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业</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天津书生云科技有限公司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SurDoc</w:t>
            </w:r>
            <w:r>
              <w:rPr>
                <w:rFonts w:ascii="宋体"/>
                <w:spacing w:val="1"/>
                <w:sz w:val="21"/>
              </w:rPr>
              <w:t> </w:t>
            </w:r>
            <w:r>
              <w:rPr>
                <w:rFonts w:ascii="宋体"/>
                <w:sz w:val="21"/>
              </w:rPr>
              <w:t>Corp.</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北京安赛创想科技有限公司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洛阳市景安计算机网络技术有限公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成都安慧科技有限公司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bottom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重庆长安汽车股份有限公司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廖清红</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（已离任）</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深圳正则科技有限公司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7" w:hRule="exact"/>
        </w:trPr>
        <w:tc>
          <w:tcPr>
            <w:tcW w:w="16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曲冰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（已离任）</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工业和信息化部信息经济专家委员</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委员、理事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中国信息通信研究院工业互联网产</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业联盟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副理事长</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中国版权协会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常务理事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90" w:hRule="exact"/>
        </w:trPr>
        <w:tc>
          <w:tcPr>
            <w:tcW w:w="1697" w:type="dxa"/>
            <w:vMerge/>
            <w:tcBorders>
              <w:left w:val="single" w:sz="4" w:space="0" w:color="000000"/>
              <w:bottom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北京奇虎</w:t>
            </w:r>
            <w:r>
              <w:rPr>
                <w:rFonts w:ascii="宋体" w:hAnsi="宋体" w:cs="宋体" w:eastAsia="宋体" w:hint="default"/>
                <w:spacing w:val="-52"/>
                <w:sz w:val="21"/>
                <w:szCs w:val="21"/>
              </w:rPr>
              <w:t> </w:t>
            </w:r>
            <w:r>
              <w:rPr>
                <w:rFonts w:ascii="宋体" w:hAnsi="宋体" w:cs="宋体" w:eastAsia="宋体" w:hint="default"/>
                <w:sz w:val="21"/>
                <w:szCs w:val="21"/>
              </w:rPr>
              <w:t>360</w:t>
            </w:r>
            <w:r>
              <w:rPr>
                <w:rFonts w:ascii="宋体" w:hAnsi="宋体" w:cs="宋体" w:eastAsia="宋体" w:hint="default"/>
                <w:spacing w:val="-53"/>
                <w:sz w:val="21"/>
                <w:szCs w:val="21"/>
              </w:rPr>
              <w:t> </w:t>
            </w:r>
            <w:r>
              <w:rPr>
                <w:rFonts w:ascii="宋体" w:hAnsi="宋体" w:cs="宋体" w:eastAsia="宋体" w:hint="default"/>
                <w:sz w:val="21"/>
                <w:szCs w:val="21"/>
              </w:rPr>
              <w:t>公益基金会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理事长</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6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53"/>
              <w:ind w:left="2" w:right="0"/>
              <w:jc w:val="center"/>
              <w:rPr>
                <w:rFonts w:ascii="宋体" w:hAnsi="宋体" w:cs="宋体" w:eastAsia="宋体" w:hint="default"/>
                <w:sz w:val="21"/>
                <w:szCs w:val="21"/>
              </w:rPr>
            </w:pPr>
            <w:r>
              <w:rPr>
                <w:rFonts w:ascii="宋体" w:hAnsi="宋体" w:cs="宋体" w:eastAsia="宋体" w:hint="default"/>
                <w:sz w:val="21"/>
                <w:szCs w:val="21"/>
              </w:rPr>
              <w:t>钱金水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（已离任）</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苏州工业园区江南赛特数控设备有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苏州劳灵精密机械有限公司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697" w:type="dxa"/>
            <w:vMerge/>
            <w:tcBorders>
              <w:left w:val="single" w:sz="4" w:space="0" w:color="000000"/>
              <w:bottom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苏州市建业实业有限公司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w:t>
            </w:r>
            <w:r>
              <w:rPr>
                <w:rFonts w:ascii="宋体" w:hAnsi="宋体" w:cs="宋体" w:eastAsia="宋体" w:hint="default"/>
                <w:sz w:val="21"/>
                <w:szCs w:val="21"/>
              </w:rPr>
              <w:t>总经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理</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5" w:hRule="exact"/>
        </w:trPr>
        <w:tc>
          <w:tcPr>
            <w:tcW w:w="169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金祖铭</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（已离任）</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苏州江南嘉捷机电技术研究院有限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w:t>
            </w:r>
            <w:r>
              <w:rPr>
                <w:rFonts w:ascii="宋体" w:hAnsi="宋体" w:cs="宋体" w:eastAsia="宋体" w:hint="default"/>
                <w:sz w:val="21"/>
                <w:szCs w:val="21"/>
              </w:rPr>
              <w:t>总经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理</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1697" w:type="dxa"/>
            <w:vMerge/>
            <w:tcBorders>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苏州劳灵精密机械有限公司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bottom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苏州工业园区江南赛特数控设备有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3" w:lineRule="exact"/>
        <w:jc w:val="center"/>
        <w:rPr>
          <w:rFonts w:ascii="宋体" w:hAnsi="宋体" w:cs="宋体" w:eastAsia="宋体" w:hint="default"/>
          <w:sz w:val="21"/>
          <w:szCs w:val="21"/>
        </w:rPr>
        <w:sectPr>
          <w:pgSz w:w="11910" w:h="16840"/>
          <w:pgMar w:header="855" w:footer="1217" w:top="1320" w:bottom="1400" w:left="1580" w:right="1160"/>
        </w:sectPr>
      </w:pPr>
    </w:p>
    <w:p>
      <w:pPr>
        <w:spacing w:line="240" w:lineRule="auto" w:before="8"/>
        <w:rPr>
          <w:rFonts w:ascii="Times New Roman" w:hAnsi="Times New Roman" w:cs="Times New Roman" w:eastAsia="Times New Roman"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1697"/>
        <w:gridCol w:w="3371"/>
        <w:gridCol w:w="1418"/>
        <w:gridCol w:w="2338"/>
      </w:tblGrid>
      <w:tr>
        <w:trPr>
          <w:trHeight w:val="557"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49"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7" w:right="0"/>
              <w:jc w:val="left"/>
              <w:rPr>
                <w:rFonts w:ascii="宋体" w:hAnsi="宋体" w:cs="宋体" w:eastAsia="宋体" w:hint="default"/>
                <w:sz w:val="21"/>
                <w:szCs w:val="21"/>
              </w:rPr>
            </w:pPr>
            <w:r>
              <w:rPr>
                <w:rFonts w:ascii="宋体" w:hAnsi="宋体" w:cs="宋体" w:eastAsia="宋体" w:hint="default"/>
                <w:sz w:val="21"/>
                <w:szCs w:val="21"/>
              </w:rPr>
              <w:t>在其他单位</w:t>
            </w:r>
          </w:p>
          <w:p>
            <w:pPr>
              <w:pStyle w:val="TableParagraph"/>
              <w:spacing w:line="273" w:lineRule="exact"/>
              <w:ind w:left="177"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兼职单位与上市公司关</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联关系</w:t>
            </w:r>
          </w:p>
        </w:tc>
      </w:tr>
      <w:tr>
        <w:trPr>
          <w:trHeight w:val="281" w:hRule="exact"/>
        </w:trPr>
        <w:tc>
          <w:tcPr>
            <w:tcW w:w="1697" w:type="dxa"/>
            <w:vMerge w:val="restart"/>
            <w:tcBorders>
              <w:top w:val="single" w:sz="4" w:space="0" w:color="000000"/>
              <w:left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97" w:type="dxa"/>
            <w:vMerge/>
            <w:tcBorders>
              <w:left w:val="single" w:sz="4" w:space="0" w:color="000000"/>
              <w:bottom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苏州江南赛特数控设备有限公司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待注销</w:t>
            </w:r>
            <w:r>
              <w:rPr>
                <w:rFonts w:ascii="宋体" w:hAnsi="宋体" w:cs="宋体" w:eastAsia="宋体" w:hint="default"/>
                <w:sz w:val="21"/>
                <w:szCs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val="restart"/>
            <w:tcBorders>
              <w:top w:val="single" w:sz="4" w:space="0" w:color="000000"/>
              <w:left w:val="single" w:sz="4" w:space="0" w:color="000000"/>
              <w:right w:val="single" w:sz="4" w:space="0" w:color="000000"/>
            </w:tcBorders>
          </w:tcPr>
          <w:p>
            <w:pPr>
              <w:pStyle w:val="TableParagraph"/>
              <w:spacing w:line="274" w:lineRule="exact" w:before="107"/>
              <w:ind w:left="2" w:right="0"/>
              <w:jc w:val="center"/>
              <w:rPr>
                <w:rFonts w:ascii="宋体" w:hAnsi="宋体" w:cs="宋体" w:eastAsia="宋体" w:hint="default"/>
                <w:sz w:val="21"/>
                <w:szCs w:val="21"/>
              </w:rPr>
            </w:pPr>
            <w:r>
              <w:rPr>
                <w:rFonts w:ascii="宋体" w:hAnsi="宋体" w:cs="宋体" w:eastAsia="宋体" w:hint="default"/>
                <w:sz w:val="21"/>
                <w:szCs w:val="21"/>
              </w:rPr>
              <w:t>王惠芳</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（已离任）</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苏州劳灵精密机械有限公司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697" w:type="dxa"/>
            <w:vMerge/>
            <w:tcBorders>
              <w:left w:val="single" w:sz="4" w:space="0" w:color="000000"/>
              <w:bottom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苏州工业园区江南赛特数控设备有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697" w:type="dxa"/>
            <w:vMerge w:val="restart"/>
            <w:tcBorders>
              <w:top w:val="single" w:sz="4" w:space="0" w:color="000000"/>
              <w:left w:val="single" w:sz="4" w:space="0" w:color="000000"/>
              <w:right w:val="single" w:sz="4" w:space="0" w:color="000000"/>
            </w:tcBorders>
          </w:tcPr>
          <w:p>
            <w:pPr>
              <w:pStyle w:val="TableParagraph"/>
              <w:spacing w:line="274" w:lineRule="exact" w:before="107"/>
              <w:ind w:left="2" w:right="0"/>
              <w:jc w:val="center"/>
              <w:rPr>
                <w:rFonts w:ascii="宋体" w:hAnsi="宋体" w:cs="宋体" w:eastAsia="宋体" w:hint="default"/>
                <w:sz w:val="21"/>
                <w:szCs w:val="21"/>
              </w:rPr>
            </w:pPr>
            <w:r>
              <w:rPr>
                <w:rFonts w:ascii="宋体" w:hAnsi="宋体" w:cs="宋体" w:eastAsia="宋体" w:hint="default"/>
                <w:sz w:val="21"/>
                <w:szCs w:val="21"/>
              </w:rPr>
              <w:t>王稼铭</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（已离任）</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中通诚资产评估有限公司（证券资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质）江苏仁合分公司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负责人</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697" w:type="dxa"/>
            <w:vMerge/>
            <w:tcBorders>
              <w:left w:val="single" w:sz="4" w:space="0" w:color="000000"/>
              <w:bottom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苏州三光科技股份有限公司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5"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肖翔</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（已离任）</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北京大成（苏州）律师事务所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负责人</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陈喆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（已离任）</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苏州富士电梯有限公司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潘代秋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（已离任）</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苏州江南嘉捷机电技术研究院有限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苏金荣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（已离任）</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苏州富士电梯有限公司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魏山虎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（已离任）</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苏州劳灵精密机械有限公司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7"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邹克雷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（已离任）</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苏州金融租赁股份有限公司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5"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情况的说明</w:t>
            </w:r>
          </w:p>
        </w:tc>
        <w:tc>
          <w:tcPr>
            <w:tcW w:w="7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Times New Roman" w:hAnsi="Times New Roman" w:cs="Times New Roman" w:eastAsia="Times New Roman" w:hint="default"/>
          <w:sz w:val="21"/>
          <w:szCs w:val="21"/>
        </w:rPr>
      </w:pPr>
    </w:p>
    <w:p>
      <w:pPr>
        <w:pStyle w:val="BodyText"/>
        <w:spacing w:line="355" w:lineRule="auto" w:before="36"/>
        <w:ind w:left="218" w:right="108" w:firstLine="419"/>
        <w:jc w:val="left"/>
      </w:pPr>
      <w:r>
        <w:rPr/>
        <w:t>注：根据</w:t>
      </w:r>
      <w:r>
        <w:rPr>
          <w:spacing w:val="-55"/>
        </w:rPr>
        <w:t> </w:t>
      </w:r>
      <w:r>
        <w:rPr>
          <w:rFonts w:ascii="宋体" w:hAnsi="宋体" w:cs="宋体" w:eastAsia="宋体" w:hint="default"/>
        </w:rPr>
        <w:t>Kunhoo</w:t>
      </w:r>
      <w:r>
        <w:rPr>
          <w:rFonts w:ascii="宋体" w:hAnsi="宋体" w:cs="宋体" w:eastAsia="宋体" w:hint="default"/>
          <w:spacing w:val="-47"/>
        </w:rPr>
        <w:t> </w:t>
      </w:r>
      <w:r>
        <w:rPr>
          <w:rFonts w:ascii="宋体" w:hAnsi="宋体" w:cs="宋体" w:eastAsia="宋体" w:hint="default"/>
        </w:rPr>
        <w:t>Software</w:t>
      </w:r>
      <w:r>
        <w:rPr>
          <w:rFonts w:ascii="宋体" w:hAnsi="宋体" w:cs="宋体" w:eastAsia="宋体" w:hint="default"/>
          <w:spacing w:val="-50"/>
        </w:rPr>
        <w:t> </w:t>
      </w:r>
      <w:r>
        <w:rPr>
          <w:rFonts w:ascii="宋体" w:hAnsi="宋体" w:cs="宋体" w:eastAsia="宋体" w:hint="default"/>
        </w:rPr>
        <w:t>LLC</w:t>
      </w:r>
      <w:r>
        <w:rPr>
          <w:rFonts w:ascii="宋体" w:hAnsi="宋体" w:cs="宋体" w:eastAsia="宋体" w:hint="default"/>
          <w:spacing w:val="-57"/>
        </w:rPr>
        <w:t> </w:t>
      </w:r>
      <w:r>
        <w:rPr/>
        <w:t>公司章程，周鸿祎的任职职位为“Manager”，作为管理委员</w:t>
      </w:r>
      <w:r>
        <w:rPr>
          <w:w w:val="100"/>
        </w:rPr>
        <w:t> </w:t>
      </w:r>
      <w:r>
        <w:rPr/>
        <w:t>会（</w:t>
      </w:r>
      <w:r>
        <w:rPr>
          <w:rFonts w:ascii="宋体" w:hAnsi="宋体" w:cs="宋体" w:eastAsia="宋体" w:hint="default"/>
        </w:rPr>
        <w:t>Board of Managers</w:t>
      </w:r>
      <w:r>
        <w:rPr/>
        <w:t>）</w:t>
      </w:r>
      <w:r>
        <w:rPr>
          <w:rFonts w:ascii="宋体" w:hAnsi="宋体" w:cs="宋体" w:eastAsia="宋体" w:hint="default"/>
        </w:rPr>
        <w:t>3</w:t>
      </w:r>
      <w:r>
        <w:rPr>
          <w:rFonts w:ascii="宋体" w:hAnsi="宋体" w:cs="宋体" w:eastAsia="宋体" w:hint="default"/>
          <w:spacing w:val="-62"/>
        </w:rPr>
        <w:t> </w:t>
      </w:r>
      <w:r>
        <w:rPr/>
        <w:t>名成员之一，实际行使董事职责，非履行高级管理人员职责。</w:t>
      </w:r>
    </w:p>
    <w:p>
      <w:pPr>
        <w:spacing w:after="0" w:line="355" w:lineRule="auto"/>
        <w:jc w:val="left"/>
        <w:sectPr>
          <w:pgSz w:w="11910" w:h="16840"/>
          <w:pgMar w:header="855" w:footer="1217" w:top="1320" w:bottom="1400" w:left="1580" w:right="11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5"/>
        <w:spacing w:line="240" w:lineRule="auto" w:before="36"/>
        <w:ind w:right="234"/>
        <w:jc w:val="left"/>
        <w:rPr>
          <w:b w:val="0"/>
          <w:bCs w:val="0"/>
        </w:rPr>
      </w:pPr>
      <w:r>
        <w:rPr/>
        <w:t>三、董事、监事、高级管理人员报酬情况</w:t>
      </w:r>
      <w:r>
        <w:rPr>
          <w:b w:val="0"/>
          <w:bCs w:val="0"/>
        </w:rPr>
      </w:r>
    </w:p>
    <w:p>
      <w:pPr>
        <w:pStyle w:val="BodyText"/>
        <w:spacing w:line="240" w:lineRule="auto" w:before="56"/>
        <w:ind w:left="218" w:right="234"/>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7"/>
        <w:gridCol w:w="6203"/>
      </w:tblGrid>
      <w:tr>
        <w:trPr>
          <w:trHeight w:val="826"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董事、监事、高级管理人员报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酬的决策程序</w:t>
            </w:r>
          </w:p>
        </w:tc>
        <w:tc>
          <w:tcPr>
            <w:tcW w:w="62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公司董事及高级管理人员的薪酬由公司董事会提名与薪酬委员会</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6"/>
                <w:sz w:val="21"/>
                <w:szCs w:val="21"/>
              </w:rPr>
              <w:t>拟定，董事会、股东大会审议通过后实施；监事的薪酬由公司监事</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会提出、股东大会审议通过后实施。</w:t>
            </w:r>
          </w:p>
        </w:tc>
      </w:tr>
      <w:tr>
        <w:trPr>
          <w:trHeight w:val="557"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董事、监事、高级管理人员报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酬确定依据</w:t>
            </w:r>
          </w:p>
        </w:tc>
        <w:tc>
          <w:tcPr>
            <w:tcW w:w="6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董事</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监</w:t>
            </w:r>
            <w:r>
              <w:rPr>
                <w:rFonts w:ascii="宋体" w:hAnsi="宋体" w:cs="宋体" w:eastAsia="宋体" w:hint="default"/>
                <w:w w:val="100"/>
                <w:sz w:val="21"/>
                <w:szCs w:val="21"/>
              </w:rPr>
              <w:t>事</w:t>
            </w:r>
            <w:r>
              <w:rPr>
                <w:rFonts w:ascii="宋体" w:hAnsi="宋体" w:cs="宋体" w:eastAsia="宋体" w:hint="default"/>
                <w:spacing w:val="-3"/>
                <w:w w:val="100"/>
                <w:sz w:val="21"/>
                <w:szCs w:val="21"/>
              </w:rPr>
              <w:t>及</w:t>
            </w:r>
            <w:r>
              <w:rPr>
                <w:rFonts w:ascii="宋体" w:hAnsi="宋体" w:cs="宋体" w:eastAsia="宋体" w:hint="default"/>
                <w:w w:val="100"/>
                <w:sz w:val="21"/>
                <w:szCs w:val="21"/>
              </w:rPr>
              <w:t>高</w:t>
            </w:r>
            <w:r>
              <w:rPr>
                <w:rFonts w:ascii="宋体" w:hAnsi="宋体" w:cs="宋体" w:eastAsia="宋体" w:hint="default"/>
                <w:spacing w:val="-3"/>
                <w:w w:val="100"/>
                <w:sz w:val="21"/>
                <w:szCs w:val="21"/>
              </w:rPr>
              <w:t>级</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人员</w:t>
            </w:r>
            <w:r>
              <w:rPr>
                <w:rFonts w:ascii="宋体" w:hAnsi="宋体" w:cs="宋体" w:eastAsia="宋体" w:hint="default"/>
                <w:spacing w:val="-3"/>
                <w:w w:val="100"/>
                <w:sz w:val="21"/>
                <w:szCs w:val="21"/>
              </w:rPr>
              <w:t>的</w:t>
            </w:r>
            <w:r>
              <w:rPr>
                <w:rFonts w:ascii="宋体" w:hAnsi="宋体" w:cs="宋体" w:eastAsia="宋体" w:hint="default"/>
                <w:w w:val="100"/>
                <w:sz w:val="21"/>
                <w:szCs w:val="21"/>
              </w:rPr>
              <w:t>薪</w:t>
            </w:r>
            <w:r>
              <w:rPr>
                <w:rFonts w:ascii="宋体" w:hAnsi="宋体" w:cs="宋体" w:eastAsia="宋体" w:hint="default"/>
                <w:spacing w:val="-3"/>
                <w:w w:val="100"/>
                <w:sz w:val="21"/>
                <w:szCs w:val="21"/>
              </w:rPr>
              <w:t>酬</w:t>
            </w:r>
            <w:r>
              <w:rPr>
                <w:rFonts w:ascii="宋体" w:hAnsi="宋体" w:cs="宋体" w:eastAsia="宋体" w:hint="default"/>
                <w:w w:val="100"/>
                <w:sz w:val="21"/>
                <w:szCs w:val="21"/>
              </w:rPr>
              <w:t>方</w:t>
            </w:r>
            <w:r>
              <w:rPr>
                <w:rFonts w:ascii="宋体" w:hAnsi="宋体" w:cs="宋体" w:eastAsia="宋体" w:hint="default"/>
                <w:spacing w:val="-3"/>
                <w:w w:val="100"/>
                <w:sz w:val="21"/>
                <w:szCs w:val="21"/>
              </w:rPr>
              <w:t>案</w:t>
            </w:r>
            <w:r>
              <w:rPr>
                <w:rFonts w:ascii="宋体" w:hAnsi="宋体" w:cs="宋体" w:eastAsia="宋体" w:hint="default"/>
                <w:w w:val="100"/>
                <w:sz w:val="21"/>
                <w:szCs w:val="21"/>
              </w:rPr>
              <w:t>参</w:t>
            </w:r>
            <w:r>
              <w:rPr>
                <w:rFonts w:ascii="宋体" w:hAnsi="宋体" w:cs="宋体" w:eastAsia="宋体" w:hint="default"/>
                <w:spacing w:val="-3"/>
                <w:w w:val="100"/>
                <w:sz w:val="21"/>
                <w:szCs w:val="21"/>
              </w:rPr>
              <w:t>照</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同行</w:t>
            </w:r>
            <w:r>
              <w:rPr>
                <w:rFonts w:ascii="宋体" w:hAnsi="宋体" w:cs="宋体" w:eastAsia="宋体" w:hint="default"/>
                <w:spacing w:val="-3"/>
                <w:w w:val="100"/>
                <w:sz w:val="21"/>
                <w:szCs w:val="21"/>
              </w:rPr>
              <w:t>业</w:t>
            </w:r>
            <w:r>
              <w:rPr>
                <w:rFonts w:ascii="宋体" w:hAnsi="宋体" w:cs="宋体" w:eastAsia="宋体" w:hint="default"/>
                <w:w w:val="100"/>
                <w:sz w:val="21"/>
                <w:szCs w:val="21"/>
              </w:rPr>
              <w:t>或</w:t>
            </w:r>
            <w:r>
              <w:rPr>
                <w:rFonts w:ascii="宋体" w:hAnsi="宋体" w:cs="宋体" w:eastAsia="宋体" w:hint="default"/>
                <w:spacing w:val="-3"/>
                <w:w w:val="100"/>
                <w:sz w:val="21"/>
                <w:szCs w:val="21"/>
              </w:rPr>
              <w:t>相</w:t>
            </w:r>
            <w:r>
              <w:rPr>
                <w:rFonts w:ascii="宋体" w:hAnsi="宋体" w:cs="宋体" w:eastAsia="宋体" w:hint="default"/>
                <w:w w:val="100"/>
                <w:sz w:val="21"/>
                <w:szCs w:val="21"/>
              </w:rPr>
              <w:t>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规模的公司并结合公司经营绩效确定。</w:t>
            </w:r>
          </w:p>
        </w:tc>
      </w:tr>
      <w:tr>
        <w:trPr>
          <w:trHeight w:val="826"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监</w:t>
            </w:r>
            <w:r>
              <w:rPr>
                <w:rFonts w:ascii="宋体" w:hAnsi="宋体" w:cs="宋体" w:eastAsia="宋体" w:hint="default"/>
                <w:w w:val="100"/>
                <w:sz w:val="21"/>
                <w:szCs w:val="21"/>
              </w:rPr>
              <w:t>事</w:t>
            </w:r>
            <w:r>
              <w:rPr>
                <w:rFonts w:ascii="宋体" w:hAnsi="宋体" w:cs="宋体" w:eastAsia="宋体" w:hint="default"/>
                <w:spacing w:val="-3"/>
                <w:w w:val="100"/>
                <w:sz w:val="21"/>
                <w:szCs w:val="21"/>
              </w:rPr>
              <w:t>和</w:t>
            </w:r>
            <w:r>
              <w:rPr>
                <w:rFonts w:ascii="宋体" w:hAnsi="宋体" w:cs="宋体" w:eastAsia="宋体" w:hint="default"/>
                <w:w w:val="100"/>
                <w:sz w:val="21"/>
                <w:szCs w:val="21"/>
              </w:rPr>
              <w:t>高</w:t>
            </w:r>
            <w:r>
              <w:rPr>
                <w:rFonts w:ascii="宋体" w:hAnsi="宋体" w:cs="宋体" w:eastAsia="宋体" w:hint="default"/>
                <w:spacing w:val="-3"/>
                <w:w w:val="100"/>
                <w:sz w:val="21"/>
                <w:szCs w:val="21"/>
              </w:rPr>
              <w:t>级</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人</w:t>
            </w:r>
            <w:r>
              <w:rPr>
                <w:rFonts w:ascii="宋体" w:hAnsi="宋体" w:cs="宋体" w:eastAsia="宋体" w:hint="default"/>
                <w:spacing w:val="-3"/>
                <w:w w:val="100"/>
                <w:sz w:val="21"/>
                <w:szCs w:val="21"/>
              </w:rPr>
              <w:t>员</w:t>
            </w:r>
            <w:r>
              <w:rPr>
                <w:rFonts w:ascii="宋体" w:hAnsi="宋体" w:cs="宋体" w:eastAsia="宋体" w:hint="default"/>
                <w:w w:val="100"/>
                <w:sz w:val="21"/>
                <w:szCs w:val="21"/>
              </w:rPr>
              <w:t>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酬的实际支付情况</w:t>
            </w:r>
          </w:p>
        </w:tc>
        <w:tc>
          <w:tcPr>
            <w:tcW w:w="62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报告期内，公司总计向董事、监事和高级管理人员支付的税前报酬</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金额合计为人民币</w:t>
            </w:r>
            <w:r>
              <w:rPr>
                <w:rFonts w:ascii="宋体" w:hAnsi="宋体" w:cs="宋体" w:eastAsia="宋体" w:hint="default"/>
                <w:spacing w:val="-54"/>
                <w:sz w:val="21"/>
                <w:szCs w:val="21"/>
              </w:rPr>
              <w:t> </w:t>
            </w:r>
            <w:r>
              <w:rPr>
                <w:rFonts w:ascii="宋体" w:hAnsi="宋体" w:cs="宋体" w:eastAsia="宋体" w:hint="default"/>
                <w:sz w:val="21"/>
                <w:szCs w:val="21"/>
              </w:rPr>
              <w:t>2,927.85</w:t>
            </w:r>
            <w:r>
              <w:rPr>
                <w:rFonts w:ascii="宋体" w:hAnsi="宋体" w:cs="宋体" w:eastAsia="宋体" w:hint="default"/>
                <w:spacing w:val="-54"/>
                <w:sz w:val="21"/>
                <w:szCs w:val="21"/>
              </w:rPr>
              <w:t> </w:t>
            </w:r>
            <w:r>
              <w:rPr>
                <w:rFonts w:ascii="宋体" w:hAnsi="宋体" w:cs="宋体" w:eastAsia="宋体" w:hint="default"/>
                <w:sz w:val="21"/>
                <w:szCs w:val="21"/>
              </w:rPr>
              <w:t>万元（含重组前原江南嘉捷在任及报</w:t>
            </w:r>
            <w:r>
              <w:rPr>
                <w:rFonts w:ascii="宋体" w:hAnsi="宋体" w:cs="宋体" w:eastAsia="宋体" w:hint="default"/>
                <w:w w:val="100"/>
                <w:sz w:val="21"/>
                <w:szCs w:val="21"/>
              </w:rPr>
              <w:t> </w:t>
            </w:r>
            <w:r>
              <w:rPr>
                <w:rFonts w:ascii="宋体" w:hAnsi="宋体" w:cs="宋体" w:eastAsia="宋体" w:hint="default"/>
                <w:sz w:val="21"/>
                <w:szCs w:val="21"/>
              </w:rPr>
              <w:t>告期内已离任的董事、监事和高级管理人员）。</w:t>
            </w:r>
          </w:p>
        </w:tc>
      </w:tr>
      <w:tr>
        <w:trPr>
          <w:trHeight w:val="829"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报告</w:t>
            </w:r>
            <w:r>
              <w:rPr>
                <w:rFonts w:ascii="宋体" w:hAnsi="宋体" w:cs="宋体" w:eastAsia="宋体" w:hint="default"/>
                <w:spacing w:val="-3"/>
                <w:w w:val="100"/>
                <w:sz w:val="21"/>
                <w:szCs w:val="21"/>
              </w:rPr>
              <w:t>期</w:t>
            </w:r>
            <w:r>
              <w:rPr>
                <w:rFonts w:ascii="宋体" w:hAnsi="宋体" w:cs="宋体" w:eastAsia="宋体" w:hint="default"/>
                <w:spacing w:val="-1"/>
                <w:w w:val="100"/>
                <w:sz w:val="21"/>
                <w:szCs w:val="21"/>
              </w:rPr>
              <w:t>末</w:t>
            </w:r>
            <w:r>
              <w:rPr>
                <w:rFonts w:ascii="宋体" w:hAnsi="宋体" w:cs="宋体" w:eastAsia="宋体" w:hint="default"/>
                <w:spacing w:val="-3"/>
                <w:w w:val="100"/>
                <w:sz w:val="21"/>
                <w:szCs w:val="21"/>
              </w:rPr>
              <w:t>全</w:t>
            </w:r>
            <w:r>
              <w:rPr>
                <w:rFonts w:ascii="宋体" w:hAnsi="宋体" w:cs="宋体" w:eastAsia="宋体" w:hint="default"/>
                <w:w w:val="100"/>
                <w:sz w:val="21"/>
                <w:szCs w:val="21"/>
              </w:rPr>
              <w:t>体</w:t>
            </w:r>
            <w:r>
              <w:rPr>
                <w:rFonts w:ascii="宋体" w:hAnsi="宋体" w:cs="宋体" w:eastAsia="宋体" w:hint="default"/>
                <w:spacing w:val="-3"/>
                <w:w w:val="100"/>
                <w:sz w:val="21"/>
                <w:szCs w:val="21"/>
              </w:rPr>
              <w:t>董事</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监</w:t>
            </w:r>
            <w:r>
              <w:rPr>
                <w:rFonts w:ascii="宋体" w:hAnsi="宋体" w:cs="宋体" w:eastAsia="宋体" w:hint="default"/>
                <w:w w:val="100"/>
                <w:sz w:val="21"/>
                <w:szCs w:val="21"/>
              </w:rPr>
              <w:t>事</w:t>
            </w:r>
            <w:r>
              <w:rPr>
                <w:rFonts w:ascii="宋体" w:hAnsi="宋体" w:cs="宋体" w:eastAsia="宋体" w:hint="default"/>
                <w:spacing w:val="-3"/>
                <w:w w:val="100"/>
                <w:sz w:val="21"/>
                <w:szCs w:val="21"/>
              </w:rPr>
              <w:t>和</w:t>
            </w:r>
            <w:r>
              <w:rPr>
                <w:rFonts w:ascii="宋体" w:hAnsi="宋体" w:cs="宋体" w:eastAsia="宋体" w:hint="default"/>
                <w:w w:val="100"/>
                <w:sz w:val="21"/>
                <w:szCs w:val="21"/>
              </w:rPr>
              <w:t>高</w:t>
            </w:r>
          </w:p>
          <w:p>
            <w:pPr>
              <w:pStyle w:val="TableParagraph"/>
              <w:spacing w:line="272" w:lineRule="exact" w:before="27"/>
              <w:ind w:left="103" w:right="102"/>
              <w:jc w:val="left"/>
              <w:rPr>
                <w:rFonts w:ascii="宋体" w:hAnsi="宋体" w:cs="宋体" w:eastAsia="宋体" w:hint="default"/>
                <w:sz w:val="21"/>
                <w:szCs w:val="21"/>
              </w:rPr>
            </w:pPr>
            <w:r>
              <w:rPr>
                <w:rFonts w:ascii="宋体" w:hAnsi="宋体" w:cs="宋体" w:eastAsia="宋体" w:hint="default"/>
                <w:spacing w:val="6"/>
                <w:sz w:val="21"/>
                <w:szCs w:val="21"/>
              </w:rPr>
              <w:t>级管理人员实际获得的报酬</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合计</w:t>
            </w:r>
          </w:p>
        </w:tc>
        <w:tc>
          <w:tcPr>
            <w:tcW w:w="6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报告期内，董事、监事和高级管理人员实际获得的税前报酬金额合</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5"/>
                <w:w w:val="100"/>
                <w:sz w:val="21"/>
                <w:szCs w:val="21"/>
              </w:rPr>
              <w:t>计为人民币</w:t>
            </w:r>
            <w:r>
              <w:rPr>
                <w:rFonts w:ascii="宋体" w:hAnsi="宋体" w:cs="宋体" w:eastAsia="宋体" w:hint="default"/>
                <w:spacing w:val="-5"/>
                <w:w w:val="100"/>
                <w:sz w:val="21"/>
                <w:szCs w:val="21"/>
              </w:rPr>
              <w:t>2,927.85</w:t>
            </w:r>
            <w:r>
              <w:rPr>
                <w:rFonts w:ascii="宋体" w:hAnsi="宋体" w:cs="宋体" w:eastAsia="宋体" w:hint="default"/>
                <w:spacing w:val="-5"/>
                <w:w w:val="100"/>
                <w:sz w:val="21"/>
                <w:szCs w:val="21"/>
              </w:rPr>
              <w:t>万元（含重组前原江南嘉捷在任及报告期内已</w:t>
            </w:r>
            <w:r>
              <w:rPr>
                <w:rFonts w:ascii="宋体" w:hAnsi="宋体" w:cs="宋体" w:eastAsia="宋体" w:hint="default"/>
                <w:spacing w:val="-83"/>
                <w:w w:val="100"/>
                <w:sz w:val="21"/>
                <w:szCs w:val="21"/>
              </w:rPr>
              <w:t> </w:t>
            </w:r>
            <w:r>
              <w:rPr>
                <w:rFonts w:ascii="宋体" w:hAnsi="宋体" w:cs="宋体" w:eastAsia="宋体" w:hint="default"/>
                <w:spacing w:val="-83"/>
                <w:w w:val="100"/>
                <w:sz w:val="21"/>
                <w:szCs w:val="21"/>
              </w:rPr>
            </w:r>
            <w:r>
              <w:rPr>
                <w:rFonts w:ascii="宋体" w:hAnsi="宋体" w:cs="宋体" w:eastAsia="宋体" w:hint="default"/>
                <w:sz w:val="21"/>
                <w:szCs w:val="21"/>
              </w:rPr>
              <w:t>离任的董事、监事和高级管理人员）。</w:t>
            </w:r>
          </w:p>
        </w:tc>
      </w:tr>
    </w:tbl>
    <w:p>
      <w:pPr>
        <w:spacing w:line="240" w:lineRule="auto" w:before="12"/>
        <w:rPr>
          <w:rFonts w:ascii="宋体" w:hAnsi="宋体" w:cs="宋体" w:eastAsia="宋体" w:hint="default"/>
          <w:sz w:val="19"/>
          <w:szCs w:val="19"/>
        </w:rPr>
      </w:pPr>
    </w:p>
    <w:p>
      <w:pPr>
        <w:pStyle w:val="Heading5"/>
        <w:spacing w:line="240" w:lineRule="auto" w:before="36"/>
        <w:ind w:right="234"/>
        <w:jc w:val="left"/>
        <w:rPr>
          <w:b w:val="0"/>
          <w:bCs w:val="0"/>
        </w:rPr>
      </w:pPr>
      <w:r>
        <w:rPr/>
        <w:t>四、公司董事、监事、高级管理人员变动情况</w:t>
      </w:r>
      <w:r>
        <w:rPr>
          <w:b w:val="0"/>
          <w:bCs w:val="0"/>
        </w:rPr>
      </w:r>
    </w:p>
    <w:p>
      <w:pPr>
        <w:pStyle w:val="BodyText"/>
        <w:spacing w:line="240" w:lineRule="auto" w:before="58"/>
        <w:ind w:left="218" w:right="234"/>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89"/>
        <w:gridCol w:w="2240"/>
        <w:gridCol w:w="1788"/>
        <w:gridCol w:w="2108"/>
      </w:tblGrid>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周鸿祎</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董事长、总经理</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1"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石晓虹</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董事、副总经理</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SHEN</w:t>
            </w:r>
            <w:r>
              <w:rPr>
                <w:rFonts w:ascii="宋体" w:hAnsi="宋体" w:cs="宋体" w:eastAsia="宋体" w:hint="default"/>
                <w:spacing w:val="-1"/>
                <w:sz w:val="21"/>
                <w:szCs w:val="21"/>
              </w:rPr>
              <w:t> </w:t>
            </w:r>
            <w:r>
              <w:rPr>
                <w:rFonts w:ascii="宋体" w:hAnsi="宋体" w:cs="宋体" w:eastAsia="宋体" w:hint="default"/>
                <w:sz w:val="21"/>
                <w:szCs w:val="21"/>
              </w:rPr>
              <w:t>NANPENG</w:t>
            </w:r>
            <w:r>
              <w:rPr>
                <w:rFonts w:ascii="宋体" w:hAnsi="宋体" w:cs="宋体" w:eastAsia="宋体" w:hint="default"/>
                <w:sz w:val="21"/>
                <w:szCs w:val="21"/>
              </w:rPr>
              <w:t>（沈南鹏）</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罗宁</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1"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XUN</w:t>
            </w:r>
            <w:r>
              <w:rPr>
                <w:rFonts w:ascii="宋体" w:hAnsi="宋体" w:cs="宋体" w:eastAsia="宋体" w:hint="default"/>
                <w:spacing w:val="-1"/>
                <w:sz w:val="21"/>
                <w:szCs w:val="21"/>
              </w:rPr>
              <w:t> </w:t>
            </w:r>
            <w:r>
              <w:rPr>
                <w:rFonts w:ascii="宋体" w:hAnsi="宋体" w:cs="宋体" w:eastAsia="宋体" w:hint="default"/>
                <w:sz w:val="21"/>
                <w:szCs w:val="21"/>
              </w:rPr>
              <w:t>CHEN</w:t>
            </w:r>
            <w:r>
              <w:rPr>
                <w:rFonts w:ascii="宋体" w:hAnsi="宋体" w:cs="宋体" w:eastAsia="宋体" w:hint="default"/>
                <w:sz w:val="21"/>
                <w:szCs w:val="21"/>
              </w:rPr>
              <w:t>（陈恂）</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MING</w:t>
            </w:r>
            <w:r>
              <w:rPr>
                <w:rFonts w:ascii="宋体" w:hAnsi="宋体" w:cs="宋体" w:eastAsia="宋体" w:hint="default"/>
                <w:spacing w:val="1"/>
                <w:sz w:val="21"/>
                <w:szCs w:val="21"/>
              </w:rPr>
              <w:t> </w:t>
            </w:r>
            <w:r>
              <w:rPr>
                <w:rFonts w:ascii="宋体" w:hAnsi="宋体" w:cs="宋体" w:eastAsia="宋体" w:hint="default"/>
                <w:sz w:val="21"/>
                <w:szCs w:val="21"/>
              </w:rPr>
              <w:t>HUANG</w:t>
            </w:r>
            <w:r>
              <w:rPr>
                <w:rFonts w:ascii="宋体" w:hAnsi="宋体" w:cs="宋体" w:eastAsia="宋体" w:hint="default"/>
                <w:sz w:val="21"/>
                <w:szCs w:val="21"/>
              </w:rPr>
              <w:t>（黄明）</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1"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刘贵彬</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张莉</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郑庆生</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1"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李宜檑</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王巍</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新任</w:t>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张矛</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财务负责人</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新任</w:t>
            </w:r>
          </w:p>
        </w:tc>
      </w:tr>
      <w:tr>
        <w:trPr>
          <w:trHeight w:val="281"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谭晓生</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高管</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辞职</w:t>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姚珏</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高管</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辞职</w:t>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杨超</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高管</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辞职</w:t>
            </w:r>
          </w:p>
        </w:tc>
      </w:tr>
      <w:tr>
        <w:trPr>
          <w:trHeight w:val="281"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廖清红</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高管</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辞职</w:t>
            </w:r>
          </w:p>
        </w:tc>
      </w:tr>
      <w:tr>
        <w:trPr>
          <w:trHeight w:val="284"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张帆</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高管</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辞职</w:t>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曲冰</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高管</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辞职</w:t>
            </w:r>
          </w:p>
        </w:tc>
      </w:tr>
      <w:tr>
        <w:trPr>
          <w:trHeight w:val="281"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金志峰</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董事长、总经理</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钱金水</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金祖铭</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1"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王惠芳</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吴炯</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1"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程礼源</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王稼铭</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肖翔</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1"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陈喆</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徐娟</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4"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潘代秋</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1"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苏金荣</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高管</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bl>
    <w:p>
      <w:pPr>
        <w:spacing w:after="0" w:line="241" w:lineRule="exact"/>
        <w:jc w:val="center"/>
        <w:rPr>
          <w:rFonts w:ascii="宋体" w:hAnsi="宋体" w:cs="宋体" w:eastAsia="宋体" w:hint="default"/>
          <w:sz w:val="21"/>
          <w:szCs w:val="21"/>
        </w:rPr>
        <w:sectPr>
          <w:pgSz w:w="11910" w:h="16840"/>
          <w:pgMar w:header="855" w:footer="1217" w:top="1320" w:bottom="1400" w:left="1580" w:right="1040"/>
        </w:sectPr>
      </w:pPr>
    </w:p>
    <w:p>
      <w:pPr>
        <w:spacing w:line="240" w:lineRule="auto" w:before="11"/>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689"/>
        <w:gridCol w:w="2240"/>
        <w:gridCol w:w="1788"/>
        <w:gridCol w:w="2108"/>
      </w:tblGrid>
      <w:tr>
        <w:trPr>
          <w:trHeight w:val="284"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魏山虎</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高管</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1"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邹克雷</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9"/>
                <w:sz w:val="21"/>
                <w:szCs w:val="21"/>
              </w:rPr>
              <w:t>董事会秘书、副总经理</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夏涛</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财务负责人</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钱勇华</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高管</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bl>
    <w:p>
      <w:pPr>
        <w:spacing w:line="240" w:lineRule="auto" w:before="12"/>
        <w:rPr>
          <w:rFonts w:ascii="宋体" w:hAnsi="宋体" w:cs="宋体" w:eastAsia="宋体" w:hint="default"/>
          <w:sz w:val="19"/>
          <w:szCs w:val="19"/>
        </w:rPr>
      </w:pPr>
    </w:p>
    <w:p>
      <w:pPr>
        <w:pStyle w:val="Heading5"/>
        <w:spacing w:line="240" w:lineRule="auto" w:before="36"/>
        <w:ind w:right="234"/>
        <w:jc w:val="left"/>
        <w:rPr>
          <w:b w:val="0"/>
          <w:bCs w:val="0"/>
        </w:rPr>
      </w:pPr>
      <w:r>
        <w:rPr/>
        <w:t>五、近三年受证券监管机构处罚的情况说明</w:t>
      </w:r>
      <w:r>
        <w:rPr>
          <w:b w:val="0"/>
          <w:bCs w:val="0"/>
        </w:rPr>
      </w:r>
    </w:p>
    <w:p>
      <w:pPr>
        <w:pStyle w:val="BodyText"/>
        <w:spacing w:line="240" w:lineRule="auto" w:before="58"/>
        <w:ind w:left="218" w:right="23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right="234"/>
        <w:jc w:val="left"/>
        <w:rPr>
          <w:b w:val="0"/>
          <w:bCs w:val="0"/>
        </w:rPr>
      </w:pPr>
      <w:r>
        <w:rPr/>
        <w:t>六、母公司和主要子公司的员工情况</w:t>
      </w:r>
      <w:r>
        <w:rPr>
          <w:b w:val="0"/>
          <w:bCs w:val="0"/>
        </w:rPr>
      </w:r>
    </w:p>
    <w:p>
      <w:pPr>
        <w:pStyle w:val="Heading5"/>
        <w:spacing w:line="240" w:lineRule="auto" w:before="56"/>
        <w:ind w:right="23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928"/>
        <w:gridCol w:w="4121"/>
      </w:tblGrid>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5,419</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5,419</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851</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研发人员</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3,837</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731</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5,419</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1,144</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3,315</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799</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161</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5,419</w:t>
            </w:r>
          </w:p>
        </w:tc>
      </w:tr>
    </w:tbl>
    <w:p>
      <w:pPr>
        <w:spacing w:line="240" w:lineRule="auto" w:before="12"/>
        <w:rPr>
          <w:rFonts w:ascii="宋体" w:hAnsi="宋体" w:cs="宋体" w:eastAsia="宋体" w:hint="default"/>
          <w:b/>
          <w:bCs/>
          <w:sz w:val="19"/>
          <w:szCs w:val="19"/>
        </w:rPr>
      </w:pPr>
    </w:p>
    <w:p>
      <w:pPr>
        <w:pStyle w:val="Heading5"/>
        <w:spacing w:line="240" w:lineRule="auto" w:before="36"/>
        <w:ind w:right="234"/>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1060" w:val="left" w:leader="none"/>
        </w:tabs>
        <w:spacing w:line="272" w:lineRule="exact" w:before="59"/>
        <w:ind w:left="638" w:right="249" w:hanging="420"/>
        <w:jc w:val="left"/>
      </w:pPr>
      <w:r>
        <w:rPr>
          <w:spacing w:val="-1"/>
        </w:rPr>
        <w:t>√适用</w:t>
        <w:tab/>
      </w:r>
      <w:r>
        <w:rPr>
          <w:spacing w:val="-2"/>
        </w:rPr>
        <w:t>□不适用</w:t>
      </w:r>
      <w:r>
        <w:rPr>
          <w:spacing w:val="-99"/>
        </w:rPr>
        <w:t> </w:t>
      </w:r>
      <w:r>
        <w:rPr>
          <w:spacing w:val="-99"/>
        </w:rPr>
      </w:r>
      <w:r>
        <w:rPr>
          <w:spacing w:val="-2"/>
        </w:rPr>
        <w:t>为吸引、保留高素质人才，公司遵循对内具公平性、对外具竞争性的薪酬宗旨。公司通过科</w:t>
      </w:r>
    </w:p>
    <w:p>
      <w:pPr>
        <w:pStyle w:val="BodyText"/>
        <w:spacing w:line="360" w:lineRule="auto" w:before="108"/>
        <w:ind w:left="218" w:right="234"/>
        <w:jc w:val="left"/>
      </w:pPr>
      <w:r>
        <w:rPr>
          <w:spacing w:val="-2"/>
        </w:rPr>
        <w:t>学的职位评价体系，合理确定每一职位的价值等级并与职业发展体系相结合，确定整个职位体系</w:t>
      </w:r>
      <w:r>
        <w:rPr>
          <w:spacing w:val="-25"/>
        </w:rPr>
        <w:t> </w:t>
      </w:r>
      <w:r>
        <w:rPr>
          <w:spacing w:val="-25"/>
        </w:rPr>
      </w:r>
      <w:r>
        <w:rPr/>
        <w:t>的薪酬架构及水平范围。</w:t>
      </w:r>
    </w:p>
    <w:p>
      <w:pPr>
        <w:pStyle w:val="BodyText"/>
        <w:spacing w:line="355" w:lineRule="auto" w:before="28"/>
        <w:ind w:left="218" w:right="237" w:firstLine="419"/>
        <w:jc w:val="both"/>
      </w:pPr>
      <w:r>
        <w:rPr>
          <w:spacing w:val="-2"/>
        </w:rPr>
        <w:t>在每一职位等级的工资水平范围内，员工的工资依据业绩、贡献、能力、素质等要素确定。</w:t>
      </w:r>
      <w:r>
        <w:rPr>
          <w:w w:val="100"/>
        </w:rPr>
        <w:t> </w:t>
      </w:r>
      <w:r>
        <w:rPr>
          <w:spacing w:val="-2"/>
        </w:rPr>
        <w:t>公司会进行年度的薪酬回顾。如进行薪酬调整，员工个人薪酬调整与否及其幅度将以公司业绩、</w:t>
      </w:r>
      <w:r>
        <w:rPr>
          <w:spacing w:val="-25"/>
        </w:rPr>
        <w:t> </w:t>
      </w:r>
      <w:r>
        <w:rPr>
          <w:spacing w:val="-25"/>
        </w:rPr>
      </w:r>
      <w:r>
        <w:rPr>
          <w:spacing w:val="-2"/>
        </w:rPr>
        <w:t>营运状况、员工个人年度工作绩效评估结果、社会生活指数及市场趋势等因素等作为依据参考。</w:t>
      </w:r>
    </w:p>
    <w:p>
      <w:pPr>
        <w:spacing w:line="240" w:lineRule="auto" w:before="13"/>
        <w:rPr>
          <w:rFonts w:ascii="宋体" w:hAnsi="宋体" w:cs="宋体" w:eastAsia="宋体" w:hint="default"/>
          <w:sz w:val="27"/>
          <w:szCs w:val="27"/>
        </w:rPr>
      </w:pPr>
    </w:p>
    <w:p>
      <w:pPr>
        <w:pStyle w:val="Heading5"/>
        <w:spacing w:line="240" w:lineRule="auto"/>
        <w:ind w:right="234"/>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1060" w:val="left" w:leader="none"/>
        </w:tabs>
        <w:spacing w:line="240" w:lineRule="auto" w:before="29"/>
        <w:ind w:left="218" w:right="234"/>
        <w:jc w:val="left"/>
      </w:pPr>
      <w:r>
        <w:rPr>
          <w:spacing w:val="-1"/>
        </w:rPr>
        <w:t>√适用</w:t>
        <w:tab/>
      </w:r>
      <w:r>
        <w:rPr>
          <w:spacing w:val="-2"/>
        </w:rPr>
        <w:t>□不适用</w:t>
      </w:r>
    </w:p>
    <w:p>
      <w:pPr>
        <w:pStyle w:val="BodyText"/>
        <w:spacing w:line="357" w:lineRule="auto" w:before="135"/>
        <w:ind w:left="218" w:right="237" w:firstLine="419"/>
        <w:jc w:val="both"/>
      </w:pPr>
      <w:r>
        <w:rPr/>
        <w:t>公司重视人才的发展与培养，鼓励员工努力学习，不断更新和完善自我。</w:t>
      </w:r>
      <w:r>
        <w:rPr>
          <w:rFonts w:ascii="宋体" w:hAnsi="宋体" w:cs="宋体" w:eastAsia="宋体" w:hint="default"/>
        </w:rPr>
        <w:t>360</w:t>
      </w:r>
      <w:r>
        <w:rPr>
          <w:rFonts w:ascii="宋体" w:hAnsi="宋体" w:cs="宋体" w:eastAsia="宋体" w:hint="default"/>
          <w:spacing w:val="-5"/>
        </w:rPr>
        <w:t> </w:t>
      </w:r>
      <w:r>
        <w:rPr/>
        <w:t>根据业务经营</w:t>
      </w:r>
      <w:r>
        <w:rPr>
          <w:w w:val="100"/>
        </w:rPr>
        <w:t> </w:t>
      </w:r>
      <w:r>
        <w:rPr>
          <w:spacing w:val="-2"/>
        </w:rPr>
        <w:t>的需要、员工的表现及潜能，结合职业发展素质与技能要求为员工提供不同类别，不同形式，不</w:t>
      </w:r>
    </w:p>
    <w:p>
      <w:pPr>
        <w:spacing w:after="0" w:line="357" w:lineRule="auto"/>
        <w:jc w:val="both"/>
        <w:sectPr>
          <w:pgSz w:w="11910" w:h="16840"/>
          <w:pgMar w:header="855" w:footer="1217" w:top="1320" w:bottom="1400" w:left="1580" w:right="1040"/>
        </w:sectPr>
      </w:pPr>
    </w:p>
    <w:p>
      <w:pPr>
        <w:spacing w:line="240" w:lineRule="auto" w:before="7"/>
        <w:rPr>
          <w:rFonts w:ascii="宋体" w:hAnsi="宋体" w:cs="宋体" w:eastAsia="宋体" w:hint="default"/>
          <w:sz w:val="9"/>
          <w:szCs w:val="9"/>
        </w:rPr>
      </w:pPr>
    </w:p>
    <w:p>
      <w:pPr>
        <w:pStyle w:val="BodyText"/>
        <w:spacing w:line="357" w:lineRule="auto" w:before="36"/>
        <w:ind w:right="0"/>
        <w:jc w:val="left"/>
      </w:pPr>
      <w:r>
        <w:rPr>
          <w:spacing w:val="-2"/>
        </w:rPr>
        <w:t>同层次的培训，帮助员工成长，促进企业发展。培训形式包括公司内部技能分享指导、请外部老</w:t>
      </w:r>
      <w:r>
        <w:rPr>
          <w:spacing w:val="-25"/>
        </w:rPr>
        <w:t> </w:t>
      </w:r>
      <w:r>
        <w:rPr>
          <w:spacing w:val="-25"/>
        </w:rPr>
      </w:r>
      <w:r>
        <w:rPr/>
        <w:t>师来公司进行培训、员工外出参加业务培训以及户外拓展等。</w:t>
      </w:r>
    </w:p>
    <w:p>
      <w:pPr>
        <w:spacing w:line="240" w:lineRule="auto" w:before="2"/>
        <w:rPr>
          <w:rFonts w:ascii="宋体" w:hAnsi="宋体" w:cs="宋体" w:eastAsia="宋体" w:hint="default"/>
          <w:sz w:val="27"/>
          <w:szCs w:val="27"/>
        </w:rPr>
      </w:pPr>
    </w:p>
    <w:p>
      <w:pPr>
        <w:pStyle w:val="Heading2"/>
        <w:spacing w:line="240" w:lineRule="auto"/>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24"/>
        </w:rPr>
        <w:t> </w:t>
      </w:r>
      <w:r>
        <w:rPr/>
        <w:t>劳务外包情况</w:t>
      </w:r>
      <w:r>
        <w:rPr>
          <w:b w:val="0"/>
          <w:bCs w:val="0"/>
        </w:rPr>
      </w:r>
    </w:p>
    <w:p>
      <w:pPr>
        <w:pStyle w:val="BodyText"/>
        <w:spacing w:line="240" w:lineRule="auto" w:before="33"/>
        <w:ind w:right="0"/>
        <w:jc w:val="left"/>
      </w:pPr>
      <w:r>
        <w:rPr/>
        <w:t>□适用</w:t>
      </w:r>
      <w:r>
        <w:rPr>
          <w:spacing w:val="-1"/>
        </w:rPr>
        <w:t> </w:t>
      </w:r>
      <w:r>
        <w:rPr/>
        <w:t>√不适用</w:t>
      </w:r>
    </w:p>
    <w:p>
      <w:pPr>
        <w:spacing w:line="240" w:lineRule="auto" w:before="7"/>
        <w:rPr>
          <w:rFonts w:ascii="宋体" w:hAnsi="宋体" w:cs="宋体" w:eastAsia="宋体" w:hint="default"/>
          <w:sz w:val="29"/>
          <w:szCs w:val="29"/>
        </w:rPr>
      </w:pPr>
    </w:p>
    <w:p>
      <w:pPr>
        <w:pStyle w:val="Heading2"/>
        <w:spacing w:line="240" w:lineRule="auto"/>
        <w:ind w:left="138" w:right="0"/>
        <w:jc w:val="left"/>
        <w:rPr>
          <w:b w:val="0"/>
          <w:bCs w:val="0"/>
        </w:rPr>
      </w:pPr>
      <w:r>
        <w:rPr/>
        <w:t>七、其他</w:t>
      </w:r>
      <w:r>
        <w:rPr>
          <w:b w:val="0"/>
          <w:bCs w:val="0"/>
        </w:rPr>
      </w:r>
    </w:p>
    <w:p>
      <w:pPr>
        <w:pStyle w:val="BodyText"/>
        <w:tabs>
          <w:tab w:pos="980" w:val="left" w:leader="none"/>
        </w:tabs>
        <w:spacing w:line="240" w:lineRule="auto" w:before="64"/>
        <w:ind w:right="0"/>
        <w:jc w:val="left"/>
      </w:pPr>
      <w:r>
        <w:rPr>
          <w:spacing w:val="-1"/>
        </w:rPr>
        <w:t>□适用</w:t>
        <w:tab/>
      </w:r>
      <w:r>
        <w:rPr>
          <w:spacing w:val="-2"/>
        </w:rPr>
        <w:t>√不适用</w:t>
      </w:r>
    </w:p>
    <w:p>
      <w:pPr>
        <w:spacing w:after="0" w:line="240" w:lineRule="auto"/>
        <w:jc w:val="left"/>
        <w:sectPr>
          <w:pgSz w:w="11910" w:h="16840"/>
          <w:pgMar w:header="855" w:footer="1217" w:top="1320" w:bottom="1400" w:left="1660" w:right="1160"/>
        </w:sectPr>
      </w:pPr>
    </w:p>
    <w:p>
      <w:pPr>
        <w:spacing w:line="240" w:lineRule="auto" w:before="0"/>
        <w:rPr>
          <w:rFonts w:ascii="宋体" w:hAnsi="宋体" w:cs="宋体" w:eastAsia="宋体" w:hint="default"/>
          <w:sz w:val="20"/>
          <w:szCs w:val="20"/>
        </w:rPr>
      </w:pPr>
    </w:p>
    <w:p>
      <w:pPr>
        <w:pStyle w:val="Heading1"/>
        <w:tabs>
          <w:tab w:pos="1259" w:val="left" w:leader="none"/>
        </w:tabs>
        <w:spacing w:line="240" w:lineRule="auto" w:before="158"/>
        <w:ind w:right="1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5"/>
        <w:spacing w:line="240" w:lineRule="auto"/>
        <w:ind w:right="0"/>
        <w:jc w:val="both"/>
        <w:rPr>
          <w:b w:val="0"/>
          <w:bCs w:val="0"/>
        </w:rPr>
      </w:pPr>
      <w:r>
        <w:rPr/>
        <w:t>一、公司治理相关情况说明</w:t>
      </w:r>
      <w:r>
        <w:rPr>
          <w:b w:val="0"/>
          <w:bCs w:val="0"/>
        </w:rPr>
      </w:r>
    </w:p>
    <w:p>
      <w:pPr>
        <w:pStyle w:val="BodyText"/>
        <w:tabs>
          <w:tab w:pos="1060" w:val="left" w:leader="none"/>
        </w:tabs>
        <w:spacing w:line="357" w:lineRule="auto" w:before="56"/>
        <w:ind w:left="638" w:right="249" w:hanging="420"/>
        <w:jc w:val="left"/>
      </w:pPr>
      <w:r>
        <w:rPr>
          <w:spacing w:val="-1"/>
        </w:rPr>
        <w:t>√适用</w:t>
        <w:tab/>
      </w:r>
      <w:r>
        <w:rPr>
          <w:spacing w:val="-2"/>
        </w:rPr>
        <w:t>□不适用</w:t>
      </w:r>
      <w:r>
        <w:rPr>
          <w:spacing w:val="-99"/>
        </w:rPr>
        <w:t> </w:t>
      </w:r>
      <w:r>
        <w:rPr>
          <w:spacing w:val="-99"/>
        </w:rPr>
      </w:r>
      <w:r>
        <w:rPr>
          <w:spacing w:val="-2"/>
        </w:rPr>
        <w:t>报告期内，公司严格按照《公司法》、《证券法》、《上市公司治理准则》、《上海证券交</w:t>
      </w:r>
    </w:p>
    <w:p>
      <w:pPr>
        <w:pStyle w:val="BodyText"/>
        <w:spacing w:line="355" w:lineRule="auto" w:before="30"/>
        <w:ind w:left="218" w:right="237"/>
        <w:jc w:val="both"/>
      </w:pPr>
      <w:r>
        <w:rPr>
          <w:spacing w:val="-2"/>
        </w:rPr>
        <w:t>易所股票上市规则》等相关法律法规、规范性文件的要求，制定《公司章程》及内部控制规范制</w:t>
      </w:r>
      <w:r>
        <w:rPr>
          <w:spacing w:val="-26"/>
        </w:rPr>
        <w:t> </w:t>
      </w:r>
      <w:r>
        <w:rPr>
          <w:spacing w:val="-26"/>
        </w:rPr>
      </w:r>
      <w:r>
        <w:rPr>
          <w:spacing w:val="-2"/>
        </w:rPr>
        <w:t>度，完善公司内部法人治理结构，健全内部控制管理制度，不断提高公司治理水平，规范公司运</w:t>
      </w:r>
      <w:r>
        <w:rPr>
          <w:spacing w:val="-25"/>
        </w:rPr>
        <w:t> </w:t>
      </w:r>
      <w:r>
        <w:rPr>
          <w:spacing w:val="-25"/>
        </w:rPr>
      </w:r>
      <w:r>
        <w:rPr/>
        <w:t>作。</w:t>
      </w:r>
    </w:p>
    <w:p>
      <w:pPr>
        <w:pStyle w:val="BodyText"/>
        <w:spacing w:line="240" w:lineRule="auto" w:before="33"/>
        <w:ind w:left="638" w:right="124"/>
        <w:jc w:val="left"/>
      </w:pPr>
      <w:r>
        <w:rPr/>
        <w:t>报告期内，公司根据经营发展需要及时完善公司制度体系，修订了《股东大会议事规则》、</w:t>
      </w:r>
    </w:p>
    <w:p>
      <w:pPr>
        <w:pStyle w:val="BodyText"/>
        <w:spacing w:line="355" w:lineRule="auto" w:before="135"/>
        <w:ind w:left="218" w:right="228"/>
        <w:jc w:val="both"/>
      </w:pPr>
      <w:r>
        <w:rPr>
          <w:spacing w:val="-6"/>
        </w:rPr>
        <w:t>《董事会议事规则》、《独立董事工作制度》、《关联交易制度》、《募集资金管理办法》、《对</w:t>
      </w:r>
      <w:r>
        <w:rPr>
          <w:spacing w:val="-54"/>
        </w:rPr>
        <w:t> </w:t>
      </w:r>
      <w:r>
        <w:rPr>
          <w:spacing w:val="-54"/>
        </w:rPr>
      </w:r>
      <w:r>
        <w:rPr>
          <w:spacing w:val="-2"/>
        </w:rPr>
        <w:t>外担保决策制度》、《累计投票制度实施细则》、《对外投资决策制度》、《财务管理制度》、</w:t>
      </w:r>
    </w:p>
    <w:p>
      <w:pPr>
        <w:pStyle w:val="BodyText"/>
        <w:spacing w:line="357" w:lineRule="auto" w:before="32"/>
        <w:ind w:left="218" w:right="228"/>
        <w:jc w:val="both"/>
      </w:pPr>
      <w:r>
        <w:rPr>
          <w:spacing w:val="-2"/>
        </w:rPr>
        <w:t>《董事会审计委员会工作细则》、《董事会提名与薪酬委员会工作细则》、《董事会战略委员会</w:t>
      </w:r>
      <w:r>
        <w:rPr>
          <w:spacing w:val="-26"/>
        </w:rPr>
        <w:t> </w:t>
      </w:r>
      <w:r>
        <w:rPr>
          <w:spacing w:val="-26"/>
        </w:rPr>
      </w:r>
      <w:r>
        <w:rPr>
          <w:spacing w:val="-7"/>
        </w:rPr>
        <w:t>工作细则》、《总经理工作细则》、《董事会秘书工作细则》、《信息披露事务管理制度》、《内</w:t>
      </w:r>
      <w:r>
        <w:rPr>
          <w:spacing w:val="-12"/>
        </w:rPr>
        <w:t> </w:t>
      </w:r>
      <w:r>
        <w:rPr>
          <w:spacing w:val="-12"/>
        </w:rPr>
      </w:r>
      <w:r>
        <w:rPr>
          <w:spacing w:val="-6"/>
        </w:rPr>
        <w:t>部审计制度》、《资金管理制度》、《投资者关系管理制度》、《重大信息内部报告制度》、《董</w:t>
      </w:r>
      <w:r>
        <w:rPr>
          <w:spacing w:val="-53"/>
        </w:rPr>
        <w:t> </w:t>
      </w:r>
      <w:r>
        <w:rPr>
          <w:spacing w:val="-53"/>
        </w:rPr>
      </w:r>
      <w:r>
        <w:rPr>
          <w:spacing w:val="-7"/>
        </w:rPr>
        <w:t>事、监事、高级管理人员所持公司股份及其变动管理制度》、《内幕信息知情人登记管理制度》、</w:t>
      </w:r>
      <w:r>
        <w:rPr/>
      </w:r>
    </w:p>
    <w:p>
      <w:pPr>
        <w:pStyle w:val="BodyText"/>
        <w:spacing w:line="357" w:lineRule="auto" w:before="30"/>
        <w:ind w:left="218" w:right="237"/>
        <w:jc w:val="both"/>
      </w:pPr>
      <w:r>
        <w:rPr>
          <w:spacing w:val="-2"/>
        </w:rPr>
        <w:t>《资产减值准备提取和核销规程》、《子公司管理办法》、《委托理财管理制度》、《信息披露</w:t>
      </w:r>
      <w:r>
        <w:rPr>
          <w:spacing w:val="-27"/>
        </w:rPr>
        <w:t> </w:t>
      </w:r>
      <w:r>
        <w:rPr>
          <w:spacing w:val="-27"/>
        </w:rPr>
      </w:r>
      <w:r>
        <w:rPr/>
        <w:t>暂缓与豁免业务管理制度》等。</w:t>
      </w:r>
    </w:p>
    <w:p>
      <w:pPr>
        <w:spacing w:line="240" w:lineRule="auto" w:before="3"/>
        <w:rPr>
          <w:rFonts w:ascii="宋体" w:hAnsi="宋体" w:cs="宋体" w:eastAsia="宋体" w:hint="default"/>
          <w:sz w:val="23"/>
          <w:szCs w:val="23"/>
        </w:rPr>
      </w:pPr>
    </w:p>
    <w:p>
      <w:pPr>
        <w:pStyle w:val="BodyText"/>
        <w:spacing w:line="273" w:lineRule="exact"/>
        <w:ind w:left="218" w:right="0"/>
        <w:jc w:val="both"/>
      </w:pPr>
      <w:r>
        <w:rPr/>
        <w:t>公司治理与中国证监会相关规定的要求是否存在重大差异；如有重大差异，应当说明原因</w:t>
      </w:r>
    </w:p>
    <w:p>
      <w:pPr>
        <w:spacing w:line="528" w:lineRule="auto" w:before="0"/>
        <w:ind w:left="218" w:right="6940" w:firstLine="0"/>
        <w:jc w:val="left"/>
        <w:rPr>
          <w:rFonts w:ascii="宋体" w:hAnsi="宋体" w:cs="宋体" w:eastAsia="宋体" w:hint="default"/>
          <w:sz w:val="21"/>
          <w:szCs w:val="21"/>
        </w:rPr>
      </w:pPr>
      <w:r>
        <w:rPr/>
        <w:pict>
          <v:shape style="position:absolute;margin-left:84.264pt;margin-top:48.623695pt;width:453.2pt;height:139.1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49"/>
                    <w:gridCol w:w="2036"/>
                    <w:gridCol w:w="1800"/>
                    <w:gridCol w:w="2165"/>
                  </w:tblGrid>
                  <w:tr>
                    <w:trPr>
                      <w:trHeight w:val="554"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8" w:right="0"/>
                          <w:jc w:val="left"/>
                          <w:rPr>
                            <w:rFonts w:ascii="宋体" w:hAnsi="宋体" w:cs="宋体" w:eastAsia="宋体" w:hint="default"/>
                            <w:sz w:val="21"/>
                            <w:szCs w:val="21"/>
                          </w:rPr>
                        </w:pPr>
                        <w:r>
                          <w:rPr>
                            <w:rFonts w:ascii="宋体" w:hAnsi="宋体" w:cs="宋体" w:eastAsia="宋体" w:hint="default"/>
                            <w:sz w:val="21"/>
                            <w:szCs w:val="21"/>
                          </w:rPr>
                          <w:t>决议刊登的指定</w:t>
                        </w:r>
                      </w:p>
                      <w:p>
                        <w:pPr>
                          <w:pStyle w:val="TableParagraph"/>
                          <w:spacing w:line="273" w:lineRule="exact"/>
                          <w:ind w:left="158" w:right="0"/>
                          <w:jc w:val="left"/>
                          <w:rPr>
                            <w:rFonts w:ascii="宋体" w:hAnsi="宋体" w:cs="宋体" w:eastAsia="宋体" w:hint="default"/>
                            <w:sz w:val="21"/>
                            <w:szCs w:val="21"/>
                          </w:rPr>
                        </w:pPr>
                        <w:r>
                          <w:rPr>
                            <w:rFonts w:ascii="宋体" w:hAnsi="宋体" w:cs="宋体" w:eastAsia="宋体" w:hint="default"/>
                            <w:sz w:val="21"/>
                            <w:szCs w:val="21"/>
                          </w:rPr>
                          <w:t>网站的查询索引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554"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8" w:right="0"/>
                          <w:jc w:val="left"/>
                          <w:rPr>
                            <w:rFonts w:ascii="宋体" w:hAnsi="宋体" w:cs="宋体" w:eastAsia="宋体" w:hint="default"/>
                            <w:sz w:val="21"/>
                            <w:szCs w:val="21"/>
                          </w:rPr>
                        </w:pPr>
                        <w:r>
                          <w:rPr>
                            <w:rFonts w:ascii="宋体" w:hAnsi="宋体" w:cs="宋体" w:eastAsia="宋体" w:hint="default"/>
                            <w:sz w:val="21"/>
                            <w:szCs w:val="21"/>
                          </w:rPr>
                          <w:t>上海证券交易所</w:t>
                        </w:r>
                      </w:p>
                      <w:p>
                        <w:pPr>
                          <w:pStyle w:val="TableParagraph"/>
                          <w:spacing w:line="273" w:lineRule="exact"/>
                          <w:ind w:left="158" w:right="0"/>
                          <w:jc w:val="left"/>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5"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sz w:val="21"/>
                            <w:szCs w:val="21"/>
                          </w:rPr>
                          <w:t>上海证券交易所</w:t>
                        </w:r>
                      </w:p>
                      <w:p>
                        <w:pPr>
                          <w:pStyle w:val="TableParagraph"/>
                          <w:spacing w:line="275" w:lineRule="exact"/>
                          <w:ind w:left="158" w:right="0"/>
                          <w:jc w:val="left"/>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年第二次临时股东大会</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sz w:val="21"/>
                            <w:szCs w:val="21"/>
                          </w:rPr>
                          <w:t>上海证券交易所</w:t>
                        </w:r>
                      </w:p>
                      <w:p>
                        <w:pPr>
                          <w:pStyle w:val="TableParagraph"/>
                          <w:spacing w:line="274" w:lineRule="exact"/>
                          <w:ind w:left="158" w:right="0"/>
                          <w:jc w:val="left"/>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年第三次临时股东大会</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sz w:val="21"/>
                            <w:szCs w:val="21"/>
                          </w:rPr>
                          <w:t>上海证券交易所</w:t>
                        </w:r>
                      </w:p>
                      <w:p>
                        <w:pPr>
                          <w:pStyle w:val="TableParagraph"/>
                          <w:spacing w:line="274" w:lineRule="exact"/>
                          <w:ind w:left="158" w:right="0"/>
                          <w:jc w:val="left"/>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5"/>
          <w:szCs w:val="15"/>
        </w:rPr>
      </w:pPr>
    </w:p>
    <w:p>
      <w:pPr>
        <w:pStyle w:val="BodyText"/>
        <w:spacing w:line="273" w:lineRule="exact" w:before="36"/>
        <w:ind w:left="218" w:right="234"/>
        <w:jc w:val="left"/>
      </w:pPr>
      <w:r>
        <w:rPr/>
        <w:t>股东大会情况说明</w:t>
      </w:r>
    </w:p>
    <w:p>
      <w:pPr>
        <w:pStyle w:val="BodyText"/>
        <w:spacing w:line="272" w:lineRule="exact"/>
        <w:ind w:left="218" w:right="234"/>
        <w:jc w:val="left"/>
      </w:pPr>
      <w:r>
        <w:rPr/>
        <w:t>√适用</w:t>
      </w:r>
      <w:r>
        <w:rPr>
          <w:spacing w:val="-1"/>
        </w:rPr>
        <w:t> </w:t>
      </w:r>
      <w:r>
        <w:rPr/>
        <w:t>□不适用</w:t>
      </w:r>
    </w:p>
    <w:p>
      <w:pPr>
        <w:pStyle w:val="BodyText"/>
        <w:spacing w:line="355" w:lineRule="auto"/>
        <w:ind w:left="218" w:right="234" w:firstLine="419"/>
        <w:jc w:val="left"/>
      </w:pPr>
      <w:r>
        <w:rPr>
          <w:spacing w:val="-2"/>
        </w:rPr>
        <w:t>本年度公司召开了四次股东大会，详情请查阅登载于上海证券交易所网站</w:t>
      </w:r>
      <w:r>
        <w:rPr/>
        <w:t> </w:t>
      </w:r>
      <w:r>
        <w:rPr>
          <w:rFonts w:ascii="宋体" w:hAnsi="宋体" w:cs="宋体" w:eastAsia="宋体" w:hint="default"/>
        </w:rPr>
      </w:r>
      <w:hyperlink r:id="rId10">
        <w:r>
          <w:rPr>
            <w:rFonts w:ascii="宋体" w:hAnsi="宋体" w:cs="宋体" w:eastAsia="宋体" w:hint="default"/>
            <w:spacing w:val="-1"/>
            <w:u w:val="single" w:color="000000"/>
          </w:rPr>
          <w:t>www.sse.com.cn</w:t>
        </w:r>
        <w:r>
          <w:rPr>
            <w:rFonts w:ascii="宋体" w:hAnsi="宋体" w:cs="宋体" w:eastAsia="宋体" w:hint="default"/>
            <w:w w:val="100"/>
          </w:rPr>
        </w:r>
      </w:hyperlink>
      <w:r>
        <w:rPr>
          <w:rFonts w:ascii="宋体" w:hAnsi="宋体" w:cs="宋体" w:eastAsia="宋体" w:hint="default"/>
          <w:w w:val="100"/>
        </w:rPr>
        <w:t> </w:t>
      </w:r>
      <w:r>
        <w:rPr/>
        <w:t>的相关公告。</w:t>
      </w:r>
    </w:p>
    <w:p>
      <w:pPr>
        <w:spacing w:after="0" w:line="355" w:lineRule="auto"/>
        <w:jc w:val="left"/>
        <w:sectPr>
          <w:pgSz w:w="11910" w:h="16840"/>
          <w:pgMar w:header="855" w:footer="1217" w:top="1320" w:bottom="1400" w:left="1580" w:right="1040"/>
        </w:sectPr>
      </w:pPr>
    </w:p>
    <w:p>
      <w:pPr>
        <w:spacing w:line="240" w:lineRule="auto" w:before="11"/>
        <w:rPr>
          <w:rFonts w:ascii="宋体" w:hAnsi="宋体" w:cs="宋体" w:eastAsia="宋体" w:hint="default"/>
          <w:sz w:val="9"/>
          <w:szCs w:val="9"/>
        </w:rPr>
      </w:pPr>
    </w:p>
    <w:p>
      <w:pPr>
        <w:pStyle w:val="Heading2"/>
        <w:tabs>
          <w:tab w:pos="1057" w:val="left" w:leader="none"/>
        </w:tabs>
        <w:spacing w:line="240" w:lineRule="auto" w:before="26"/>
        <w:ind w:right="234"/>
        <w:jc w:val="left"/>
        <w:rPr>
          <w:b w:val="0"/>
          <w:bCs w:val="0"/>
        </w:rPr>
      </w:pPr>
      <w:r>
        <w:rPr/>
        <w:t>三、</w:t>
        <w:tab/>
        <w:t>董事履行职责情况</w:t>
      </w:r>
      <w:r>
        <w:rPr>
          <w:b w:val="0"/>
          <w:bCs w:val="0"/>
        </w:rPr>
      </w:r>
    </w:p>
    <w:p>
      <w:pPr>
        <w:pStyle w:val="Heading2"/>
        <w:spacing w:line="240" w:lineRule="auto" w:before="58"/>
        <w:ind w:right="23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5"/>
        </w:rPr>
        <w:t> </w:t>
      </w:r>
      <w:r>
        <w:rPr/>
        <w:t>董事参加董事会和股东大会的情况</w:t>
      </w:r>
      <w:r>
        <w:rPr>
          <w:b w:val="0"/>
          <w:bCs w:val="0"/>
        </w:rPr>
      </w:r>
    </w:p>
    <w:p>
      <w:pPr>
        <w:spacing w:line="240" w:lineRule="auto" w:before="2"/>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1303"/>
        <w:gridCol w:w="727"/>
        <w:gridCol w:w="1004"/>
        <w:gridCol w:w="833"/>
        <w:gridCol w:w="953"/>
        <w:gridCol w:w="888"/>
        <w:gridCol w:w="830"/>
        <w:gridCol w:w="1275"/>
        <w:gridCol w:w="1236"/>
      </w:tblGrid>
      <w:tr>
        <w:trPr>
          <w:trHeight w:val="571" w:hRule="exact"/>
        </w:trPr>
        <w:tc>
          <w:tcPr>
            <w:tcW w:w="13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436" w:right="432"/>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姓名</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9"/>
                <w:szCs w:val="29"/>
              </w:rPr>
            </w:pPr>
          </w:p>
          <w:p>
            <w:pPr>
              <w:pStyle w:val="TableParagraph"/>
              <w:spacing w:line="237" w:lineRule="auto"/>
              <w:ind w:left="148" w:right="14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独立</w:t>
            </w:r>
            <w:r>
              <w:rPr>
                <w:rFonts w:ascii="宋体" w:hAnsi="宋体" w:cs="宋体" w:eastAsia="宋体" w:hint="default"/>
                <w:spacing w:val="-103"/>
                <w:sz w:val="21"/>
                <w:szCs w:val="21"/>
              </w:rPr>
              <w:t> </w:t>
            </w:r>
            <w:r>
              <w:rPr>
                <w:rFonts w:ascii="宋体" w:hAnsi="宋体" w:cs="宋体" w:eastAsia="宋体" w:hint="default"/>
                <w:sz w:val="21"/>
                <w:szCs w:val="21"/>
              </w:rPr>
              <w:t>董事</w:t>
            </w:r>
          </w:p>
        </w:tc>
        <w:tc>
          <w:tcPr>
            <w:tcW w:w="578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91"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191"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1099" w:hRule="exact"/>
        </w:trPr>
        <w:tc>
          <w:tcPr>
            <w:tcW w:w="1303"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本年应</w:t>
            </w:r>
          </w:p>
          <w:p>
            <w:pPr>
              <w:pStyle w:val="TableParagraph"/>
              <w:spacing w:line="237" w:lineRule="auto"/>
              <w:ind w:left="180" w:right="179"/>
              <w:jc w:val="center"/>
              <w:rPr>
                <w:rFonts w:ascii="宋体" w:hAnsi="宋体" w:cs="宋体" w:eastAsia="宋体" w:hint="default"/>
                <w:sz w:val="21"/>
                <w:szCs w:val="21"/>
              </w:rPr>
            </w:pPr>
            <w:r>
              <w:rPr>
                <w:rFonts w:ascii="宋体" w:hAnsi="宋体" w:cs="宋体" w:eastAsia="宋体" w:hint="default"/>
                <w:sz w:val="21"/>
                <w:szCs w:val="21"/>
              </w:rPr>
              <w:t>参加董</w:t>
            </w:r>
            <w:r>
              <w:rPr>
                <w:rFonts w:ascii="宋体" w:hAnsi="宋体" w:cs="宋体" w:eastAsia="宋体" w:hint="default"/>
                <w:w w:val="100"/>
                <w:sz w:val="21"/>
                <w:szCs w:val="21"/>
              </w:rPr>
              <w:t> </w:t>
            </w:r>
            <w:r>
              <w:rPr>
                <w:rFonts w:ascii="宋体" w:hAnsi="宋体" w:cs="宋体" w:eastAsia="宋体" w:hint="default"/>
                <w:sz w:val="21"/>
                <w:szCs w:val="21"/>
              </w:rPr>
              <w:t>事会次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01" w:right="197"/>
              <w:jc w:val="both"/>
              <w:rPr>
                <w:rFonts w:ascii="宋体" w:hAnsi="宋体" w:cs="宋体" w:eastAsia="宋体" w:hint="default"/>
                <w:sz w:val="21"/>
                <w:szCs w:val="21"/>
              </w:rPr>
            </w:pPr>
            <w:r>
              <w:rPr>
                <w:rFonts w:ascii="宋体" w:hAnsi="宋体" w:cs="宋体" w:eastAsia="宋体" w:hint="default"/>
                <w:sz w:val="21"/>
                <w:szCs w:val="21"/>
              </w:rPr>
              <w:t>亲自</w:t>
            </w:r>
            <w:r>
              <w:rPr>
                <w:rFonts w:ascii="宋体" w:hAnsi="宋体" w:cs="宋体" w:eastAsia="宋体" w:hint="default"/>
                <w:spacing w:val="-103"/>
                <w:sz w:val="21"/>
                <w:szCs w:val="21"/>
              </w:rPr>
              <w:t> </w:t>
            </w:r>
            <w:r>
              <w:rPr>
                <w:rFonts w:ascii="宋体" w:hAnsi="宋体" w:cs="宋体" w:eastAsia="宋体" w:hint="default"/>
                <w:sz w:val="21"/>
                <w:szCs w:val="21"/>
              </w:rPr>
              <w:t>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5" w:right="153"/>
              <w:jc w:val="both"/>
              <w:rPr>
                <w:rFonts w:ascii="宋体" w:hAnsi="宋体" w:cs="宋体" w:eastAsia="宋体" w:hint="default"/>
                <w:sz w:val="21"/>
                <w:szCs w:val="21"/>
              </w:rPr>
            </w:pPr>
            <w:r>
              <w:rPr>
                <w:rFonts w:ascii="宋体" w:hAnsi="宋体" w:cs="宋体" w:eastAsia="宋体" w:hint="default"/>
                <w:sz w:val="21"/>
                <w:szCs w:val="21"/>
              </w:rPr>
              <w:t>以通讯</w:t>
            </w:r>
            <w:r>
              <w:rPr>
                <w:rFonts w:ascii="宋体" w:hAnsi="宋体" w:cs="宋体" w:eastAsia="宋体" w:hint="default"/>
                <w:spacing w:val="-102"/>
                <w:sz w:val="21"/>
                <w:szCs w:val="21"/>
              </w:rPr>
              <w:t> </w:t>
            </w: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22" w:right="120"/>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99" w:right="197"/>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5" w:right="104"/>
              <w:jc w:val="center"/>
              <w:rPr>
                <w:rFonts w:ascii="宋体" w:hAnsi="宋体" w:cs="宋体" w:eastAsia="宋体" w:hint="default"/>
                <w:sz w:val="21"/>
                <w:szCs w:val="21"/>
              </w:rPr>
            </w:pPr>
            <w:r>
              <w:rPr>
                <w:rFonts w:ascii="宋体" w:hAnsi="宋体" w:cs="宋体" w:eastAsia="宋体" w:hint="default"/>
                <w:sz w:val="21"/>
                <w:szCs w:val="21"/>
              </w:rPr>
              <w:t>是否连续两</w:t>
            </w:r>
            <w:r>
              <w:rPr>
                <w:rFonts w:ascii="宋体" w:hAnsi="宋体" w:cs="宋体" w:eastAsia="宋体" w:hint="default"/>
                <w:w w:val="100"/>
                <w:sz w:val="21"/>
                <w:szCs w:val="21"/>
              </w:rPr>
              <w:t> </w:t>
            </w:r>
            <w:r>
              <w:rPr>
                <w:rFonts w:ascii="宋体" w:hAnsi="宋体" w:cs="宋体" w:eastAsia="宋体" w:hint="default"/>
                <w:sz w:val="21"/>
                <w:szCs w:val="21"/>
              </w:rPr>
              <w:t>次未亲自参</w:t>
            </w:r>
            <w:r>
              <w:rPr>
                <w:rFonts w:ascii="宋体" w:hAnsi="宋体" w:cs="宋体" w:eastAsia="宋体" w:hint="default"/>
                <w:w w:val="100"/>
                <w:sz w:val="21"/>
                <w:szCs w:val="21"/>
              </w:rPr>
              <w:t> </w:t>
            </w:r>
            <w:r>
              <w:rPr>
                <w:rFonts w:ascii="宋体" w:hAnsi="宋体" w:cs="宋体" w:eastAsia="宋体" w:hint="default"/>
                <w:sz w:val="21"/>
                <w:szCs w:val="21"/>
              </w:rPr>
              <w:t>加会议</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91" w:right="189"/>
              <w:jc w:val="center"/>
              <w:rPr>
                <w:rFonts w:ascii="宋体" w:hAnsi="宋体" w:cs="宋体" w:eastAsia="宋体" w:hint="default"/>
                <w:sz w:val="21"/>
                <w:szCs w:val="21"/>
              </w:rPr>
            </w:pPr>
            <w:r>
              <w:rPr>
                <w:rFonts w:ascii="宋体" w:hAnsi="宋体" w:cs="宋体" w:eastAsia="宋体" w:hint="default"/>
                <w:sz w:val="21"/>
                <w:szCs w:val="21"/>
              </w:rPr>
              <w:t>出席股东</w:t>
            </w:r>
            <w:r>
              <w:rPr>
                <w:rFonts w:ascii="宋体" w:hAnsi="宋体" w:cs="宋体" w:eastAsia="宋体" w:hint="default"/>
                <w:w w:val="100"/>
                <w:sz w:val="21"/>
                <w:szCs w:val="21"/>
              </w:rPr>
              <w:t> </w:t>
            </w: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1"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周鸿祎</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w w:val="100"/>
                <w:sz w:val="21"/>
              </w:rPr>
              <w:t>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9"/>
              <w:jc w:val="right"/>
              <w:rPr>
                <w:rFonts w:ascii="宋体" w:hAnsi="宋体" w:cs="宋体" w:eastAsia="宋体" w:hint="default"/>
                <w:sz w:val="21"/>
                <w:szCs w:val="21"/>
              </w:rPr>
            </w:pPr>
            <w:r>
              <w:rPr>
                <w:rFonts w:ascii="宋体"/>
                <w:w w:val="100"/>
                <w:sz w:val="21"/>
              </w:rPr>
              <w:t>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8"/>
              <w:jc w:val="right"/>
              <w:rPr>
                <w:rFonts w:ascii="宋体" w:hAnsi="宋体" w:cs="宋体" w:eastAsia="宋体" w:hint="default"/>
                <w:sz w:val="21"/>
                <w:szCs w:val="21"/>
              </w:rPr>
            </w:pPr>
            <w:r>
              <w:rPr>
                <w:rFonts w:ascii="宋体"/>
                <w:w w:val="100"/>
                <w:sz w:val="21"/>
              </w:rPr>
              <w:t>7</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w w:val="100"/>
                <w:sz w:val="21"/>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r>
      <w:tr>
        <w:trPr>
          <w:trHeight w:val="283"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石晓虹</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4" w:right="0"/>
              <w:jc w:val="left"/>
              <w:rPr>
                <w:rFonts w:ascii="宋体" w:hAnsi="宋体" w:cs="宋体" w:eastAsia="宋体" w:hint="default"/>
                <w:sz w:val="21"/>
                <w:szCs w:val="21"/>
              </w:rPr>
            </w:pPr>
            <w:r>
              <w:rPr>
                <w:rFonts w:ascii="宋体"/>
                <w:w w:val="100"/>
                <w:sz w:val="21"/>
              </w:rPr>
              <w:t>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59"/>
              <w:jc w:val="right"/>
              <w:rPr>
                <w:rFonts w:ascii="宋体" w:hAnsi="宋体" w:cs="宋体" w:eastAsia="宋体" w:hint="default"/>
                <w:sz w:val="21"/>
                <w:szCs w:val="21"/>
              </w:rPr>
            </w:pPr>
            <w:r>
              <w:rPr>
                <w:rFonts w:ascii="宋体"/>
                <w:w w:val="100"/>
                <w:sz w:val="21"/>
              </w:rPr>
              <w:t>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18"/>
              <w:jc w:val="right"/>
              <w:rPr>
                <w:rFonts w:ascii="宋体" w:hAnsi="宋体" w:cs="宋体" w:eastAsia="宋体" w:hint="default"/>
                <w:sz w:val="21"/>
                <w:szCs w:val="21"/>
              </w:rPr>
            </w:pPr>
            <w:r>
              <w:rPr>
                <w:rFonts w:ascii="宋体"/>
                <w:w w:val="100"/>
                <w:sz w:val="21"/>
              </w:rPr>
              <w:t>7</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4"/>
              <w:jc w:val="right"/>
              <w:rPr>
                <w:rFonts w:ascii="宋体" w:hAnsi="宋体" w:cs="宋体" w:eastAsia="宋体" w:hint="default"/>
                <w:sz w:val="21"/>
                <w:szCs w:val="21"/>
              </w:rPr>
            </w:pPr>
            <w:r>
              <w:rPr>
                <w:rFonts w:ascii="宋体"/>
                <w:w w:val="100"/>
                <w:sz w:val="21"/>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3</w:t>
            </w:r>
          </w:p>
        </w:tc>
      </w:tr>
      <w:tr>
        <w:trPr>
          <w:trHeight w:val="829"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SHEN</w:t>
            </w:r>
          </w:p>
          <w:p>
            <w:pPr>
              <w:pStyle w:val="TableParagraph"/>
              <w:spacing w:line="273" w:lineRule="exact"/>
              <w:ind w:right="0"/>
              <w:jc w:val="center"/>
              <w:rPr>
                <w:rFonts w:ascii="宋体" w:hAnsi="宋体" w:cs="宋体" w:eastAsia="宋体" w:hint="default"/>
                <w:sz w:val="21"/>
                <w:szCs w:val="21"/>
              </w:rPr>
            </w:pPr>
            <w:r>
              <w:rPr>
                <w:rFonts w:ascii="宋体"/>
                <w:sz w:val="21"/>
              </w:rPr>
              <w:t>NANPENG</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（沈南鹏）</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444" w:right="0"/>
              <w:jc w:val="left"/>
              <w:rPr>
                <w:rFonts w:ascii="宋体" w:hAnsi="宋体" w:cs="宋体" w:eastAsia="宋体" w:hint="default"/>
                <w:sz w:val="21"/>
                <w:szCs w:val="21"/>
              </w:rPr>
            </w:pPr>
            <w:r>
              <w:rPr>
                <w:rFonts w:ascii="宋体"/>
                <w:w w:val="100"/>
                <w:sz w:val="21"/>
              </w:rPr>
              <w:t>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359"/>
              <w:jc w:val="right"/>
              <w:rPr>
                <w:rFonts w:ascii="宋体" w:hAnsi="宋体" w:cs="宋体" w:eastAsia="宋体" w:hint="default"/>
                <w:sz w:val="21"/>
                <w:szCs w:val="21"/>
              </w:rPr>
            </w:pPr>
            <w:r>
              <w:rPr>
                <w:rFonts w:ascii="宋体"/>
                <w:w w:val="100"/>
                <w:sz w:val="21"/>
              </w:rPr>
              <w:t>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418"/>
              <w:jc w:val="right"/>
              <w:rPr>
                <w:rFonts w:ascii="宋体" w:hAnsi="宋体" w:cs="宋体" w:eastAsia="宋体" w:hint="default"/>
                <w:sz w:val="21"/>
                <w:szCs w:val="21"/>
              </w:rPr>
            </w:pPr>
            <w:r>
              <w:rPr>
                <w:rFonts w:ascii="宋体"/>
                <w:w w:val="100"/>
                <w:sz w:val="21"/>
              </w:rPr>
              <w:t>7</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384"/>
              <w:jc w:val="right"/>
              <w:rPr>
                <w:rFonts w:ascii="宋体" w:hAnsi="宋体" w:cs="宋体" w:eastAsia="宋体" w:hint="default"/>
                <w:sz w:val="21"/>
                <w:szCs w:val="21"/>
              </w:rPr>
            </w:pPr>
            <w:r>
              <w:rPr>
                <w:rFonts w:ascii="宋体"/>
                <w:w w:val="100"/>
                <w:sz w:val="21"/>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
              <w:jc w:val="center"/>
              <w:rPr>
                <w:rFonts w:ascii="宋体" w:hAnsi="宋体" w:cs="宋体" w:eastAsia="宋体" w:hint="default"/>
                <w:sz w:val="21"/>
                <w:szCs w:val="21"/>
              </w:rPr>
            </w:pPr>
            <w:r>
              <w:rPr>
                <w:rFonts w:ascii="宋体"/>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52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3</w:t>
            </w:r>
          </w:p>
        </w:tc>
      </w:tr>
      <w:tr>
        <w:trPr>
          <w:trHeight w:val="281"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罗宁</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w w:val="100"/>
                <w:sz w:val="21"/>
              </w:rPr>
              <w:t>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9"/>
              <w:jc w:val="right"/>
              <w:rPr>
                <w:rFonts w:ascii="宋体" w:hAnsi="宋体" w:cs="宋体" w:eastAsia="宋体" w:hint="default"/>
                <w:sz w:val="21"/>
                <w:szCs w:val="21"/>
              </w:rPr>
            </w:pPr>
            <w:r>
              <w:rPr>
                <w:rFonts w:ascii="宋体"/>
                <w:w w:val="100"/>
                <w:sz w:val="21"/>
              </w:rPr>
              <w:t>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8"/>
              <w:jc w:val="right"/>
              <w:rPr>
                <w:rFonts w:ascii="宋体" w:hAnsi="宋体" w:cs="宋体" w:eastAsia="宋体" w:hint="default"/>
                <w:sz w:val="21"/>
                <w:szCs w:val="21"/>
              </w:rPr>
            </w:pPr>
            <w:r>
              <w:rPr>
                <w:rFonts w:ascii="宋体"/>
                <w:w w:val="100"/>
                <w:sz w:val="21"/>
              </w:rPr>
              <w:t>7</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w w:val="100"/>
                <w:sz w:val="21"/>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r>
      <w:tr>
        <w:trPr>
          <w:trHeight w:val="554"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5" w:right="0"/>
              <w:jc w:val="left"/>
              <w:rPr>
                <w:rFonts w:ascii="宋体" w:hAnsi="宋体" w:cs="宋体" w:eastAsia="宋体" w:hint="default"/>
                <w:sz w:val="21"/>
                <w:szCs w:val="21"/>
              </w:rPr>
            </w:pPr>
            <w:r>
              <w:rPr>
                <w:rFonts w:ascii="宋体"/>
                <w:sz w:val="21"/>
              </w:rPr>
              <w:t>XUN</w:t>
            </w:r>
            <w:r>
              <w:rPr>
                <w:rFonts w:ascii="宋体"/>
                <w:spacing w:val="1"/>
                <w:sz w:val="21"/>
              </w:rPr>
              <w:t> </w:t>
            </w:r>
            <w:r>
              <w:rPr>
                <w:rFonts w:ascii="宋体"/>
                <w:sz w:val="21"/>
              </w:rPr>
              <w:t>CHEN</w:t>
            </w:r>
          </w:p>
          <w:p>
            <w:pPr>
              <w:pStyle w:val="TableParagraph"/>
              <w:spacing w:line="274" w:lineRule="exact"/>
              <w:ind w:left="225" w:right="0"/>
              <w:jc w:val="left"/>
              <w:rPr>
                <w:rFonts w:ascii="宋体" w:hAnsi="宋体" w:cs="宋体" w:eastAsia="宋体" w:hint="default"/>
                <w:sz w:val="21"/>
                <w:szCs w:val="21"/>
              </w:rPr>
            </w:pPr>
            <w:r>
              <w:rPr>
                <w:rFonts w:ascii="宋体" w:hAnsi="宋体" w:cs="宋体" w:eastAsia="宋体" w:hint="default"/>
                <w:sz w:val="21"/>
                <w:szCs w:val="21"/>
              </w:rPr>
              <w:t>（陈恂）</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4" w:right="0"/>
              <w:jc w:val="left"/>
              <w:rPr>
                <w:rFonts w:ascii="宋体" w:hAnsi="宋体" w:cs="宋体" w:eastAsia="宋体" w:hint="default"/>
                <w:sz w:val="21"/>
                <w:szCs w:val="21"/>
              </w:rPr>
            </w:pPr>
            <w:r>
              <w:rPr>
                <w:rFonts w:ascii="宋体"/>
                <w:w w:val="100"/>
                <w:sz w:val="21"/>
              </w:rPr>
              <w:t>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59"/>
              <w:jc w:val="right"/>
              <w:rPr>
                <w:rFonts w:ascii="宋体" w:hAnsi="宋体" w:cs="宋体" w:eastAsia="宋体" w:hint="default"/>
                <w:sz w:val="21"/>
                <w:szCs w:val="21"/>
              </w:rPr>
            </w:pPr>
            <w:r>
              <w:rPr>
                <w:rFonts w:ascii="宋体"/>
                <w:w w:val="100"/>
                <w:sz w:val="21"/>
              </w:rPr>
              <w:t>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8"/>
              <w:jc w:val="right"/>
              <w:rPr>
                <w:rFonts w:ascii="宋体" w:hAnsi="宋体" w:cs="宋体" w:eastAsia="宋体" w:hint="default"/>
                <w:sz w:val="21"/>
                <w:szCs w:val="21"/>
              </w:rPr>
            </w:pPr>
            <w:r>
              <w:rPr>
                <w:rFonts w:ascii="宋体"/>
                <w:w w:val="100"/>
                <w:sz w:val="21"/>
              </w:rPr>
              <w:t>7</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4"/>
              <w:jc w:val="right"/>
              <w:rPr>
                <w:rFonts w:ascii="宋体" w:hAnsi="宋体" w:cs="宋体" w:eastAsia="宋体" w:hint="default"/>
                <w:sz w:val="21"/>
                <w:szCs w:val="21"/>
              </w:rPr>
            </w:pPr>
            <w:r>
              <w:rPr>
                <w:rFonts w:ascii="宋体"/>
                <w:w w:val="100"/>
                <w:sz w:val="21"/>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2</w:t>
            </w:r>
          </w:p>
        </w:tc>
      </w:tr>
      <w:tr>
        <w:trPr>
          <w:trHeight w:val="557"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MING</w:t>
            </w:r>
            <w:r>
              <w:rPr>
                <w:rFonts w:ascii="宋体"/>
                <w:spacing w:val="2"/>
                <w:sz w:val="21"/>
              </w:rPr>
              <w:t> </w:t>
            </w:r>
            <w:r>
              <w:rPr>
                <w:rFonts w:ascii="宋体"/>
                <w:sz w:val="21"/>
              </w:rPr>
              <w:t>HUANG</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（黄明）</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4" w:right="0"/>
              <w:jc w:val="left"/>
              <w:rPr>
                <w:rFonts w:ascii="宋体" w:hAnsi="宋体" w:cs="宋体" w:eastAsia="宋体" w:hint="default"/>
                <w:sz w:val="21"/>
                <w:szCs w:val="21"/>
              </w:rPr>
            </w:pPr>
            <w:r>
              <w:rPr>
                <w:rFonts w:ascii="宋体"/>
                <w:w w:val="100"/>
                <w:sz w:val="21"/>
              </w:rPr>
              <w:t>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59"/>
              <w:jc w:val="right"/>
              <w:rPr>
                <w:rFonts w:ascii="宋体" w:hAnsi="宋体" w:cs="宋体" w:eastAsia="宋体" w:hint="default"/>
                <w:sz w:val="21"/>
                <w:szCs w:val="21"/>
              </w:rPr>
            </w:pPr>
            <w:r>
              <w:rPr>
                <w:rFonts w:ascii="宋体"/>
                <w:w w:val="100"/>
                <w:sz w:val="21"/>
              </w:rPr>
              <w:t>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8"/>
              <w:jc w:val="right"/>
              <w:rPr>
                <w:rFonts w:ascii="宋体" w:hAnsi="宋体" w:cs="宋体" w:eastAsia="宋体" w:hint="default"/>
                <w:sz w:val="21"/>
                <w:szCs w:val="21"/>
              </w:rPr>
            </w:pPr>
            <w:r>
              <w:rPr>
                <w:rFonts w:ascii="宋体"/>
                <w:w w:val="100"/>
                <w:sz w:val="21"/>
              </w:rPr>
              <w:t>7</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4"/>
              <w:jc w:val="right"/>
              <w:rPr>
                <w:rFonts w:ascii="宋体" w:hAnsi="宋体" w:cs="宋体" w:eastAsia="宋体" w:hint="default"/>
                <w:sz w:val="21"/>
                <w:szCs w:val="21"/>
              </w:rPr>
            </w:pPr>
            <w:r>
              <w:rPr>
                <w:rFonts w:ascii="宋体"/>
                <w:w w:val="100"/>
                <w:sz w:val="21"/>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3</w:t>
            </w:r>
          </w:p>
        </w:tc>
      </w:tr>
      <w:tr>
        <w:trPr>
          <w:trHeight w:val="281"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刘贵彬</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w w:val="100"/>
                <w:sz w:val="21"/>
              </w:rPr>
              <w:t>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9"/>
              <w:jc w:val="right"/>
              <w:rPr>
                <w:rFonts w:ascii="宋体" w:hAnsi="宋体" w:cs="宋体" w:eastAsia="宋体" w:hint="default"/>
                <w:sz w:val="21"/>
                <w:szCs w:val="21"/>
              </w:rPr>
            </w:pPr>
            <w:r>
              <w:rPr>
                <w:rFonts w:ascii="宋体"/>
                <w:w w:val="100"/>
                <w:sz w:val="21"/>
              </w:rPr>
              <w:t>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8"/>
              <w:jc w:val="right"/>
              <w:rPr>
                <w:rFonts w:ascii="宋体" w:hAnsi="宋体" w:cs="宋体" w:eastAsia="宋体" w:hint="default"/>
                <w:sz w:val="21"/>
                <w:szCs w:val="21"/>
              </w:rPr>
            </w:pPr>
            <w:r>
              <w:rPr>
                <w:rFonts w:ascii="宋体"/>
                <w:w w:val="100"/>
                <w:sz w:val="21"/>
              </w:rPr>
              <w:t>7</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w w:val="100"/>
                <w:sz w:val="21"/>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r>
      <w:tr>
        <w:trPr>
          <w:trHeight w:val="554"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金志峰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（已离任）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4" w:right="0"/>
              <w:jc w:val="left"/>
              <w:rPr>
                <w:rFonts w:ascii="宋体" w:hAnsi="宋体" w:cs="宋体" w:eastAsia="宋体" w:hint="default"/>
                <w:sz w:val="21"/>
                <w:szCs w:val="21"/>
              </w:rPr>
            </w:pPr>
            <w:r>
              <w:rPr>
                <w:rFonts w:ascii="宋体"/>
                <w:w w:val="100"/>
                <w:sz w:val="21"/>
              </w:rPr>
              <w:t>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59"/>
              <w:jc w:val="right"/>
              <w:rPr>
                <w:rFonts w:ascii="宋体" w:hAnsi="宋体" w:cs="宋体" w:eastAsia="宋体" w:hint="default"/>
                <w:sz w:val="21"/>
                <w:szCs w:val="21"/>
              </w:rPr>
            </w:pPr>
            <w:r>
              <w:rPr>
                <w:rFonts w:ascii="宋体"/>
                <w:w w:val="100"/>
                <w:sz w:val="21"/>
              </w:rPr>
              <w:t>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8"/>
              <w:jc w:val="right"/>
              <w:rPr>
                <w:rFonts w:ascii="宋体" w:hAnsi="宋体" w:cs="宋体" w:eastAsia="宋体" w:hint="default"/>
                <w:sz w:val="21"/>
                <w:szCs w:val="21"/>
              </w:rPr>
            </w:pPr>
            <w:r>
              <w:rPr>
                <w:rFonts w:ascii="宋体"/>
                <w:w w:val="100"/>
                <w:sz w:val="21"/>
              </w:rPr>
              <w:t>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4"/>
              <w:jc w:val="right"/>
              <w:rPr>
                <w:rFonts w:ascii="宋体" w:hAnsi="宋体" w:cs="宋体" w:eastAsia="宋体" w:hint="default"/>
                <w:sz w:val="21"/>
                <w:szCs w:val="21"/>
              </w:rPr>
            </w:pPr>
            <w:r>
              <w:rPr>
                <w:rFonts w:ascii="宋体"/>
                <w:w w:val="100"/>
                <w:sz w:val="21"/>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1</w:t>
            </w:r>
          </w:p>
        </w:tc>
      </w:tr>
      <w:tr>
        <w:trPr>
          <w:trHeight w:val="554"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金祖铭</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（已离任）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4" w:right="0"/>
              <w:jc w:val="left"/>
              <w:rPr>
                <w:rFonts w:ascii="宋体" w:hAnsi="宋体" w:cs="宋体" w:eastAsia="宋体" w:hint="default"/>
                <w:sz w:val="21"/>
                <w:szCs w:val="21"/>
              </w:rPr>
            </w:pPr>
            <w:r>
              <w:rPr>
                <w:rFonts w:ascii="宋体"/>
                <w:w w:val="100"/>
                <w:sz w:val="21"/>
              </w:rPr>
              <w:t>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59"/>
              <w:jc w:val="right"/>
              <w:rPr>
                <w:rFonts w:ascii="宋体" w:hAnsi="宋体" w:cs="宋体" w:eastAsia="宋体" w:hint="default"/>
                <w:sz w:val="21"/>
                <w:szCs w:val="21"/>
              </w:rPr>
            </w:pPr>
            <w:r>
              <w:rPr>
                <w:rFonts w:ascii="宋体"/>
                <w:w w:val="100"/>
                <w:sz w:val="21"/>
              </w:rPr>
              <w:t>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8"/>
              <w:jc w:val="right"/>
              <w:rPr>
                <w:rFonts w:ascii="宋体" w:hAnsi="宋体" w:cs="宋体" w:eastAsia="宋体" w:hint="default"/>
                <w:sz w:val="21"/>
                <w:szCs w:val="21"/>
              </w:rPr>
            </w:pPr>
            <w:r>
              <w:rPr>
                <w:rFonts w:ascii="宋体"/>
                <w:w w:val="100"/>
                <w:sz w:val="21"/>
              </w:rPr>
              <w:t>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4"/>
              <w:jc w:val="right"/>
              <w:rPr>
                <w:rFonts w:ascii="宋体" w:hAnsi="宋体" w:cs="宋体" w:eastAsia="宋体" w:hint="default"/>
                <w:sz w:val="21"/>
                <w:szCs w:val="21"/>
              </w:rPr>
            </w:pPr>
            <w:r>
              <w:rPr>
                <w:rFonts w:ascii="宋体"/>
                <w:w w:val="100"/>
                <w:sz w:val="21"/>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1</w:t>
            </w:r>
          </w:p>
        </w:tc>
      </w:tr>
      <w:tr>
        <w:trPr>
          <w:trHeight w:val="557"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钱金水</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（已离任）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44" w:right="0"/>
              <w:jc w:val="left"/>
              <w:rPr>
                <w:rFonts w:ascii="宋体" w:hAnsi="宋体" w:cs="宋体" w:eastAsia="宋体" w:hint="default"/>
                <w:sz w:val="21"/>
                <w:szCs w:val="21"/>
              </w:rPr>
            </w:pPr>
            <w:r>
              <w:rPr>
                <w:rFonts w:ascii="宋体"/>
                <w:w w:val="100"/>
                <w:sz w:val="21"/>
              </w:rPr>
              <w:t>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59"/>
              <w:jc w:val="right"/>
              <w:rPr>
                <w:rFonts w:ascii="宋体" w:hAnsi="宋体" w:cs="宋体" w:eastAsia="宋体" w:hint="default"/>
                <w:sz w:val="21"/>
                <w:szCs w:val="21"/>
              </w:rPr>
            </w:pPr>
            <w:r>
              <w:rPr>
                <w:rFonts w:ascii="宋体"/>
                <w:w w:val="100"/>
                <w:sz w:val="21"/>
              </w:rPr>
              <w:t>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18"/>
              <w:jc w:val="right"/>
              <w:rPr>
                <w:rFonts w:ascii="宋体" w:hAnsi="宋体" w:cs="宋体" w:eastAsia="宋体" w:hint="default"/>
                <w:sz w:val="21"/>
                <w:szCs w:val="21"/>
              </w:rPr>
            </w:pPr>
            <w:r>
              <w:rPr>
                <w:rFonts w:ascii="宋体"/>
                <w:w w:val="100"/>
                <w:sz w:val="21"/>
              </w:rPr>
              <w:t>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84"/>
              <w:jc w:val="right"/>
              <w:rPr>
                <w:rFonts w:ascii="宋体" w:hAnsi="宋体" w:cs="宋体" w:eastAsia="宋体" w:hint="default"/>
                <w:sz w:val="21"/>
                <w:szCs w:val="21"/>
              </w:rPr>
            </w:pPr>
            <w:r>
              <w:rPr>
                <w:rFonts w:ascii="宋体"/>
                <w:w w:val="100"/>
                <w:sz w:val="21"/>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1"/>
                <w:szCs w:val="21"/>
              </w:rPr>
            </w:pPr>
            <w:r>
              <w:rPr>
                <w:rFonts w:ascii="宋体"/>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2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w w:val="100"/>
                <w:sz w:val="21"/>
              </w:rPr>
              <w:t>1</w:t>
            </w:r>
          </w:p>
        </w:tc>
      </w:tr>
      <w:tr>
        <w:trPr>
          <w:trHeight w:val="554"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王惠芳</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（已离任）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4" w:right="0"/>
              <w:jc w:val="left"/>
              <w:rPr>
                <w:rFonts w:ascii="宋体" w:hAnsi="宋体" w:cs="宋体" w:eastAsia="宋体" w:hint="default"/>
                <w:sz w:val="21"/>
                <w:szCs w:val="21"/>
              </w:rPr>
            </w:pPr>
            <w:r>
              <w:rPr>
                <w:rFonts w:ascii="宋体"/>
                <w:w w:val="100"/>
                <w:sz w:val="21"/>
              </w:rPr>
              <w:t>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59"/>
              <w:jc w:val="right"/>
              <w:rPr>
                <w:rFonts w:ascii="宋体" w:hAnsi="宋体" w:cs="宋体" w:eastAsia="宋体" w:hint="default"/>
                <w:sz w:val="21"/>
                <w:szCs w:val="21"/>
              </w:rPr>
            </w:pPr>
            <w:r>
              <w:rPr>
                <w:rFonts w:ascii="宋体"/>
                <w:w w:val="100"/>
                <w:sz w:val="21"/>
              </w:rPr>
              <w:t>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18"/>
              <w:jc w:val="right"/>
              <w:rPr>
                <w:rFonts w:ascii="宋体" w:hAnsi="宋体" w:cs="宋体" w:eastAsia="宋体" w:hint="default"/>
                <w:sz w:val="21"/>
                <w:szCs w:val="21"/>
              </w:rPr>
            </w:pPr>
            <w:r>
              <w:rPr>
                <w:rFonts w:ascii="宋体"/>
                <w:w w:val="100"/>
                <w:sz w:val="21"/>
              </w:rPr>
              <w:t>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84"/>
              <w:jc w:val="right"/>
              <w:rPr>
                <w:rFonts w:ascii="宋体" w:hAnsi="宋体" w:cs="宋体" w:eastAsia="宋体" w:hint="default"/>
                <w:sz w:val="21"/>
                <w:szCs w:val="21"/>
              </w:rPr>
            </w:pPr>
            <w:r>
              <w:rPr>
                <w:rFonts w:ascii="宋体"/>
                <w:w w:val="100"/>
                <w:sz w:val="21"/>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w w:val="100"/>
                <w:sz w:val="21"/>
              </w:rPr>
              <w:t>1</w:t>
            </w:r>
          </w:p>
        </w:tc>
      </w:tr>
      <w:tr>
        <w:trPr>
          <w:trHeight w:val="554"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吴炯</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（已离任）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4" w:right="0"/>
              <w:jc w:val="left"/>
              <w:rPr>
                <w:rFonts w:ascii="宋体" w:hAnsi="宋体" w:cs="宋体" w:eastAsia="宋体" w:hint="default"/>
                <w:sz w:val="21"/>
                <w:szCs w:val="21"/>
              </w:rPr>
            </w:pPr>
            <w:r>
              <w:rPr>
                <w:rFonts w:ascii="宋体"/>
                <w:w w:val="100"/>
                <w:sz w:val="21"/>
              </w:rPr>
              <w:t>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59"/>
              <w:jc w:val="right"/>
              <w:rPr>
                <w:rFonts w:ascii="宋体" w:hAnsi="宋体" w:cs="宋体" w:eastAsia="宋体" w:hint="default"/>
                <w:sz w:val="21"/>
                <w:szCs w:val="21"/>
              </w:rPr>
            </w:pPr>
            <w:r>
              <w:rPr>
                <w:rFonts w:ascii="宋体"/>
                <w:w w:val="100"/>
                <w:sz w:val="21"/>
              </w:rPr>
              <w:t>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8"/>
              <w:jc w:val="right"/>
              <w:rPr>
                <w:rFonts w:ascii="宋体" w:hAnsi="宋体" w:cs="宋体" w:eastAsia="宋体" w:hint="default"/>
                <w:sz w:val="21"/>
                <w:szCs w:val="21"/>
              </w:rPr>
            </w:pPr>
            <w:r>
              <w:rPr>
                <w:rFonts w:ascii="宋体"/>
                <w:w w:val="100"/>
                <w:sz w:val="21"/>
              </w:rPr>
              <w:t>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4"/>
              <w:jc w:val="right"/>
              <w:rPr>
                <w:rFonts w:ascii="宋体" w:hAnsi="宋体" w:cs="宋体" w:eastAsia="宋体" w:hint="default"/>
                <w:sz w:val="21"/>
                <w:szCs w:val="21"/>
              </w:rPr>
            </w:pPr>
            <w:r>
              <w:rPr>
                <w:rFonts w:ascii="宋体"/>
                <w:w w:val="100"/>
                <w:sz w:val="21"/>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0</w:t>
            </w:r>
          </w:p>
        </w:tc>
      </w:tr>
      <w:tr>
        <w:trPr>
          <w:trHeight w:val="554"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王稼铭</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（已离任）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4" w:right="0"/>
              <w:jc w:val="left"/>
              <w:rPr>
                <w:rFonts w:ascii="宋体" w:hAnsi="宋体" w:cs="宋体" w:eastAsia="宋体" w:hint="default"/>
                <w:sz w:val="21"/>
                <w:szCs w:val="21"/>
              </w:rPr>
            </w:pPr>
            <w:r>
              <w:rPr>
                <w:rFonts w:ascii="宋体"/>
                <w:w w:val="100"/>
                <w:sz w:val="21"/>
              </w:rPr>
              <w:t>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59"/>
              <w:jc w:val="right"/>
              <w:rPr>
                <w:rFonts w:ascii="宋体" w:hAnsi="宋体" w:cs="宋体" w:eastAsia="宋体" w:hint="default"/>
                <w:sz w:val="21"/>
                <w:szCs w:val="21"/>
              </w:rPr>
            </w:pPr>
            <w:r>
              <w:rPr>
                <w:rFonts w:ascii="宋体"/>
                <w:w w:val="100"/>
                <w:sz w:val="21"/>
              </w:rPr>
              <w:t>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8"/>
              <w:jc w:val="right"/>
              <w:rPr>
                <w:rFonts w:ascii="宋体" w:hAnsi="宋体" w:cs="宋体" w:eastAsia="宋体" w:hint="default"/>
                <w:sz w:val="21"/>
                <w:szCs w:val="21"/>
              </w:rPr>
            </w:pPr>
            <w:r>
              <w:rPr>
                <w:rFonts w:ascii="宋体"/>
                <w:w w:val="100"/>
                <w:sz w:val="21"/>
              </w:rPr>
              <w:t>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4"/>
              <w:jc w:val="right"/>
              <w:rPr>
                <w:rFonts w:ascii="宋体" w:hAnsi="宋体" w:cs="宋体" w:eastAsia="宋体" w:hint="default"/>
                <w:sz w:val="21"/>
                <w:szCs w:val="21"/>
              </w:rPr>
            </w:pPr>
            <w:r>
              <w:rPr>
                <w:rFonts w:ascii="宋体"/>
                <w:w w:val="100"/>
                <w:sz w:val="21"/>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1</w:t>
            </w:r>
          </w:p>
        </w:tc>
      </w:tr>
      <w:tr>
        <w:trPr>
          <w:trHeight w:val="554"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肖翔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（已离任）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4" w:right="0"/>
              <w:jc w:val="left"/>
              <w:rPr>
                <w:rFonts w:ascii="宋体" w:hAnsi="宋体" w:cs="宋体" w:eastAsia="宋体" w:hint="default"/>
                <w:sz w:val="21"/>
                <w:szCs w:val="21"/>
              </w:rPr>
            </w:pPr>
            <w:r>
              <w:rPr>
                <w:rFonts w:ascii="宋体"/>
                <w:w w:val="100"/>
                <w:sz w:val="21"/>
              </w:rPr>
              <w:t>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59"/>
              <w:jc w:val="right"/>
              <w:rPr>
                <w:rFonts w:ascii="宋体" w:hAnsi="宋体" w:cs="宋体" w:eastAsia="宋体" w:hint="default"/>
                <w:sz w:val="21"/>
                <w:szCs w:val="21"/>
              </w:rPr>
            </w:pPr>
            <w:r>
              <w:rPr>
                <w:rFonts w:ascii="宋体"/>
                <w:w w:val="100"/>
                <w:sz w:val="21"/>
              </w:rPr>
              <w:t>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8"/>
              <w:jc w:val="right"/>
              <w:rPr>
                <w:rFonts w:ascii="宋体" w:hAnsi="宋体" w:cs="宋体" w:eastAsia="宋体" w:hint="default"/>
                <w:sz w:val="21"/>
                <w:szCs w:val="21"/>
              </w:rPr>
            </w:pPr>
            <w:r>
              <w:rPr>
                <w:rFonts w:ascii="宋体"/>
                <w:w w:val="100"/>
                <w:sz w:val="21"/>
              </w:rPr>
              <w:t>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4"/>
              <w:jc w:val="right"/>
              <w:rPr>
                <w:rFonts w:ascii="宋体" w:hAnsi="宋体" w:cs="宋体" w:eastAsia="宋体" w:hint="default"/>
                <w:sz w:val="21"/>
                <w:szCs w:val="21"/>
              </w:rPr>
            </w:pPr>
            <w:r>
              <w:rPr>
                <w:rFonts w:ascii="宋体"/>
                <w:w w:val="100"/>
                <w:sz w:val="21"/>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1</w:t>
            </w:r>
          </w:p>
        </w:tc>
      </w:tr>
      <w:tr>
        <w:trPr>
          <w:trHeight w:val="555"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程礼源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（已离任）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4" w:right="0"/>
              <w:jc w:val="left"/>
              <w:rPr>
                <w:rFonts w:ascii="宋体" w:hAnsi="宋体" w:cs="宋体" w:eastAsia="宋体" w:hint="default"/>
                <w:sz w:val="21"/>
                <w:szCs w:val="21"/>
              </w:rPr>
            </w:pPr>
            <w:r>
              <w:rPr>
                <w:rFonts w:ascii="宋体"/>
                <w:w w:val="100"/>
                <w:sz w:val="21"/>
              </w:rPr>
              <w:t>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59"/>
              <w:jc w:val="right"/>
              <w:rPr>
                <w:rFonts w:ascii="宋体" w:hAnsi="宋体" w:cs="宋体" w:eastAsia="宋体" w:hint="default"/>
                <w:sz w:val="21"/>
                <w:szCs w:val="21"/>
              </w:rPr>
            </w:pPr>
            <w:r>
              <w:rPr>
                <w:rFonts w:ascii="宋体"/>
                <w:w w:val="100"/>
                <w:sz w:val="21"/>
              </w:rPr>
              <w:t>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8"/>
              <w:jc w:val="right"/>
              <w:rPr>
                <w:rFonts w:ascii="宋体" w:hAnsi="宋体" w:cs="宋体" w:eastAsia="宋体" w:hint="default"/>
                <w:sz w:val="21"/>
                <w:szCs w:val="21"/>
              </w:rPr>
            </w:pPr>
            <w:r>
              <w:rPr>
                <w:rFonts w:ascii="宋体"/>
                <w:w w:val="100"/>
                <w:sz w:val="21"/>
              </w:rPr>
              <w:t>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4"/>
              <w:jc w:val="right"/>
              <w:rPr>
                <w:rFonts w:ascii="宋体" w:hAnsi="宋体" w:cs="宋体" w:eastAsia="宋体" w:hint="default"/>
                <w:sz w:val="21"/>
                <w:szCs w:val="21"/>
              </w:rPr>
            </w:pPr>
            <w:r>
              <w:rPr>
                <w:rFonts w:ascii="宋体"/>
                <w:w w:val="100"/>
                <w:sz w:val="21"/>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1</w:t>
            </w:r>
          </w:p>
        </w:tc>
      </w:tr>
    </w:tbl>
    <w:p>
      <w:pPr>
        <w:spacing w:line="240" w:lineRule="auto" w:before="7"/>
        <w:rPr>
          <w:rFonts w:ascii="宋体" w:hAnsi="宋体" w:cs="宋体" w:eastAsia="宋体" w:hint="default"/>
          <w:b/>
          <w:bCs/>
          <w:sz w:val="15"/>
          <w:szCs w:val="15"/>
        </w:rPr>
      </w:pPr>
    </w:p>
    <w:p>
      <w:pPr>
        <w:pStyle w:val="BodyText"/>
        <w:spacing w:line="273" w:lineRule="exact" w:before="36"/>
        <w:ind w:left="218" w:right="234"/>
        <w:jc w:val="left"/>
      </w:pPr>
      <w:r>
        <w:rPr/>
        <w:t>连续两次未亲自出席董事会会议的说明</w:t>
      </w:r>
    </w:p>
    <w:p>
      <w:pPr>
        <w:pStyle w:val="BodyText"/>
        <w:spacing w:line="273" w:lineRule="exact"/>
        <w:ind w:left="218" w:right="234"/>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r>
    </w:tbl>
    <w:p>
      <w:pPr>
        <w:spacing w:line="240" w:lineRule="auto" w:before="3"/>
        <w:rPr>
          <w:rFonts w:ascii="宋体" w:hAnsi="宋体" w:cs="宋体" w:eastAsia="宋体" w:hint="default"/>
          <w:sz w:val="20"/>
          <w:szCs w:val="20"/>
        </w:rPr>
      </w:pPr>
    </w:p>
    <w:p>
      <w:pPr>
        <w:pStyle w:val="Heading2"/>
        <w:spacing w:line="240" w:lineRule="auto" w:before="26"/>
        <w:ind w:right="234"/>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5"/>
        </w:rPr>
        <w:t> </w:t>
      </w:r>
      <w:r>
        <w:rPr/>
        <w:t>独立董事对公司有关事项提出异议的情况</w:t>
      </w:r>
      <w:r>
        <w:rPr>
          <w:b w:val="0"/>
          <w:bCs w:val="0"/>
        </w:rPr>
      </w:r>
    </w:p>
    <w:p>
      <w:pPr>
        <w:pStyle w:val="BodyText"/>
        <w:spacing w:line="240" w:lineRule="auto" w:before="33"/>
        <w:ind w:left="218" w:right="234"/>
        <w:jc w:val="left"/>
      </w:pPr>
      <w:r>
        <w:rPr/>
        <w:t>□适用</w:t>
      </w:r>
      <w:r>
        <w:rPr>
          <w:spacing w:val="-1"/>
        </w:rPr>
        <w:t> </w:t>
      </w:r>
      <w:r>
        <w:rPr/>
        <w:t>√不适用</w:t>
      </w:r>
    </w:p>
    <w:p>
      <w:pPr>
        <w:spacing w:after="0" w:line="240" w:lineRule="auto"/>
        <w:jc w:val="left"/>
        <w:sectPr>
          <w:pgSz w:w="11910" w:h="16840"/>
          <w:pgMar w:header="855" w:footer="1217" w:top="1320" w:bottom="1400" w:left="1580" w:right="1040"/>
        </w:sectPr>
      </w:pPr>
    </w:p>
    <w:p>
      <w:pPr>
        <w:spacing w:line="240" w:lineRule="auto" w:before="11"/>
        <w:rPr>
          <w:rFonts w:ascii="宋体" w:hAnsi="宋体" w:cs="宋体" w:eastAsia="宋体" w:hint="default"/>
          <w:sz w:val="9"/>
          <w:szCs w:val="9"/>
        </w:rPr>
      </w:pPr>
    </w:p>
    <w:p>
      <w:pPr>
        <w:pStyle w:val="Heading2"/>
        <w:spacing w:line="240" w:lineRule="auto" w:before="26"/>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0"/>
        </w:rPr>
        <w:t> </w:t>
      </w:r>
      <w:r>
        <w:rPr/>
        <w:t>其他</w:t>
      </w:r>
      <w:r>
        <w:rPr>
          <w:b w:val="0"/>
          <w:bCs w:val="0"/>
        </w:rPr>
      </w:r>
    </w:p>
    <w:p>
      <w:pPr>
        <w:pStyle w:val="BodyText"/>
        <w:tabs>
          <w:tab w:pos="980" w:val="left" w:leader="none"/>
        </w:tabs>
        <w:spacing w:line="240" w:lineRule="auto" w:before="33"/>
        <w:ind w:right="0"/>
        <w:jc w:val="left"/>
      </w:pPr>
      <w:r>
        <w:rPr>
          <w:spacing w:val="-1"/>
        </w:rPr>
        <w:t>□适用</w:t>
        <w:tab/>
      </w:r>
      <w:r>
        <w:rPr>
          <w:spacing w:val="-2"/>
        </w:rPr>
        <w:t>√不适用</w:t>
      </w:r>
    </w:p>
    <w:p>
      <w:pPr>
        <w:spacing w:line="240" w:lineRule="auto" w:before="1"/>
        <w:rPr>
          <w:rFonts w:ascii="宋体" w:hAnsi="宋体" w:cs="宋体" w:eastAsia="宋体" w:hint="default"/>
          <w:sz w:val="27"/>
          <w:szCs w:val="27"/>
        </w:rPr>
      </w:pPr>
    </w:p>
    <w:p>
      <w:pPr>
        <w:pStyle w:val="Heading2"/>
        <w:tabs>
          <w:tab w:pos="977" w:val="left" w:leader="none"/>
        </w:tabs>
        <w:spacing w:line="312" w:lineRule="exact"/>
        <w:ind w:left="562" w:right="118" w:hanging="425"/>
        <w:jc w:val="left"/>
        <w:rPr>
          <w:b w:val="0"/>
          <w:bCs w:val="0"/>
        </w:rPr>
      </w:pPr>
      <w:r>
        <w:rPr/>
        <w:t>四、</w:t>
        <w:tab/>
        <w:t>董事会下设专门委员会在报告期内履行职责时所提出的重要意见和建议，存</w:t>
      </w:r>
      <w:r>
        <w:rPr>
          <w:spacing w:val="-93"/>
        </w:rPr>
        <w:t> </w:t>
      </w:r>
      <w:r>
        <w:rPr>
          <w:spacing w:val="-93"/>
        </w:rPr>
      </w:r>
      <w:r>
        <w:rPr/>
        <w:t>在异议事项的，应当披露具体情况</w:t>
      </w:r>
      <w:r>
        <w:rPr>
          <w:b w:val="0"/>
          <w:bCs w:val="0"/>
        </w:rPr>
      </w:r>
    </w:p>
    <w:p>
      <w:pPr>
        <w:pStyle w:val="BodyText"/>
        <w:tabs>
          <w:tab w:pos="980" w:val="left" w:leader="none"/>
        </w:tabs>
        <w:spacing w:line="240" w:lineRule="auto" w:before="33"/>
        <w:ind w:right="0"/>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tabs>
          <w:tab w:pos="977" w:val="left" w:leader="none"/>
        </w:tabs>
        <w:spacing w:line="240" w:lineRule="auto"/>
        <w:ind w:left="138" w:right="0"/>
        <w:jc w:val="left"/>
        <w:rPr>
          <w:b w:val="0"/>
          <w:bCs w:val="0"/>
        </w:rPr>
      </w:pPr>
      <w:r>
        <w:rPr/>
        <w:t>五、</w:t>
        <w:tab/>
        <w:t>监事会发现公司存在风险的说明</w:t>
      </w:r>
      <w:r>
        <w:rPr>
          <w:b w:val="0"/>
          <w:bCs w:val="0"/>
        </w:rPr>
      </w:r>
    </w:p>
    <w:p>
      <w:pPr>
        <w:pStyle w:val="BodyText"/>
        <w:spacing w:line="240" w:lineRule="auto" w:before="64"/>
        <w:ind w:right="0"/>
        <w:jc w:val="left"/>
      </w:pPr>
      <w:r>
        <w:rPr/>
        <w:t>□适用</w:t>
      </w:r>
      <w:r>
        <w:rPr>
          <w:spacing w:val="-1"/>
        </w:rPr>
        <w:t> </w:t>
      </w:r>
      <w:r>
        <w:rPr/>
        <w:t>√不适用</w:t>
      </w:r>
    </w:p>
    <w:p>
      <w:pPr>
        <w:spacing w:line="240" w:lineRule="auto" w:before="2"/>
        <w:rPr>
          <w:rFonts w:ascii="宋体" w:hAnsi="宋体" w:cs="宋体" w:eastAsia="宋体" w:hint="default"/>
          <w:sz w:val="27"/>
          <w:szCs w:val="27"/>
        </w:rPr>
      </w:pPr>
    </w:p>
    <w:p>
      <w:pPr>
        <w:pStyle w:val="Heading2"/>
        <w:tabs>
          <w:tab w:pos="977" w:val="left" w:leader="none"/>
        </w:tabs>
        <w:spacing w:line="312" w:lineRule="exact"/>
        <w:ind w:left="562" w:right="118" w:hanging="425"/>
        <w:jc w:val="left"/>
        <w:rPr>
          <w:b w:val="0"/>
          <w:bCs w:val="0"/>
        </w:rPr>
      </w:pPr>
      <w:r>
        <w:rPr/>
        <w:t>六、</w:t>
        <w:tab/>
        <w:t>公司就其与控股股东在业务、人员、资产、机构、财务等方面存在的不能保</w:t>
      </w:r>
      <w:r>
        <w:rPr>
          <w:spacing w:val="-93"/>
        </w:rPr>
        <w:t> </w:t>
      </w:r>
      <w:r>
        <w:rPr>
          <w:spacing w:val="-93"/>
        </w:rPr>
      </w:r>
      <w:r>
        <w:rPr/>
        <w:t>证独立性、不能保持自主经营能力的情况说明</w:t>
      </w:r>
      <w:r>
        <w:rPr>
          <w:b w:val="0"/>
          <w:bCs w:val="0"/>
        </w:rPr>
      </w:r>
    </w:p>
    <w:p>
      <w:pPr>
        <w:pStyle w:val="BodyText"/>
        <w:tabs>
          <w:tab w:pos="980" w:val="left" w:leader="none"/>
        </w:tabs>
        <w:spacing w:line="240" w:lineRule="auto" w:before="33"/>
        <w:ind w:right="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4" w:lineRule="exact"/>
        <w:ind w:right="0"/>
        <w:jc w:val="left"/>
      </w:pPr>
      <w:r>
        <w:rPr/>
        <w:t>存在同业竞争的，公司相应的解决措施、工作进度及后续工作计划</w:t>
      </w:r>
    </w:p>
    <w:p>
      <w:pPr>
        <w:pStyle w:val="BodyText"/>
        <w:tabs>
          <w:tab w:pos="980" w:val="left" w:leader="none"/>
        </w:tabs>
        <w:spacing w:line="274" w:lineRule="exact"/>
        <w:ind w:right="0"/>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tabs>
          <w:tab w:pos="977" w:val="left" w:leader="none"/>
        </w:tabs>
        <w:spacing w:line="240" w:lineRule="auto"/>
        <w:ind w:left="138" w:right="0"/>
        <w:jc w:val="left"/>
        <w:rPr>
          <w:b w:val="0"/>
          <w:bCs w:val="0"/>
        </w:rPr>
      </w:pPr>
      <w:r>
        <w:rPr/>
        <w:t>七、</w:t>
        <w:tab/>
        <w:t>报告期内对高级管理人员的考评机制，以及激励机制的建立、实施情况</w:t>
      </w:r>
      <w:r>
        <w:rPr>
          <w:b w:val="0"/>
          <w:bCs w:val="0"/>
        </w:rPr>
      </w:r>
    </w:p>
    <w:p>
      <w:pPr>
        <w:pStyle w:val="BodyText"/>
        <w:tabs>
          <w:tab w:pos="980" w:val="left" w:leader="none"/>
        </w:tabs>
        <w:spacing w:line="240" w:lineRule="auto" w:before="61"/>
        <w:ind w:left="558" w:right="118" w:hanging="420"/>
        <w:jc w:val="left"/>
      </w:pPr>
      <w:r>
        <w:rPr>
          <w:spacing w:val="-1"/>
        </w:rPr>
        <w:t>√适用</w:t>
        <w:tab/>
      </w:r>
      <w:r>
        <w:rPr>
          <w:spacing w:val="-2"/>
        </w:rPr>
        <w:t>□不适用</w:t>
      </w:r>
      <w:r>
        <w:rPr>
          <w:spacing w:val="-99"/>
        </w:rPr>
        <w:t> </w:t>
      </w:r>
      <w:r>
        <w:rPr>
          <w:spacing w:val="-99"/>
        </w:rPr>
      </w:r>
      <w:r>
        <w:rPr>
          <w:spacing w:val="-2"/>
        </w:rPr>
        <w:t>公司高级管理人员薪酬按照《公司章程》及相关规定制定执行，公司根据目标完成情况对高</w:t>
      </w:r>
    </w:p>
    <w:p>
      <w:pPr>
        <w:pStyle w:val="BodyText"/>
        <w:spacing w:line="357" w:lineRule="auto" w:before="133"/>
        <w:ind w:right="0"/>
        <w:jc w:val="left"/>
      </w:pPr>
      <w:r>
        <w:rPr>
          <w:spacing w:val="-2"/>
        </w:rPr>
        <w:t>级管理人员进行业绩考核，公司将在未来不断的实践过程中，不断完善符合公司情况的高级管理</w:t>
      </w:r>
      <w:r>
        <w:rPr>
          <w:spacing w:val="-25"/>
        </w:rPr>
        <w:t> </w:t>
      </w:r>
      <w:r>
        <w:rPr>
          <w:spacing w:val="-25"/>
        </w:rPr>
      </w:r>
      <w:r>
        <w:rPr/>
        <w:t>人员的绩效考核、激励与约束机制。</w:t>
      </w:r>
    </w:p>
    <w:p>
      <w:pPr>
        <w:spacing w:line="240" w:lineRule="auto" w:before="4"/>
        <w:rPr>
          <w:rFonts w:ascii="宋体" w:hAnsi="宋体" w:cs="宋体" w:eastAsia="宋体" w:hint="default"/>
          <w:sz w:val="27"/>
          <w:szCs w:val="27"/>
        </w:rPr>
      </w:pPr>
    </w:p>
    <w:p>
      <w:pPr>
        <w:pStyle w:val="Heading2"/>
        <w:tabs>
          <w:tab w:pos="977" w:val="left" w:leader="none"/>
        </w:tabs>
        <w:spacing w:line="240" w:lineRule="auto"/>
        <w:ind w:left="138" w:right="0"/>
        <w:jc w:val="left"/>
        <w:rPr>
          <w:b w:val="0"/>
          <w:bCs w:val="0"/>
        </w:rPr>
      </w:pPr>
      <w:r>
        <w:rPr/>
        <w:t>八、</w:t>
        <w:tab/>
        <w:t>是否披露内部控制自我评价报告</w:t>
      </w:r>
      <w:r>
        <w:rPr>
          <w:b w:val="0"/>
          <w:bCs w:val="0"/>
        </w:rPr>
      </w:r>
    </w:p>
    <w:p>
      <w:pPr>
        <w:pStyle w:val="BodyText"/>
        <w:spacing w:line="273" w:lineRule="exact" w:before="64"/>
        <w:ind w:right="0"/>
        <w:jc w:val="left"/>
      </w:pPr>
      <w:r>
        <w:rPr/>
        <w:t>√适用</w:t>
      </w:r>
      <w:r>
        <w:rPr>
          <w:spacing w:val="-1"/>
        </w:rPr>
        <w:t> </w:t>
      </w:r>
      <w:r>
        <w:rPr/>
        <w:t>□不适用</w:t>
      </w:r>
    </w:p>
    <w:p>
      <w:pPr>
        <w:pStyle w:val="BodyText"/>
        <w:spacing w:line="355" w:lineRule="auto"/>
        <w:ind w:right="107" w:firstLine="419"/>
        <w:jc w:val="both"/>
      </w:pPr>
      <w:r>
        <w:rPr>
          <w:spacing w:val="-3"/>
        </w:rPr>
        <w:t>公司编制并披露了《</w:t>
      </w:r>
      <w:r>
        <w:rPr>
          <w:rFonts w:ascii="宋体" w:hAnsi="宋体" w:cs="宋体" w:eastAsia="宋体" w:hint="default"/>
          <w:spacing w:val="-3"/>
        </w:rPr>
        <w:t>2018</w:t>
      </w:r>
      <w:r>
        <w:rPr>
          <w:rFonts w:ascii="宋体" w:hAnsi="宋体" w:cs="宋体" w:eastAsia="宋体" w:hint="default"/>
          <w:spacing w:val="-1"/>
        </w:rPr>
        <w:t> </w:t>
      </w:r>
      <w:r>
        <w:rPr>
          <w:spacing w:val="-3"/>
        </w:rPr>
        <w:t>年度内部控制评价报告》，详见与本公告同期登载于上海证券交易</w:t>
      </w:r>
      <w:r>
        <w:rPr>
          <w:w w:val="100"/>
        </w:rPr>
        <w:t> </w:t>
      </w:r>
      <w:r>
        <w:rPr/>
        <w:t>所网站（</w:t>
      </w:r>
      <w:r>
        <w:rPr>
          <w:rFonts w:ascii="宋体" w:hAnsi="宋体" w:cs="宋体" w:eastAsia="宋体" w:hint="default"/>
        </w:rPr>
      </w:r>
      <w:hyperlink r:id="rId10">
        <w:r>
          <w:rPr>
            <w:rFonts w:ascii="宋体" w:hAnsi="宋体" w:cs="宋体" w:eastAsia="宋体" w:hint="default"/>
            <w:u w:val="single" w:color="000000"/>
          </w:rPr>
          <w:t>http://www.sse.com.cn</w:t>
        </w:r>
        <w:r>
          <w:rPr>
            <w:rFonts w:ascii="宋体" w:hAnsi="宋体" w:cs="宋体" w:eastAsia="宋体" w:hint="default"/>
          </w:rPr>
        </w:r>
      </w:hyperlink>
      <w:r>
        <w:rPr>
          <w:rFonts w:ascii="宋体" w:hAnsi="宋体" w:cs="宋体" w:eastAsia="宋体" w:hint="default"/>
        </w:rPr>
        <w:t>)</w:t>
      </w:r>
      <w:r>
        <w:rPr/>
        <w:t>的相关公告。</w:t>
      </w:r>
    </w:p>
    <w:p>
      <w:pPr>
        <w:spacing w:line="240" w:lineRule="auto" w:before="5"/>
        <w:rPr>
          <w:rFonts w:ascii="宋体" w:hAnsi="宋体" w:cs="宋体" w:eastAsia="宋体" w:hint="default"/>
          <w:sz w:val="23"/>
          <w:szCs w:val="23"/>
        </w:rPr>
      </w:pPr>
    </w:p>
    <w:p>
      <w:pPr>
        <w:pStyle w:val="BodyText"/>
        <w:spacing w:line="274" w:lineRule="exact"/>
        <w:ind w:right="0"/>
        <w:jc w:val="left"/>
      </w:pPr>
      <w:r>
        <w:rPr/>
        <w:t>报告期内部控制存在重大缺陷情况的说明</w:t>
      </w:r>
    </w:p>
    <w:p>
      <w:pPr>
        <w:pStyle w:val="BodyText"/>
        <w:spacing w:line="274" w:lineRule="exact"/>
        <w:ind w:right="0"/>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tabs>
          <w:tab w:pos="977" w:val="left" w:leader="none"/>
        </w:tabs>
        <w:spacing w:line="240" w:lineRule="auto"/>
        <w:ind w:left="138" w:right="0"/>
        <w:jc w:val="left"/>
        <w:rPr>
          <w:b w:val="0"/>
          <w:bCs w:val="0"/>
        </w:rPr>
      </w:pPr>
      <w:r>
        <w:rPr/>
        <w:t>九、</w:t>
        <w:tab/>
        <w:t>内部控制审计报告的相关情况说明</w:t>
      </w:r>
      <w:r>
        <w:rPr>
          <w:b w:val="0"/>
          <w:bCs w:val="0"/>
        </w:rPr>
      </w:r>
    </w:p>
    <w:p>
      <w:pPr>
        <w:pStyle w:val="BodyText"/>
        <w:tabs>
          <w:tab w:pos="980" w:val="left" w:leader="none"/>
        </w:tabs>
        <w:spacing w:line="274" w:lineRule="exact" w:before="61"/>
        <w:ind w:right="0"/>
        <w:jc w:val="left"/>
      </w:pPr>
      <w:r>
        <w:rPr>
          <w:spacing w:val="-1"/>
        </w:rPr>
        <w:t>√适用</w:t>
        <w:tab/>
      </w:r>
      <w:r>
        <w:rPr>
          <w:spacing w:val="-2"/>
        </w:rPr>
        <w:t>□不适用</w:t>
      </w:r>
    </w:p>
    <w:p>
      <w:pPr>
        <w:pStyle w:val="BodyText"/>
        <w:spacing w:line="355" w:lineRule="auto"/>
        <w:ind w:right="107" w:firstLine="419"/>
        <w:jc w:val="both"/>
      </w:pPr>
      <w:r>
        <w:rPr>
          <w:spacing w:val="-5"/>
        </w:rPr>
        <w:t>公司聘请的德勤华永会计师事务所（特殊普通合伙）对公司</w:t>
      </w:r>
      <w:r>
        <w:rPr>
          <w:spacing w:val="-47"/>
        </w:rPr>
        <w:t> </w:t>
      </w:r>
      <w:r>
        <w:rPr>
          <w:rFonts w:ascii="宋体" w:hAnsi="宋体" w:cs="宋体" w:eastAsia="宋体" w:hint="default"/>
        </w:rPr>
        <w:t>2018</w:t>
      </w:r>
      <w:r>
        <w:rPr>
          <w:rFonts w:ascii="宋体" w:hAnsi="宋体" w:cs="宋体" w:eastAsia="宋体" w:hint="default"/>
          <w:spacing w:val="-47"/>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46"/>
        </w:rPr>
        <w:t> </w:t>
      </w:r>
      <w:r>
        <w:rPr>
          <w:rFonts w:ascii="宋体" w:hAnsi="宋体" w:cs="宋体" w:eastAsia="宋体" w:hint="default"/>
        </w:rPr>
        <w:t>31</w:t>
      </w:r>
      <w:r>
        <w:rPr>
          <w:rFonts w:ascii="宋体" w:hAnsi="宋体" w:cs="宋体" w:eastAsia="宋体" w:hint="default"/>
          <w:spacing w:val="-50"/>
        </w:rPr>
        <w:t> </w:t>
      </w:r>
      <w:r>
        <w:rPr/>
        <w:t>日的财务报告内</w:t>
      </w:r>
      <w:r>
        <w:rPr>
          <w:w w:val="100"/>
        </w:rPr>
        <w:t> </w:t>
      </w:r>
      <w:r>
        <w:rPr>
          <w:spacing w:val="-2"/>
        </w:rPr>
        <w:t>部控制的有效性进行了审计，出具了《内部控制审计报告》，详见与本公告同期登载于上海证券</w:t>
      </w:r>
      <w:r>
        <w:rPr>
          <w:spacing w:val="-25"/>
        </w:rPr>
        <w:t> </w:t>
      </w:r>
      <w:r>
        <w:rPr>
          <w:spacing w:val="-25"/>
        </w:rPr>
      </w:r>
      <w:r>
        <w:rPr/>
        <w:t>交易所网站（</w:t>
      </w:r>
      <w:r>
        <w:rPr>
          <w:rFonts w:ascii="宋体" w:hAnsi="宋体" w:cs="宋体" w:eastAsia="宋体" w:hint="default"/>
        </w:rPr>
      </w:r>
      <w:hyperlink r:id="rId10">
        <w:r>
          <w:rPr>
            <w:rFonts w:ascii="宋体" w:hAnsi="宋体" w:cs="宋体" w:eastAsia="宋体" w:hint="default"/>
            <w:u w:val="single" w:color="000000"/>
          </w:rPr>
          <w:t>http://www.sse.com.cn</w:t>
        </w:r>
        <w:r>
          <w:rPr>
            <w:rFonts w:ascii="宋体" w:hAnsi="宋体" w:cs="宋体" w:eastAsia="宋体" w:hint="default"/>
          </w:rPr>
        </w:r>
      </w:hyperlink>
      <w:r>
        <w:rPr>
          <w:rFonts w:ascii="宋体" w:hAnsi="宋体" w:cs="宋体" w:eastAsia="宋体" w:hint="default"/>
        </w:rPr>
        <w:t>)</w:t>
      </w:r>
      <w:r>
        <w:rPr/>
        <w:t>的相关公告。</w:t>
      </w:r>
    </w:p>
    <w:p>
      <w:pPr>
        <w:pStyle w:val="BodyText"/>
        <w:spacing w:line="240" w:lineRule="auto" w:before="32"/>
        <w:ind w:right="0"/>
        <w:jc w:val="left"/>
      </w:pPr>
      <w:r>
        <w:rPr/>
        <w:t>是否披露内部控制审计报告：是</w:t>
      </w:r>
    </w:p>
    <w:p>
      <w:pPr>
        <w:spacing w:line="240" w:lineRule="auto" w:before="10"/>
        <w:rPr>
          <w:rFonts w:ascii="宋体" w:hAnsi="宋体" w:cs="宋体" w:eastAsia="宋体" w:hint="default"/>
          <w:sz w:val="24"/>
          <w:szCs w:val="24"/>
        </w:rPr>
      </w:pPr>
    </w:p>
    <w:p>
      <w:pPr>
        <w:pStyle w:val="Heading2"/>
        <w:tabs>
          <w:tab w:pos="977" w:val="left" w:leader="none"/>
        </w:tabs>
        <w:spacing w:line="240" w:lineRule="auto"/>
        <w:ind w:left="138" w:right="0"/>
        <w:jc w:val="left"/>
        <w:rPr>
          <w:b w:val="0"/>
          <w:bCs w:val="0"/>
        </w:rPr>
      </w:pPr>
      <w:r>
        <w:rPr/>
        <w:t>十、</w:t>
        <w:tab/>
        <w:t>其他</w:t>
      </w:r>
      <w:r>
        <w:rPr>
          <w:b w:val="0"/>
          <w:bCs w:val="0"/>
        </w:rPr>
      </w:r>
    </w:p>
    <w:p>
      <w:pPr>
        <w:pStyle w:val="BodyText"/>
        <w:tabs>
          <w:tab w:pos="980" w:val="left" w:leader="none"/>
        </w:tabs>
        <w:spacing w:line="240" w:lineRule="auto" w:before="64"/>
        <w:ind w:right="0"/>
        <w:jc w:val="left"/>
      </w:pPr>
      <w:r>
        <w:rPr>
          <w:spacing w:val="-1"/>
        </w:rPr>
        <w:t>□适用</w:t>
        <w:tab/>
      </w:r>
      <w:r>
        <w:rPr>
          <w:spacing w:val="-2"/>
        </w:rPr>
        <w:t>√不适用</w:t>
      </w:r>
    </w:p>
    <w:p>
      <w:pPr>
        <w:spacing w:after="0" w:line="240" w:lineRule="auto"/>
        <w:jc w:val="left"/>
        <w:sectPr>
          <w:pgSz w:w="11910" w:h="16840"/>
          <w:pgMar w:header="855" w:footer="1217" w:top="1320" w:bottom="1400" w:left="1660" w:right="1160"/>
        </w:sectPr>
      </w:pPr>
    </w:p>
    <w:p>
      <w:pPr>
        <w:spacing w:line="240" w:lineRule="auto" w:before="1"/>
        <w:rPr>
          <w:rFonts w:ascii="宋体" w:hAnsi="宋体" w:cs="宋体" w:eastAsia="宋体" w:hint="default"/>
          <w:sz w:val="10"/>
          <w:szCs w:val="10"/>
        </w:rPr>
      </w:pPr>
    </w:p>
    <w:p>
      <w:pPr>
        <w:pStyle w:val="Heading1"/>
        <w:tabs>
          <w:tab w:pos="4060" w:val="left" w:leader="none"/>
        </w:tabs>
        <w:spacing w:line="240" w:lineRule="auto"/>
        <w:ind w:left="280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right="0"/>
        <w:jc w:val="left"/>
      </w:pPr>
      <w:r>
        <w:rPr/>
        <w:t>□适用</w:t>
      </w:r>
      <w:r>
        <w:rPr>
          <w:spacing w:val="-1"/>
        </w:rPr>
        <w:t> </w:t>
      </w:r>
      <w:r>
        <w:rPr/>
        <w:t>√不适用</w:t>
      </w:r>
    </w:p>
    <w:p>
      <w:pPr>
        <w:spacing w:line="240" w:lineRule="auto" w:before="10"/>
        <w:rPr>
          <w:rFonts w:ascii="宋体" w:hAnsi="宋体" w:cs="宋体" w:eastAsia="宋体" w:hint="default"/>
          <w:sz w:val="29"/>
          <w:szCs w:val="29"/>
        </w:rPr>
      </w:pPr>
    </w:p>
    <w:p>
      <w:pPr>
        <w:pStyle w:val="Heading1"/>
        <w:spacing w:line="240" w:lineRule="auto"/>
        <w:ind w:left="30" w:right="8"/>
        <w:jc w:val="center"/>
        <w:rPr>
          <w:b w:val="0"/>
          <w:bCs w:val="0"/>
        </w:rPr>
      </w:pPr>
      <w:bookmarkStart w:name="_TOC_250001" w:id="11"/>
      <w:r>
        <w:rPr/>
        <w:t>第十一节</w:t>
      </w:r>
      <w:r>
        <w:rPr>
          <w:spacing w:val="-6"/>
        </w:rPr>
        <w:t> </w:t>
      </w:r>
      <w:r>
        <w:rPr/>
        <w:t>财务报告</w:t>
      </w:r>
      <w:bookmarkEnd w:id="11"/>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55" w:footer="1217" w:top="1320" w:bottom="1400" w:left="1660" w:right="1160"/>
        </w:sectPr>
      </w:pPr>
    </w:p>
    <w:p>
      <w:pPr>
        <w:pStyle w:val="Heading5"/>
        <w:spacing w:line="240" w:lineRule="auto" w:before="36"/>
        <w:ind w:left="138" w:right="-18"/>
        <w:jc w:val="left"/>
        <w:rPr>
          <w:b w:val="0"/>
          <w:bCs w:val="0"/>
        </w:rPr>
      </w:pPr>
      <w:r>
        <w:rPr/>
        <w:t>一、审计报告</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Heading5"/>
        <w:spacing w:line="240" w:lineRule="auto"/>
        <w:ind w:left="138" w:right="0"/>
        <w:jc w:val="left"/>
        <w:rPr>
          <w:b w:val="0"/>
          <w:bCs w:val="0"/>
        </w:rPr>
      </w:pPr>
      <w:r>
        <w:rPr/>
        <w:t>审计报告</w:t>
      </w:r>
      <w:r>
        <w:rPr>
          <w:b w:val="0"/>
          <w:bCs w:val="0"/>
        </w:rPr>
      </w:r>
    </w:p>
    <w:p>
      <w:pPr>
        <w:spacing w:after="0" w:line="240" w:lineRule="auto"/>
        <w:jc w:val="left"/>
        <w:sectPr>
          <w:type w:val="continuous"/>
          <w:pgSz w:w="11910" w:h="16840"/>
          <w:pgMar w:top="1320" w:bottom="1400" w:left="1660" w:right="1160"/>
          <w:cols w:num="2" w:equalWidth="0">
            <w:col w:w="1715" w:space="2279"/>
            <w:col w:w="5096"/>
          </w:cols>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240" w:lineRule="auto" w:before="36"/>
        <w:ind w:left="5927" w:right="0"/>
        <w:jc w:val="left"/>
      </w:pPr>
      <w:r>
        <w:rPr/>
        <w:t>德师报</w:t>
      </w:r>
      <w:r>
        <w:rPr>
          <w:rFonts w:ascii="宋体" w:hAnsi="宋体" w:cs="宋体" w:eastAsia="宋体" w:hint="default"/>
        </w:rPr>
        <w:t>(</w:t>
      </w:r>
      <w:r>
        <w:rPr/>
        <w:t>审</w:t>
      </w:r>
      <w:r>
        <w:rPr>
          <w:rFonts w:ascii="宋体" w:hAnsi="宋体" w:cs="宋体" w:eastAsia="宋体" w:hint="default"/>
        </w:rPr>
        <w:t>)</w:t>
      </w:r>
      <w:r>
        <w:rPr/>
        <w:t>字</w:t>
      </w:r>
      <w:r>
        <w:rPr>
          <w:rFonts w:ascii="宋体" w:hAnsi="宋体" w:cs="宋体" w:eastAsia="宋体" w:hint="default"/>
        </w:rPr>
        <w:t>(19)</w:t>
      </w:r>
      <w:r>
        <w:rPr/>
        <w:t>第</w:t>
      </w:r>
      <w:r>
        <w:rPr>
          <w:spacing w:val="-54"/>
        </w:rPr>
        <w:t> </w:t>
      </w:r>
      <w:r>
        <w:rPr>
          <w:rFonts w:ascii="宋体" w:hAnsi="宋体" w:cs="宋体" w:eastAsia="宋体" w:hint="default"/>
        </w:rPr>
        <w:t>P01936</w:t>
      </w:r>
      <w:r>
        <w:rPr>
          <w:rFonts w:ascii="宋体" w:hAnsi="宋体" w:cs="宋体" w:eastAsia="宋体" w:hint="default"/>
          <w:spacing w:val="-54"/>
        </w:rPr>
        <w:t> </w:t>
      </w:r>
      <w:r>
        <w:rPr/>
        <w:t>号</w:t>
      </w:r>
    </w:p>
    <w:p>
      <w:pPr>
        <w:spacing w:line="240" w:lineRule="auto" w:before="8"/>
        <w:rPr>
          <w:rFonts w:ascii="宋体" w:hAnsi="宋体" w:cs="宋体" w:eastAsia="宋体" w:hint="default"/>
          <w:sz w:val="20"/>
          <w:szCs w:val="20"/>
        </w:rPr>
      </w:pPr>
    </w:p>
    <w:p>
      <w:pPr>
        <w:spacing w:line="355" w:lineRule="auto" w:before="0"/>
        <w:ind w:left="560" w:right="3663" w:hanging="3"/>
        <w:jc w:val="left"/>
        <w:rPr>
          <w:rFonts w:ascii="宋体" w:hAnsi="宋体" w:cs="宋体" w:eastAsia="宋体" w:hint="default"/>
          <w:sz w:val="21"/>
          <w:szCs w:val="21"/>
        </w:rPr>
      </w:pPr>
      <w:r>
        <w:rPr>
          <w:rFonts w:ascii="宋体" w:hAnsi="宋体" w:cs="宋体" w:eastAsia="宋体" w:hint="default"/>
          <w:spacing w:val="-2"/>
          <w:sz w:val="21"/>
          <w:szCs w:val="21"/>
        </w:rPr>
        <w:t>三六零安全科技股份有限公司全体股东：</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一、审计意见</w:t>
      </w:r>
      <w:r>
        <w:rPr>
          <w:rFonts w:ascii="宋体" w:hAnsi="宋体" w:cs="宋体" w:eastAsia="宋体" w:hint="default"/>
          <w:sz w:val="21"/>
          <w:szCs w:val="21"/>
        </w:rPr>
      </w:r>
    </w:p>
    <w:p>
      <w:pPr>
        <w:pStyle w:val="BodyText"/>
        <w:spacing w:line="355" w:lineRule="auto" w:before="34"/>
        <w:ind w:right="0" w:firstLine="419"/>
        <w:jc w:val="left"/>
      </w:pPr>
      <w:r>
        <w:rPr/>
        <w:t>我们审计了后附的三六零安全科技股份有限公司</w:t>
      </w:r>
      <w:r>
        <w:rPr>
          <w:rFonts w:ascii="宋体" w:hAnsi="宋体" w:cs="宋体" w:eastAsia="宋体" w:hint="default"/>
        </w:rPr>
        <w:t>(</w:t>
      </w:r>
      <w:r>
        <w:rPr/>
        <w:t>以下简称“三六零”)的财务报表，包括</w:t>
      </w:r>
      <w:r>
        <w:rPr>
          <w:w w:val="100"/>
        </w:rPr>
        <w:t> </w:t>
      </w:r>
      <w:r>
        <w:rPr>
          <w:rFonts w:ascii="宋体" w:hAnsi="宋体" w:cs="宋体" w:eastAsia="宋体" w:hint="default"/>
        </w:rPr>
        <w:t>2018</w:t>
      </w:r>
      <w:r>
        <w:rPr>
          <w:rFonts w:ascii="宋体" w:hAnsi="宋体" w:cs="宋体" w:eastAsia="宋体" w:hint="default"/>
          <w:spacing w:val="-45"/>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31</w:t>
      </w:r>
      <w:r>
        <w:rPr>
          <w:rFonts w:ascii="宋体" w:hAnsi="宋体" w:cs="宋体" w:eastAsia="宋体" w:hint="default"/>
          <w:spacing w:val="-43"/>
        </w:rPr>
        <w:t> </w:t>
      </w:r>
      <w:r>
        <w:rPr>
          <w:spacing w:val="-5"/>
        </w:rPr>
        <w:t>日的合并及公司资产负债表、</w:t>
      </w:r>
      <w:r>
        <w:rPr>
          <w:rFonts w:ascii="宋体" w:hAnsi="宋体" w:cs="宋体" w:eastAsia="宋体" w:hint="default"/>
          <w:spacing w:val="-5"/>
        </w:rPr>
        <w:t>2018</w:t>
      </w:r>
      <w:r>
        <w:rPr>
          <w:rFonts w:ascii="宋体" w:hAnsi="宋体" w:cs="宋体" w:eastAsia="宋体" w:hint="default"/>
          <w:spacing w:val="-45"/>
        </w:rPr>
        <w:t> </w:t>
      </w:r>
      <w:r>
        <w:rPr>
          <w:spacing w:val="-4"/>
        </w:rPr>
        <w:t>年度的合并及公司利润表、合并及公司现金流</w:t>
      </w:r>
      <w:r>
        <w:rPr>
          <w:spacing w:val="-101"/>
        </w:rPr>
        <w:t> </w:t>
      </w:r>
      <w:r>
        <w:rPr>
          <w:spacing w:val="-101"/>
        </w:rPr>
      </w:r>
      <w:r>
        <w:rPr/>
        <w:t>量表、合并及公司股东权益变动表以及相关财务报表附注。</w:t>
      </w:r>
    </w:p>
    <w:p>
      <w:pPr>
        <w:pStyle w:val="BodyText"/>
        <w:spacing w:line="357" w:lineRule="auto" w:before="32"/>
        <w:ind w:right="117" w:firstLine="419"/>
        <w:jc w:val="both"/>
      </w:pPr>
      <w:r>
        <w:rPr>
          <w:spacing w:val="-2"/>
        </w:rPr>
        <w:t>我们认为，上述财务报表在所有重大方面按照企业会计准则的规定编制，公允反映了三六零</w:t>
      </w:r>
      <w:r>
        <w:rPr>
          <w:w w:val="100"/>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日的合并及公司财务状况以及</w:t>
      </w:r>
      <w:r>
        <w:rPr>
          <w:spacing w:val="-54"/>
        </w:rPr>
        <w:t> </w:t>
      </w:r>
      <w:r>
        <w:rPr>
          <w:rFonts w:ascii="宋体" w:hAnsi="宋体" w:cs="宋体" w:eastAsia="宋体" w:hint="default"/>
        </w:rPr>
        <w:t>2018</w:t>
      </w:r>
      <w:r>
        <w:rPr>
          <w:rFonts w:ascii="宋体" w:hAnsi="宋体" w:cs="宋体" w:eastAsia="宋体" w:hint="default"/>
          <w:spacing w:val="-56"/>
        </w:rPr>
        <w:t> </w:t>
      </w:r>
      <w:r>
        <w:rPr/>
        <w:t>年度的合并及公司经营成果和合并及公司现</w:t>
      </w:r>
      <w:r>
        <w:rPr>
          <w:w w:val="100"/>
        </w:rPr>
        <w:t> </w:t>
      </w:r>
      <w:r>
        <w:rPr/>
        <w:t>金流量。</w:t>
      </w:r>
    </w:p>
    <w:p>
      <w:pPr>
        <w:spacing w:line="240" w:lineRule="auto" w:before="0"/>
        <w:rPr>
          <w:rFonts w:ascii="宋体" w:hAnsi="宋体" w:cs="宋体" w:eastAsia="宋体" w:hint="default"/>
          <w:sz w:val="20"/>
          <w:szCs w:val="20"/>
        </w:rPr>
      </w:pPr>
    </w:p>
    <w:p>
      <w:pPr>
        <w:spacing w:line="355" w:lineRule="auto" w:before="176"/>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w:t>
      </w:r>
    </w:p>
    <w:p>
      <w:pPr>
        <w:pStyle w:val="BodyText"/>
        <w:spacing w:line="357" w:lineRule="auto" w:before="32"/>
        <w:ind w:right="117"/>
        <w:jc w:val="both"/>
      </w:pPr>
      <w:r>
        <w:rPr>
          <w:spacing w:val="-2"/>
        </w:rPr>
        <w:t>报表审计的责任”部分进一步阐述了我们在这些准则下的责任。按照中国注册会计师职业道德守</w:t>
      </w:r>
      <w:r>
        <w:rPr>
          <w:spacing w:val="-25"/>
        </w:rPr>
        <w:t> </w:t>
      </w:r>
      <w:r>
        <w:rPr>
          <w:spacing w:val="-25"/>
        </w:rPr>
      </w:r>
      <w:r>
        <w:rPr>
          <w:spacing w:val="-2"/>
        </w:rPr>
        <w:t>则，我们独立于三六零，并履行了职业道德方面的其他责任。我们相信，我们获取的审计证据是</w:t>
      </w:r>
      <w:r>
        <w:rPr>
          <w:spacing w:val="-25"/>
        </w:rPr>
        <w:t> </w:t>
      </w:r>
      <w:r>
        <w:rPr>
          <w:spacing w:val="-25"/>
        </w:rPr>
      </w:r>
      <w:r>
        <w:rPr/>
        <w:t>充分、适当的，为发表审计意见提供了基础。</w:t>
      </w:r>
    </w:p>
    <w:p>
      <w:pPr>
        <w:spacing w:line="240" w:lineRule="auto" w:before="0"/>
        <w:rPr>
          <w:rFonts w:ascii="宋体" w:hAnsi="宋体" w:cs="宋体" w:eastAsia="宋体" w:hint="default"/>
          <w:sz w:val="20"/>
          <w:szCs w:val="20"/>
        </w:rPr>
      </w:pPr>
    </w:p>
    <w:p>
      <w:pPr>
        <w:pStyle w:val="BodyText"/>
        <w:spacing w:line="357" w:lineRule="auto" w:before="177"/>
        <w:ind w:left="558" w:right="0" w:firstLine="2"/>
        <w:jc w:val="left"/>
      </w:pPr>
      <w:r>
        <w:rPr>
          <w:rFonts w:ascii="宋体" w:hAnsi="宋体" w:cs="宋体" w:eastAsia="宋体" w:hint="default"/>
          <w:b/>
          <w:bCs/>
        </w:rPr>
        <w:t>三、关键审计事项</w:t>
      </w:r>
      <w:r>
        <w:rPr>
          <w:rFonts w:ascii="宋体" w:hAnsi="宋体" w:cs="宋体" w:eastAsia="宋体" w:hint="default"/>
          <w:b/>
          <w:bCs/>
          <w:w w:val="100"/>
        </w:rPr>
        <w:t> </w:t>
      </w:r>
      <w:r>
        <w:rPr>
          <w:spacing w:val="-2"/>
        </w:rPr>
        <w:t>关键审计事项是我们根据职业判断，认为对本年财务报表审计最为重要的事项。这些事项的</w:t>
      </w:r>
    </w:p>
    <w:p>
      <w:pPr>
        <w:pStyle w:val="BodyText"/>
        <w:spacing w:line="355" w:lineRule="auto" w:before="30"/>
        <w:ind w:right="117"/>
        <w:jc w:val="both"/>
      </w:pPr>
      <w:r>
        <w:rPr>
          <w:spacing w:val="-2"/>
        </w:rPr>
        <w:t>应对以对财务报表整体进行审计并形成审计意见为背景，我们不对这些事项单独发表意见。我们</w:t>
      </w:r>
      <w:r>
        <w:rPr>
          <w:spacing w:val="-25"/>
        </w:rPr>
        <w:t> </w:t>
      </w:r>
      <w:r>
        <w:rPr>
          <w:spacing w:val="-25"/>
        </w:rPr>
      </w:r>
      <w:r>
        <w:rPr/>
        <w:t>确定下列事项是需要在审计报告中沟通的关键审计事项。</w:t>
      </w:r>
    </w:p>
    <w:p>
      <w:pPr>
        <w:pStyle w:val="BodyText"/>
        <w:spacing w:line="240" w:lineRule="auto" w:before="32"/>
        <w:ind w:left="558" w:right="0"/>
        <w:jc w:val="left"/>
      </w:pPr>
      <w:r>
        <w:rPr/>
        <w:t>我们在审计中识别出的关键审计事项汇总如下：</w:t>
      </w:r>
    </w:p>
    <w:p>
      <w:pPr>
        <w:pStyle w:val="BodyText"/>
        <w:tabs>
          <w:tab w:pos="1397" w:val="left" w:leader="none"/>
        </w:tabs>
        <w:spacing w:line="357" w:lineRule="auto" w:before="133"/>
        <w:ind w:left="558" w:right="5163"/>
        <w:jc w:val="left"/>
      </w:pPr>
      <w:r>
        <w:rPr/>
        <w:t>（一）</w:t>
        <w:tab/>
      </w:r>
      <w:r>
        <w:rPr>
          <w:spacing w:val="-2"/>
        </w:rPr>
        <w:t>重大资产重组相关会计处理</w:t>
      </w:r>
      <w:r>
        <w:rPr>
          <w:spacing w:val="-82"/>
        </w:rPr>
        <w:t> </w:t>
      </w:r>
      <w:r>
        <w:rPr>
          <w:spacing w:val="-82"/>
        </w:rPr>
      </w:r>
      <w:r>
        <w:rPr>
          <w:rFonts w:ascii="宋体" w:hAnsi="宋体" w:cs="宋体" w:eastAsia="宋体" w:hint="default"/>
        </w:rPr>
        <w:t>1.1</w:t>
      </w:r>
      <w:r>
        <w:rPr>
          <w:rFonts w:ascii="宋体" w:hAnsi="宋体" w:cs="宋体" w:eastAsia="宋体" w:hint="default"/>
          <w:spacing w:val="1"/>
        </w:rPr>
        <w:t> </w:t>
      </w:r>
      <w:r>
        <w:rPr/>
        <w:t>事项描述</w:t>
      </w:r>
    </w:p>
    <w:p>
      <w:pPr>
        <w:pStyle w:val="BodyText"/>
        <w:spacing w:line="357" w:lineRule="auto" w:before="30"/>
        <w:ind w:right="110" w:firstLine="419"/>
        <w:jc w:val="left"/>
      </w:pPr>
      <w:r>
        <w:rPr/>
        <w:t>如财务报表附注（三）“1.2</w:t>
      </w:r>
      <w:r>
        <w:rPr>
          <w:spacing w:val="-57"/>
        </w:rPr>
        <w:t> </w:t>
      </w:r>
      <w:r>
        <w:rPr/>
        <w:t>重大资产出售、置换及发行股份购买资产”所述，根据原江南</w:t>
      </w:r>
      <w:r>
        <w:rPr>
          <w:w w:val="100"/>
        </w:rPr>
        <w:t> </w:t>
      </w:r>
      <w:r>
        <w:rPr>
          <w:spacing w:val="-5"/>
        </w:rPr>
        <w:t>嘉捷电梯股份有限公司（“原江南嘉捷”）第四届董事会第十一次会议及 </w:t>
      </w:r>
      <w:r>
        <w:rPr>
          <w:rFonts w:ascii="宋体" w:hAnsi="宋体" w:cs="宋体" w:eastAsia="宋体" w:hint="default"/>
        </w:rPr>
        <w:t>2017</w:t>
      </w:r>
      <w:r>
        <w:rPr>
          <w:rFonts w:ascii="宋体" w:hAnsi="宋体" w:cs="宋体" w:eastAsia="宋体" w:hint="default"/>
          <w:spacing w:val="-47"/>
        </w:rPr>
        <w:t> </w:t>
      </w:r>
      <w:r>
        <w:rPr/>
        <w:t>年第三次临时股东</w:t>
      </w:r>
    </w:p>
    <w:p>
      <w:pPr>
        <w:spacing w:after="0" w:line="357" w:lineRule="auto"/>
        <w:jc w:val="left"/>
        <w:sectPr>
          <w:type w:val="continuous"/>
          <w:pgSz w:w="11910" w:h="16840"/>
          <w:pgMar w:top="1320" w:bottom="1400" w:left="1660" w:right="1160"/>
        </w:sectPr>
      </w:pPr>
    </w:p>
    <w:p>
      <w:pPr>
        <w:spacing w:line="240" w:lineRule="auto" w:before="7"/>
        <w:rPr>
          <w:rFonts w:ascii="宋体" w:hAnsi="宋体" w:cs="宋体" w:eastAsia="宋体" w:hint="default"/>
          <w:sz w:val="9"/>
          <w:szCs w:val="9"/>
        </w:rPr>
      </w:pPr>
    </w:p>
    <w:p>
      <w:pPr>
        <w:pStyle w:val="BodyText"/>
        <w:spacing w:line="357" w:lineRule="auto" w:before="36"/>
        <w:ind w:right="107"/>
        <w:jc w:val="both"/>
      </w:pPr>
      <w:r>
        <w:rPr>
          <w:spacing w:val="-2"/>
        </w:rPr>
        <w:t>大会审议通过的重组方案，并经中国证券监督管理委员会批准，原江南嘉捷通过重大资产出售、</w:t>
      </w:r>
      <w:r>
        <w:rPr>
          <w:spacing w:val="-25"/>
        </w:rPr>
        <w:t> </w:t>
      </w:r>
      <w:r>
        <w:rPr>
          <w:spacing w:val="-25"/>
        </w:rPr>
      </w:r>
      <w:r>
        <w:rPr>
          <w:spacing w:val="-2"/>
        </w:rPr>
        <w:t>置换和发行股份购买资产的方式对三六零科技有限公司（“三六零科技”）实施重大资产重组。</w:t>
      </w:r>
      <w:r>
        <w:rPr>
          <w:spacing w:val="-25"/>
        </w:rPr>
        <w:t> </w:t>
      </w:r>
      <w:r>
        <w:rPr>
          <w:spacing w:val="-25"/>
        </w:rPr>
      </w:r>
      <w:r>
        <w:rPr>
          <w:spacing w:val="-2"/>
        </w:rPr>
        <w:t>重组完成后，三六零科技成为原江南嘉捷的全资子公司，原江南嘉捷更名为三六零安全科技股份</w:t>
      </w:r>
      <w:r>
        <w:rPr>
          <w:spacing w:val="-25"/>
        </w:rPr>
        <w:t> </w:t>
      </w:r>
      <w:r>
        <w:rPr>
          <w:spacing w:val="-25"/>
        </w:rPr>
      </w:r>
      <w:r>
        <w:rPr/>
        <w:t>有限公司即三六零。截止</w:t>
      </w:r>
      <w:r>
        <w:rPr>
          <w:spacing w:val="-54"/>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日，此次重大资产重组向三六零科技全体股东发行的股</w:t>
      </w:r>
      <w:r>
        <w:rPr>
          <w:w w:val="100"/>
        </w:rPr>
        <w:t> </w:t>
      </w:r>
      <w:r>
        <w:rPr>
          <w:spacing w:val="-3"/>
        </w:rPr>
        <w:t>份已全部发行完毕，三六零科技 </w:t>
      </w:r>
      <w:r>
        <w:rPr>
          <w:rFonts w:ascii="宋体" w:hAnsi="宋体" w:cs="宋体" w:eastAsia="宋体" w:hint="default"/>
          <w:spacing w:val="-3"/>
        </w:rPr>
        <w:t>100%</w:t>
      </w:r>
      <w:r>
        <w:rPr>
          <w:spacing w:val="-3"/>
        </w:rPr>
        <w:t>股权已过户至三六零名下，成为三六零的全资子公司。如附</w:t>
      </w:r>
      <w:r>
        <w:rPr>
          <w:spacing w:val="-78"/>
        </w:rPr>
        <w:t> </w:t>
      </w:r>
      <w:r>
        <w:rPr>
          <w:spacing w:val="-78"/>
        </w:rPr>
      </w:r>
      <w:r>
        <w:rPr>
          <w:spacing w:val="-6"/>
        </w:rPr>
        <w:t>注（五）</w:t>
      </w:r>
      <w:r>
        <w:rPr>
          <w:rFonts w:ascii="宋体" w:hAnsi="宋体" w:cs="宋体" w:eastAsia="宋体" w:hint="default"/>
          <w:spacing w:val="-6"/>
        </w:rPr>
        <w:t>32.2</w:t>
      </w:r>
      <w:r>
        <w:rPr>
          <w:rFonts w:ascii="宋体" w:hAnsi="宋体" w:cs="宋体" w:eastAsia="宋体" w:hint="default"/>
          <w:spacing w:val="39"/>
        </w:rPr>
        <w:t> </w:t>
      </w:r>
      <w:r>
        <w:rPr>
          <w:spacing w:val="-3"/>
        </w:rPr>
        <w:t>“运用会计政策过程中所作的重要判断”所述，由于上述重大资产重组交易属于会</w:t>
      </w:r>
      <w:r>
        <w:rPr>
          <w:spacing w:val="-90"/>
        </w:rPr>
        <w:t> </w:t>
      </w:r>
      <w:r>
        <w:rPr>
          <w:spacing w:val="-90"/>
        </w:rPr>
      </w:r>
      <w:r>
        <w:rPr>
          <w:spacing w:val="-2"/>
        </w:rPr>
        <w:t>计上不构成业务的反向购买，相关会计处理适用原则的确定及相关信息披露涉及重大判断且对财</w:t>
      </w:r>
      <w:r>
        <w:rPr>
          <w:spacing w:val="-25"/>
        </w:rPr>
        <w:t> </w:t>
      </w:r>
      <w:r>
        <w:rPr>
          <w:spacing w:val="-25"/>
        </w:rPr>
      </w:r>
      <w:r>
        <w:rPr/>
        <w:t>务报表具有重大影响，因此我们将重大资产重组相关会计处理识别为关键审计事项。</w:t>
      </w:r>
    </w:p>
    <w:p>
      <w:pPr>
        <w:pStyle w:val="BodyText"/>
        <w:spacing w:line="355" w:lineRule="auto" w:before="31"/>
        <w:ind w:left="558" w:right="2009"/>
        <w:jc w:val="left"/>
      </w:pPr>
      <w:r>
        <w:rPr>
          <w:rFonts w:ascii="宋体" w:hAnsi="宋体" w:cs="宋体" w:eastAsia="宋体" w:hint="default"/>
        </w:rPr>
        <w:t>1.2 </w:t>
      </w:r>
      <w:r>
        <w:rPr/>
        <w:t>审计应对</w:t>
      </w:r>
      <w:r>
        <w:rPr>
          <w:spacing w:val="-104"/>
        </w:rPr>
        <w:t> </w:t>
      </w:r>
      <w:r>
        <w:rPr>
          <w:spacing w:val="-104"/>
        </w:rPr>
      </w:r>
      <w:r>
        <w:rPr>
          <w:spacing w:val="-2"/>
        </w:rPr>
        <w:t>我们针对重大资产重组相关会计处理执行的审计程序主要包括：</w:t>
      </w:r>
    </w:p>
    <w:p>
      <w:pPr>
        <w:pStyle w:val="BodyText"/>
        <w:spacing w:line="355" w:lineRule="auto" w:before="34"/>
        <w:ind w:right="122" w:firstLine="419"/>
        <w:jc w:val="both"/>
      </w:pPr>
      <w:r>
        <w:rPr>
          <w:rFonts w:ascii="宋体" w:hAnsi="宋体" w:cs="宋体" w:eastAsia="宋体" w:hint="default"/>
        </w:rPr>
        <w:t>(1)</w:t>
      </w:r>
      <w:r>
        <w:rPr>
          <w:rFonts w:ascii="宋体" w:hAnsi="宋体" w:cs="宋体" w:eastAsia="宋体" w:hint="default"/>
          <w:spacing w:val="-8"/>
        </w:rPr>
        <w:t> </w:t>
      </w:r>
      <w:r>
        <w:rPr/>
        <w:t>与三六零管理层</w:t>
      </w:r>
      <w:r>
        <w:rPr>
          <w:rFonts w:ascii="宋体" w:hAnsi="宋体" w:cs="宋体" w:eastAsia="宋体" w:hint="default"/>
        </w:rPr>
        <w:t>(</w:t>
      </w:r>
      <w:r>
        <w:rPr/>
        <w:t>以下简称“管理层”)和其他中介机构进行讨论，了解重大资产重组的</w:t>
      </w:r>
      <w:r>
        <w:rPr>
          <w:w w:val="100"/>
        </w:rPr>
        <w:t> </w:t>
      </w:r>
      <w:r>
        <w:rPr/>
        <w:t>具体交易情况，包括重大资产重组的相关审批手续、重组的具体方案及实施情况等；</w:t>
      </w:r>
    </w:p>
    <w:p>
      <w:pPr>
        <w:pStyle w:val="BodyText"/>
        <w:spacing w:line="355" w:lineRule="auto" w:before="32"/>
        <w:ind w:right="117" w:firstLine="419"/>
        <w:jc w:val="both"/>
      </w:pPr>
      <w:r>
        <w:rPr>
          <w:rFonts w:ascii="宋体" w:hAnsi="宋体" w:cs="宋体" w:eastAsia="宋体" w:hint="default"/>
        </w:rPr>
        <w:t>(2)</w:t>
      </w:r>
      <w:r>
        <w:rPr>
          <w:rFonts w:ascii="宋体" w:hAnsi="宋体" w:cs="宋体" w:eastAsia="宋体" w:hint="default"/>
          <w:spacing w:val="-3"/>
        </w:rPr>
        <w:t> </w:t>
      </w:r>
      <w:r>
        <w:rPr/>
        <w:t>复核重大资产重组涉及的董事会、股东会相关议案和决议以及中国证监会的核准文件及</w:t>
      </w:r>
      <w:r>
        <w:rPr>
          <w:w w:val="100"/>
        </w:rPr>
        <w:t> </w:t>
      </w:r>
      <w:r>
        <w:rPr/>
        <w:t>相关公告，评价重大资产重组交易的合规情况；</w:t>
      </w:r>
    </w:p>
    <w:p>
      <w:pPr>
        <w:pStyle w:val="BodyText"/>
        <w:spacing w:line="357" w:lineRule="auto" w:before="32"/>
        <w:ind w:right="117" w:firstLine="419"/>
        <w:jc w:val="both"/>
      </w:pPr>
      <w:r>
        <w:rPr>
          <w:rFonts w:ascii="宋体" w:hAnsi="宋体" w:cs="宋体" w:eastAsia="宋体" w:hint="default"/>
        </w:rPr>
        <w:t>(3)</w:t>
      </w:r>
      <w:r>
        <w:rPr>
          <w:rFonts w:ascii="宋体" w:hAnsi="宋体" w:cs="宋体" w:eastAsia="宋体" w:hint="default"/>
          <w:spacing w:val="-3"/>
        </w:rPr>
        <w:t> </w:t>
      </w:r>
      <w:r>
        <w:rPr/>
        <w:t>分析交易实质，依据企业会计准则及其相关规定，复核管理层将该交易认定为不构成业</w:t>
      </w:r>
      <w:r>
        <w:rPr>
          <w:w w:val="100"/>
        </w:rPr>
        <w:t> </w:t>
      </w:r>
      <w:r>
        <w:rPr/>
        <w:t>务的反向购买并采用权益性交易原则进行相关会计处理的适当性；</w:t>
      </w:r>
    </w:p>
    <w:p>
      <w:pPr>
        <w:pStyle w:val="BodyText"/>
        <w:spacing w:line="355" w:lineRule="auto" w:before="30"/>
        <w:ind w:right="117" w:firstLine="419"/>
        <w:jc w:val="both"/>
      </w:pPr>
      <w:r>
        <w:rPr>
          <w:rFonts w:ascii="宋体" w:hAnsi="宋体" w:cs="宋体" w:eastAsia="宋体" w:hint="default"/>
        </w:rPr>
        <w:t>(4)</w:t>
      </w:r>
      <w:r>
        <w:rPr>
          <w:rFonts w:ascii="宋体" w:hAnsi="宋体" w:cs="宋体" w:eastAsia="宋体" w:hint="default"/>
          <w:spacing w:val="-3"/>
        </w:rPr>
        <w:t> </w:t>
      </w:r>
      <w:r>
        <w:rPr/>
        <w:t>复核管理层对出售资产确认的投资损益以及合并及公司财务报表中对发行股份购买资产</w:t>
      </w:r>
      <w:r>
        <w:rPr>
          <w:w w:val="100"/>
        </w:rPr>
        <w:t> </w:t>
      </w:r>
      <w:r>
        <w:rPr/>
        <w:t>确认的资本溢价等会计处理的适当性；</w:t>
      </w:r>
    </w:p>
    <w:p>
      <w:pPr>
        <w:pStyle w:val="BodyText"/>
        <w:spacing w:line="355" w:lineRule="auto" w:before="32"/>
        <w:ind w:right="107" w:firstLine="419"/>
        <w:jc w:val="both"/>
      </w:pPr>
      <w:r>
        <w:rPr>
          <w:rFonts w:ascii="宋体" w:hAnsi="宋体" w:cs="宋体" w:eastAsia="宋体" w:hint="default"/>
          <w:w w:val="100"/>
        </w:rPr>
        <w:t>(5)</w:t>
      </w:r>
      <w:r>
        <w:rPr>
          <w:rFonts w:ascii="宋体" w:hAnsi="宋体" w:cs="宋体" w:eastAsia="宋体" w:hint="default"/>
          <w:spacing w:val="7"/>
          <w:w w:val="100"/>
        </w:rPr>
        <w:t> </w:t>
      </w:r>
      <w:r>
        <w:rPr>
          <w:spacing w:val="-5"/>
          <w:w w:val="100"/>
        </w:rPr>
        <w:t>按照权益性交易的会计处理原则，复核管理层重大资产重组交易下</w:t>
      </w:r>
      <w:r>
        <w:rPr>
          <w:spacing w:val="-49"/>
          <w:w w:val="100"/>
        </w:rPr>
        <w:t> </w:t>
      </w:r>
      <w:r>
        <w:rPr>
          <w:rFonts w:ascii="宋体" w:hAnsi="宋体" w:cs="宋体" w:eastAsia="宋体" w:hint="default"/>
          <w:spacing w:val="-1"/>
          <w:w w:val="100"/>
        </w:rPr>
        <w:t>2018</w:t>
      </w:r>
      <w:r>
        <w:rPr>
          <w:rFonts w:ascii="宋体" w:hAnsi="宋体" w:cs="宋体" w:eastAsia="宋体" w:hint="default"/>
          <w:spacing w:val="-51"/>
          <w:w w:val="100"/>
        </w:rPr>
        <w:t> </w:t>
      </w:r>
      <w:r>
        <w:rPr>
          <w:spacing w:val="-2"/>
          <w:w w:val="100"/>
        </w:rPr>
        <w:t>年度合并财务报</w:t>
      </w:r>
      <w:r>
        <w:rPr>
          <w:w w:val="100"/>
        </w:rPr>
        <w:t> </w:t>
      </w:r>
      <w:r>
        <w:rPr/>
        <w:t>表（包括年初数和上年比较数）编制的正确性；</w:t>
      </w:r>
    </w:p>
    <w:p>
      <w:pPr>
        <w:pStyle w:val="BodyText"/>
        <w:spacing w:line="240" w:lineRule="auto" w:before="34"/>
        <w:ind w:left="558" w:right="0"/>
        <w:jc w:val="left"/>
      </w:pPr>
      <w:r>
        <w:rPr>
          <w:rFonts w:ascii="宋体" w:hAnsi="宋体" w:cs="宋体" w:eastAsia="宋体" w:hint="default"/>
        </w:rPr>
        <w:t>(6)</w:t>
      </w:r>
      <w:r>
        <w:rPr>
          <w:rFonts w:ascii="宋体" w:hAnsi="宋体" w:cs="宋体" w:eastAsia="宋体" w:hint="default"/>
          <w:spacing w:val="-2"/>
        </w:rPr>
        <w:t> </w:t>
      </w:r>
      <w:r>
        <w:rPr/>
        <w:t>复核管理层对重大资产重组交易相关财务信息披露的充分性和准确性。</w:t>
      </w:r>
    </w:p>
    <w:p>
      <w:pPr>
        <w:pStyle w:val="BodyText"/>
        <w:tabs>
          <w:tab w:pos="1083" w:val="left" w:leader="none"/>
          <w:tab w:pos="1397" w:val="left" w:leader="none"/>
        </w:tabs>
        <w:spacing w:line="355" w:lineRule="auto" w:before="133"/>
        <w:ind w:left="558" w:right="4952"/>
        <w:jc w:val="left"/>
      </w:pPr>
      <w:r>
        <w:rPr/>
        <w:t>（二）</w:t>
        <w:tab/>
      </w:r>
      <w:r>
        <w:rPr>
          <w:spacing w:val="-2"/>
        </w:rPr>
        <w:t>互联网广告及服务收入的确认</w:t>
      </w:r>
      <w:r>
        <w:rPr>
          <w:spacing w:val="-79"/>
        </w:rPr>
        <w:t> </w:t>
      </w:r>
      <w:r>
        <w:rPr>
          <w:spacing w:val="-79"/>
        </w:rPr>
      </w:r>
      <w:r>
        <w:rPr>
          <w:rFonts w:ascii="宋体" w:hAnsi="宋体" w:cs="宋体" w:eastAsia="宋体" w:hint="default"/>
        </w:rPr>
        <w:t>2.1</w:t>
        <w:tab/>
      </w:r>
      <w:r>
        <w:rPr/>
        <w:t>事项描述</w:t>
      </w:r>
    </w:p>
    <w:p>
      <w:pPr>
        <w:pStyle w:val="BodyText"/>
        <w:spacing w:line="357" w:lineRule="auto" w:before="32"/>
        <w:ind w:right="117" w:firstLine="419"/>
        <w:jc w:val="both"/>
      </w:pPr>
      <w:r>
        <w:rPr/>
        <w:t>如附注</w:t>
      </w:r>
      <w:r>
        <w:rPr>
          <w:rFonts w:ascii="宋体" w:hAnsi="宋体" w:cs="宋体" w:eastAsia="宋体" w:hint="default"/>
        </w:rPr>
        <w:t>(</w:t>
      </w:r>
      <w:r>
        <w:rPr/>
        <w:t>七</w:t>
      </w:r>
      <w:r>
        <w:rPr>
          <w:rFonts w:ascii="宋体" w:hAnsi="宋体" w:cs="宋体" w:eastAsia="宋体" w:hint="default"/>
        </w:rPr>
        <w:t>)52 </w:t>
      </w:r>
      <w:r>
        <w:rPr/>
        <w:t>所述，</w:t>
      </w:r>
      <w:r>
        <w:rPr>
          <w:spacing w:val="-55"/>
        </w:rPr>
        <w:t> </w:t>
      </w:r>
      <w:r>
        <w:rPr/>
        <w:t>三六零的收入主要来源于互联网广告及服务、互联网增值和智能硬件</w:t>
      </w:r>
      <w:r>
        <w:rPr>
          <w:w w:val="100"/>
        </w:rPr>
        <w:t> </w:t>
      </w:r>
      <w:r>
        <w:rPr/>
        <w:t>销售收入。其中互联网广告及服务</w:t>
      </w:r>
      <w:r>
        <w:rPr>
          <w:spacing w:val="-55"/>
        </w:rPr>
        <w:t> </w:t>
      </w:r>
      <w:r>
        <w:rPr>
          <w:rFonts w:ascii="宋体" w:hAnsi="宋体" w:cs="宋体" w:eastAsia="宋体" w:hint="default"/>
        </w:rPr>
        <w:t>2018</w:t>
      </w:r>
      <w:r>
        <w:rPr>
          <w:rFonts w:ascii="宋体" w:hAnsi="宋体" w:cs="宋体" w:eastAsia="宋体" w:hint="default"/>
          <w:spacing w:val="-57"/>
        </w:rPr>
        <w:t> </w:t>
      </w:r>
      <w:r>
        <w:rPr/>
        <w:t>年度实现收入人民币</w:t>
      </w:r>
      <w:r>
        <w:rPr>
          <w:spacing w:val="-55"/>
        </w:rPr>
        <w:t> </w:t>
      </w:r>
      <w:r>
        <w:rPr>
          <w:rFonts w:ascii="宋体" w:hAnsi="宋体" w:cs="宋体" w:eastAsia="宋体" w:hint="default"/>
        </w:rPr>
        <w:t>10,658,293</w:t>
      </w:r>
      <w:r>
        <w:rPr>
          <w:rFonts w:ascii="宋体" w:hAnsi="宋体" w:cs="宋体" w:eastAsia="宋体" w:hint="default"/>
          <w:spacing w:val="-55"/>
        </w:rPr>
        <w:t> </w:t>
      </w:r>
      <w:r>
        <w:rPr/>
        <w:t>千元，占比重大，是三</w:t>
      </w:r>
      <w:r>
        <w:rPr>
          <w:w w:val="100"/>
        </w:rPr>
        <w:t> </w:t>
      </w:r>
      <w:r>
        <w:rPr>
          <w:spacing w:val="-2"/>
        </w:rPr>
        <w:t>六零利润的主要来源，影响关键业绩指标。互联网广告及服务业务模式具有客户数量众多、交易</w:t>
      </w:r>
      <w:r>
        <w:rPr>
          <w:spacing w:val="-26"/>
        </w:rPr>
        <w:t> </w:t>
      </w:r>
      <w:r>
        <w:rPr>
          <w:spacing w:val="-26"/>
        </w:rPr>
      </w:r>
      <w:r>
        <w:rPr>
          <w:spacing w:val="-2"/>
        </w:rPr>
        <w:t>量大、高度依赖信息系统的特点，产生错报的固有风险较高。因此，我们将互联网广告及服务收</w:t>
      </w:r>
      <w:r>
        <w:rPr>
          <w:spacing w:val="-25"/>
        </w:rPr>
        <w:t> </w:t>
      </w:r>
      <w:r>
        <w:rPr>
          <w:spacing w:val="-25"/>
        </w:rPr>
      </w:r>
      <w:r>
        <w:rPr/>
        <w:t>入确认作为关键审计事项。</w:t>
      </w:r>
    </w:p>
    <w:p>
      <w:pPr>
        <w:pStyle w:val="BodyText"/>
        <w:tabs>
          <w:tab w:pos="1083" w:val="left" w:leader="none"/>
        </w:tabs>
        <w:spacing w:line="357" w:lineRule="auto" w:before="30"/>
        <w:ind w:left="558" w:right="2429"/>
        <w:jc w:val="left"/>
      </w:pPr>
      <w:r>
        <w:rPr>
          <w:rFonts w:ascii="宋体" w:hAnsi="宋体" w:cs="宋体" w:eastAsia="宋体" w:hint="default"/>
        </w:rPr>
        <w:t>2.2</w:t>
        <w:tab/>
      </w:r>
      <w:r>
        <w:rPr/>
        <w:t>审计应对</w:t>
      </w:r>
      <w:r>
        <w:rPr>
          <w:w w:val="100"/>
        </w:rPr>
        <w:t> </w:t>
      </w:r>
      <w:r>
        <w:rPr>
          <w:spacing w:val="-2"/>
        </w:rPr>
        <w:t>我们针对互联网广告及服务收入的确认执行的审计程序主要包括：</w:t>
      </w:r>
    </w:p>
    <w:p>
      <w:pPr>
        <w:pStyle w:val="BodyText"/>
        <w:spacing w:line="355" w:lineRule="auto" w:before="30"/>
        <w:ind w:right="117" w:firstLine="419"/>
        <w:jc w:val="both"/>
      </w:pPr>
      <w:r>
        <w:rPr>
          <w:rFonts w:ascii="宋体" w:hAnsi="宋体" w:cs="宋体" w:eastAsia="宋体" w:hint="default"/>
        </w:rPr>
        <w:t>(1)</w:t>
      </w:r>
      <w:r>
        <w:rPr>
          <w:rFonts w:ascii="宋体" w:hAnsi="宋体" w:cs="宋体" w:eastAsia="宋体" w:hint="default"/>
          <w:spacing w:val="-3"/>
        </w:rPr>
        <w:t> </w:t>
      </w:r>
      <w:r>
        <w:rPr/>
        <w:t>测试和评价与互联网广告及服务收入确认相关的关键内部控制，包括信息系统一般控制</w:t>
      </w:r>
      <w:r>
        <w:rPr>
          <w:w w:val="100"/>
        </w:rPr>
        <w:t> </w:t>
      </w:r>
      <w:r>
        <w:rPr/>
        <w:t>和应用系统控制的有效性；</w:t>
      </w:r>
    </w:p>
    <w:p>
      <w:pPr>
        <w:pStyle w:val="BodyText"/>
        <w:spacing w:line="357" w:lineRule="auto" w:before="32"/>
        <w:ind w:right="117" w:firstLine="419"/>
        <w:jc w:val="both"/>
      </w:pPr>
      <w:r>
        <w:rPr>
          <w:rFonts w:ascii="宋体" w:hAnsi="宋体" w:cs="宋体" w:eastAsia="宋体" w:hint="default"/>
        </w:rPr>
        <w:t>(2)</w:t>
      </w:r>
      <w:r>
        <w:rPr>
          <w:rFonts w:ascii="宋体" w:hAnsi="宋体" w:cs="宋体" w:eastAsia="宋体" w:hint="default"/>
          <w:spacing w:val="-3"/>
        </w:rPr>
        <w:t> </w:t>
      </w:r>
      <w:r>
        <w:rPr/>
        <w:t>对相关收入和毛利率执行分析性复核程序，比较分析该类收入本年与上年收入及毛利率</w:t>
      </w:r>
      <w:r>
        <w:rPr>
          <w:w w:val="100"/>
        </w:rPr>
        <w:t> </w:t>
      </w:r>
      <w:r>
        <w:rPr/>
        <w:t>的变动趋势及其合理性；</w:t>
      </w:r>
    </w:p>
    <w:p>
      <w:pPr>
        <w:spacing w:after="0" w:line="357" w:lineRule="auto"/>
        <w:jc w:val="both"/>
        <w:sectPr>
          <w:pgSz w:w="11910" w:h="16840"/>
          <w:pgMar w:header="855" w:footer="1217" w:top="1320" w:bottom="1400" w:left="1660" w:right="1160"/>
        </w:sectPr>
      </w:pPr>
    </w:p>
    <w:p>
      <w:pPr>
        <w:spacing w:line="240" w:lineRule="auto" w:before="7"/>
        <w:rPr>
          <w:rFonts w:ascii="宋体" w:hAnsi="宋体" w:cs="宋体" w:eastAsia="宋体" w:hint="default"/>
          <w:sz w:val="9"/>
          <w:szCs w:val="9"/>
        </w:rPr>
      </w:pPr>
    </w:p>
    <w:p>
      <w:pPr>
        <w:pStyle w:val="BodyText"/>
        <w:spacing w:line="357" w:lineRule="auto" w:before="36"/>
        <w:ind w:left="558" w:right="0"/>
        <w:jc w:val="left"/>
      </w:pPr>
      <w:r>
        <w:rPr>
          <w:rFonts w:ascii="宋体" w:hAnsi="宋体" w:cs="宋体" w:eastAsia="宋体" w:hint="default"/>
        </w:rPr>
        <w:t>(3)</w:t>
      </w:r>
      <w:r>
        <w:rPr>
          <w:rFonts w:ascii="宋体" w:hAnsi="宋体" w:cs="宋体" w:eastAsia="宋体" w:hint="default"/>
          <w:spacing w:val="-2"/>
        </w:rPr>
        <w:t> </w:t>
      </w:r>
      <w:r>
        <w:rPr/>
        <w:t>对需经双方确认具体结算数量的互联网广告及服务收入：</w:t>
      </w:r>
      <w:r>
        <w:rPr>
          <w:w w:val="100"/>
        </w:rPr>
        <w:t> </w:t>
      </w:r>
      <w:r>
        <w:rPr>
          <w:spacing w:val="-2"/>
        </w:rPr>
        <w:t>获取系统充值记录并从中抽取样本检查充值日期、金额、付款方式及账号信息，追查至银行</w:t>
      </w:r>
    </w:p>
    <w:p>
      <w:pPr>
        <w:pStyle w:val="BodyText"/>
        <w:spacing w:line="355" w:lineRule="auto" w:before="30"/>
        <w:ind w:left="558" w:right="0" w:hanging="420"/>
        <w:jc w:val="left"/>
      </w:pPr>
      <w:r>
        <w:rPr/>
        <w:t>水单或第三方支付渠道充值记录，检查充值金额的真实性；</w:t>
      </w:r>
      <w:r>
        <w:rPr>
          <w:w w:val="100"/>
        </w:rPr>
        <w:t> </w:t>
      </w:r>
      <w:r>
        <w:rPr>
          <w:spacing w:val="-2"/>
        </w:rPr>
        <w:t>利用数据分析专家，对系统中导出的消耗数据的变动趋势进行分析，识别异常交易数据，并</w:t>
      </w:r>
    </w:p>
    <w:p>
      <w:pPr>
        <w:pStyle w:val="BodyText"/>
        <w:spacing w:line="240" w:lineRule="auto" w:before="32"/>
        <w:ind w:right="0"/>
        <w:jc w:val="both"/>
      </w:pPr>
      <w:r>
        <w:rPr/>
        <w:t>调查异常交易数据的性质及原因。</w:t>
      </w:r>
    </w:p>
    <w:p>
      <w:pPr>
        <w:pStyle w:val="BodyText"/>
        <w:spacing w:line="357" w:lineRule="auto" w:before="133"/>
        <w:ind w:left="558" w:right="0"/>
        <w:jc w:val="left"/>
      </w:pPr>
      <w:r>
        <w:rPr>
          <w:rFonts w:ascii="宋体" w:hAnsi="宋体" w:cs="宋体" w:eastAsia="宋体" w:hint="default"/>
        </w:rPr>
        <w:t>(4)</w:t>
      </w:r>
      <w:r>
        <w:rPr>
          <w:rFonts w:ascii="宋体" w:hAnsi="宋体" w:cs="宋体" w:eastAsia="宋体" w:hint="default"/>
          <w:spacing w:val="-2"/>
        </w:rPr>
        <w:t> </w:t>
      </w:r>
      <w:r>
        <w:rPr/>
        <w:t>对固定费用结算的互联网广告及服务收入：</w:t>
      </w:r>
      <w:r>
        <w:rPr>
          <w:w w:val="100"/>
        </w:rPr>
        <w:t> </w:t>
      </w:r>
      <w:r>
        <w:rPr>
          <w:spacing w:val="-2"/>
        </w:rPr>
        <w:t>抽取样本，按照合同期间及合同金额进行重新计算，并与账面相关期间确认的收入金额进行</w:t>
      </w:r>
    </w:p>
    <w:p>
      <w:pPr>
        <w:pStyle w:val="BodyText"/>
        <w:spacing w:line="240" w:lineRule="auto" w:before="30"/>
        <w:ind w:right="0"/>
        <w:jc w:val="both"/>
      </w:pPr>
      <w:r>
        <w:rPr/>
        <w:t>核对；</w:t>
      </w:r>
    </w:p>
    <w:p>
      <w:pPr>
        <w:pStyle w:val="BodyText"/>
        <w:spacing w:line="355" w:lineRule="auto" w:before="133"/>
        <w:ind w:left="558" w:right="1577"/>
        <w:jc w:val="left"/>
      </w:pPr>
      <w:r>
        <w:rPr>
          <w:spacing w:val="-2"/>
        </w:rPr>
        <w:t>检查广告上线记录、银行流水及第三方支付渠道交易记录等支持性证据。</w:t>
      </w:r>
      <w:r>
        <w:rPr>
          <w:spacing w:val="-45"/>
        </w:rPr>
        <w:t> </w:t>
      </w:r>
      <w:r>
        <w:rPr>
          <w:spacing w:val="-45"/>
        </w:rPr>
      </w:r>
      <w:r>
        <w:rPr>
          <w:rFonts w:ascii="宋体" w:hAnsi="宋体" w:cs="宋体" w:eastAsia="宋体" w:hint="default"/>
        </w:rPr>
        <w:t>(5)</w:t>
      </w:r>
      <w:r>
        <w:rPr>
          <w:rFonts w:ascii="宋体" w:hAnsi="宋体" w:cs="宋体" w:eastAsia="宋体" w:hint="default"/>
          <w:spacing w:val="-1"/>
        </w:rPr>
        <w:t> </w:t>
      </w:r>
      <w:r>
        <w:rPr/>
        <w:t>针对关联方客户和主要非关联方客户执行收入函证程序；</w:t>
      </w:r>
    </w:p>
    <w:p>
      <w:pPr>
        <w:pStyle w:val="BodyText"/>
        <w:spacing w:line="240" w:lineRule="auto" w:before="34"/>
        <w:ind w:left="558" w:right="0"/>
        <w:jc w:val="left"/>
      </w:pPr>
      <w:r>
        <w:rPr>
          <w:rFonts w:ascii="宋体" w:hAnsi="宋体" w:cs="宋体" w:eastAsia="宋体" w:hint="default"/>
        </w:rPr>
        <w:t>(6)</w:t>
      </w:r>
      <w:r>
        <w:rPr>
          <w:rFonts w:ascii="宋体" w:hAnsi="宋体" w:cs="宋体" w:eastAsia="宋体" w:hint="default"/>
          <w:spacing w:val="-1"/>
        </w:rPr>
        <w:t> </w:t>
      </w:r>
      <w:r>
        <w:rPr/>
        <w:t>从全年主要或本年新增的客户中选取样本执行实地访谈程序。</w:t>
      </w:r>
    </w:p>
    <w:p>
      <w:pPr>
        <w:pStyle w:val="BodyText"/>
        <w:tabs>
          <w:tab w:pos="1083" w:val="left" w:leader="none"/>
          <w:tab w:pos="1397" w:val="left" w:leader="none"/>
        </w:tabs>
        <w:spacing w:line="355" w:lineRule="auto" w:before="133"/>
        <w:ind w:left="558" w:right="4741"/>
        <w:jc w:val="left"/>
      </w:pPr>
      <w:r>
        <w:rPr/>
        <w:t>（三）</w:t>
        <w:tab/>
      </w:r>
      <w:r>
        <w:rPr>
          <w:spacing w:val="-2"/>
        </w:rPr>
        <w:t>货币资金的存在及受限信息披露</w:t>
      </w:r>
      <w:r>
        <w:rPr>
          <w:spacing w:val="-76"/>
        </w:rPr>
        <w:t> </w:t>
      </w:r>
      <w:r>
        <w:rPr>
          <w:spacing w:val="-76"/>
        </w:rPr>
      </w:r>
      <w:r>
        <w:rPr>
          <w:rFonts w:ascii="宋体" w:hAnsi="宋体" w:cs="宋体" w:eastAsia="宋体" w:hint="default"/>
        </w:rPr>
        <w:t>3.1</w:t>
        <w:tab/>
      </w:r>
      <w:r>
        <w:rPr/>
        <w:t>事项描述</w:t>
      </w:r>
    </w:p>
    <w:p>
      <w:pPr>
        <w:pStyle w:val="BodyText"/>
        <w:spacing w:line="240" w:lineRule="auto" w:before="32"/>
        <w:ind w:left="558" w:right="0"/>
        <w:jc w:val="left"/>
      </w:pPr>
      <w:r>
        <w:rPr/>
        <w:t>如财务报表附注</w:t>
      </w:r>
      <w:r>
        <w:rPr>
          <w:rFonts w:ascii="宋体" w:hAnsi="宋体" w:cs="宋体" w:eastAsia="宋体" w:hint="default"/>
        </w:rPr>
        <w:t>(</w:t>
      </w:r>
      <w:r>
        <w:rPr/>
        <w:t>七</w:t>
      </w:r>
      <w:r>
        <w:rPr>
          <w:rFonts w:ascii="宋体" w:hAnsi="宋体" w:cs="宋体" w:eastAsia="宋体" w:hint="default"/>
        </w:rPr>
        <w:t>)1</w:t>
      </w:r>
      <w:r>
        <w:rPr>
          <w:rFonts w:ascii="宋体" w:hAnsi="宋体" w:cs="宋体" w:eastAsia="宋体" w:hint="default"/>
          <w:spacing w:val="-53"/>
        </w:rPr>
        <w:t> </w:t>
      </w:r>
      <w:r>
        <w:rPr/>
        <w:t>所述，截至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日，三六零货币资金的余额为人民币</w:t>
      </w:r>
    </w:p>
    <w:p>
      <w:pPr>
        <w:pStyle w:val="BodyText"/>
        <w:spacing w:line="357" w:lineRule="auto" w:before="133"/>
        <w:ind w:right="117"/>
        <w:jc w:val="both"/>
      </w:pPr>
      <w:r>
        <w:rPr>
          <w:rFonts w:ascii="宋体" w:hAnsi="宋体" w:cs="宋体" w:eastAsia="宋体" w:hint="default"/>
        </w:rPr>
        <w:t>14,976,988</w:t>
      </w:r>
      <w:r>
        <w:rPr>
          <w:rFonts w:ascii="宋体" w:hAnsi="宋体" w:cs="宋体" w:eastAsia="宋体" w:hint="default"/>
          <w:spacing w:val="-56"/>
        </w:rPr>
        <w:t> </w:t>
      </w:r>
      <w:r>
        <w:rPr/>
        <w:t>千元，占流动资产的</w:t>
      </w:r>
      <w:r>
        <w:rPr>
          <w:spacing w:val="-55"/>
        </w:rPr>
        <w:t> </w:t>
      </w:r>
      <w:r>
        <w:rPr>
          <w:rFonts w:ascii="宋体" w:hAnsi="宋体" w:cs="宋体" w:eastAsia="宋体" w:hint="default"/>
        </w:rPr>
        <w:t>81%</w:t>
      </w:r>
      <w:r>
        <w:rPr/>
        <w:t>，对财务报表具有重要性。同时由于此类流动资产易于用作</w:t>
      </w:r>
      <w:r>
        <w:rPr>
          <w:w w:val="100"/>
        </w:rPr>
        <w:t> </w:t>
      </w:r>
      <w:r>
        <w:rPr>
          <w:spacing w:val="-2"/>
        </w:rPr>
        <w:t>质押从而导致其流动性受限，相关受限信息披露的准确性和完整性存在较高的重大错报风险。因</w:t>
      </w:r>
      <w:r>
        <w:rPr>
          <w:spacing w:val="-25"/>
        </w:rPr>
        <w:t> </w:t>
      </w:r>
      <w:r>
        <w:rPr>
          <w:spacing w:val="-25"/>
        </w:rPr>
      </w:r>
      <w:r>
        <w:rPr/>
        <w:t>此，我们将货币资金的存在及受限信息披露识别为关键审计事项。</w:t>
      </w:r>
    </w:p>
    <w:p>
      <w:pPr>
        <w:pStyle w:val="BodyText"/>
        <w:tabs>
          <w:tab w:pos="1083" w:val="left" w:leader="none"/>
        </w:tabs>
        <w:spacing w:line="355" w:lineRule="auto" w:before="30"/>
        <w:ind w:left="558" w:right="2220"/>
        <w:jc w:val="left"/>
      </w:pPr>
      <w:r>
        <w:rPr>
          <w:rFonts w:ascii="宋体" w:hAnsi="宋体" w:cs="宋体" w:eastAsia="宋体" w:hint="default"/>
        </w:rPr>
        <w:t>3.2</w:t>
        <w:tab/>
      </w:r>
      <w:r>
        <w:rPr/>
        <w:t>审计应对</w:t>
      </w:r>
      <w:r>
        <w:rPr>
          <w:w w:val="100"/>
        </w:rPr>
        <w:t> </w:t>
      </w:r>
      <w:r>
        <w:rPr>
          <w:spacing w:val="-2"/>
        </w:rPr>
        <w:t>我们针对货币资金的存在及受限信息披露执行的审计程序主要包括：</w:t>
      </w:r>
    </w:p>
    <w:p>
      <w:pPr>
        <w:pStyle w:val="BodyText"/>
        <w:spacing w:line="240" w:lineRule="auto" w:before="32"/>
        <w:ind w:left="558" w:right="0"/>
        <w:jc w:val="left"/>
      </w:pPr>
      <w:r>
        <w:rPr>
          <w:rFonts w:ascii="宋体" w:hAnsi="宋体" w:cs="宋体" w:eastAsia="宋体" w:hint="default"/>
        </w:rPr>
        <w:t>(1)</w:t>
      </w:r>
      <w:r>
        <w:rPr>
          <w:rFonts w:ascii="宋体" w:hAnsi="宋体" w:cs="宋体" w:eastAsia="宋体" w:hint="default"/>
          <w:spacing w:val="-2"/>
        </w:rPr>
        <w:t> </w:t>
      </w:r>
      <w:r>
        <w:rPr/>
        <w:t>测试与货币资金的存在及受限信息披露相关的关键内部控制的有效性；</w:t>
      </w:r>
    </w:p>
    <w:p>
      <w:pPr>
        <w:pStyle w:val="BodyText"/>
        <w:spacing w:line="355" w:lineRule="auto" w:before="135"/>
        <w:ind w:right="112" w:firstLine="419"/>
        <w:jc w:val="left"/>
      </w:pPr>
      <w:r>
        <w:rPr>
          <w:rFonts w:ascii="宋体" w:hAnsi="宋体" w:cs="宋体" w:eastAsia="宋体" w:hint="default"/>
        </w:rPr>
        <w:t>(2)</w:t>
      </w:r>
      <w:r>
        <w:rPr>
          <w:rFonts w:ascii="宋体" w:hAnsi="宋体" w:cs="宋体" w:eastAsia="宋体" w:hint="default"/>
          <w:spacing w:val="-3"/>
        </w:rPr>
        <w:t> </w:t>
      </w:r>
      <w:r>
        <w:rPr/>
        <w:t>获取银行账户对账单，并与账面余额进行核对，针对存在差异的项目，获取银行存款余</w:t>
      </w:r>
      <w:r>
        <w:rPr>
          <w:w w:val="100"/>
        </w:rPr>
        <w:t> </w:t>
      </w:r>
      <w:r>
        <w:rPr/>
        <w:t>额调节表，了解调节项的性质，并对重大调节项进行测试；</w:t>
      </w:r>
    </w:p>
    <w:p>
      <w:pPr>
        <w:pStyle w:val="BodyText"/>
        <w:spacing w:line="240" w:lineRule="auto" w:before="32"/>
        <w:ind w:left="558" w:right="0"/>
        <w:jc w:val="left"/>
      </w:pPr>
      <w:r>
        <w:rPr>
          <w:rFonts w:ascii="宋体" w:hAnsi="宋体" w:cs="宋体" w:eastAsia="宋体" w:hint="default"/>
        </w:rPr>
        <w:t>(3)</w:t>
      </w:r>
      <w:r>
        <w:rPr>
          <w:rFonts w:ascii="宋体" w:hAnsi="宋体" w:cs="宋体" w:eastAsia="宋体" w:hint="default"/>
          <w:spacing w:val="-1"/>
        </w:rPr>
        <w:t> </w:t>
      </w:r>
      <w:r>
        <w:rPr/>
        <w:t>执行银行函证程序，包括函证质押担保信息；</w:t>
      </w:r>
    </w:p>
    <w:p>
      <w:pPr>
        <w:pStyle w:val="BodyText"/>
        <w:spacing w:line="360" w:lineRule="auto" w:before="133"/>
        <w:ind w:right="112" w:firstLine="419"/>
        <w:jc w:val="left"/>
      </w:pPr>
      <w:r>
        <w:rPr>
          <w:rFonts w:ascii="宋体" w:hAnsi="宋体" w:cs="宋体" w:eastAsia="宋体" w:hint="default"/>
        </w:rPr>
        <w:t>(4)</w:t>
      </w:r>
      <w:r>
        <w:rPr>
          <w:rFonts w:ascii="宋体" w:hAnsi="宋体" w:cs="宋体" w:eastAsia="宋体" w:hint="default"/>
          <w:spacing w:val="-3"/>
        </w:rPr>
        <w:t> </w:t>
      </w:r>
      <w:r>
        <w:rPr/>
        <w:t>获取货币资金余额重大的主要实体的企业信用报告，检查是否存在与货币资金相关的质</w:t>
      </w:r>
      <w:r>
        <w:rPr>
          <w:w w:val="100"/>
        </w:rPr>
        <w:t> </w:t>
      </w:r>
      <w:r>
        <w:rPr/>
        <w:t>押担保事项；</w:t>
      </w:r>
    </w:p>
    <w:p>
      <w:pPr>
        <w:pStyle w:val="BodyText"/>
        <w:spacing w:line="240" w:lineRule="auto" w:before="28"/>
        <w:ind w:left="558" w:right="0"/>
        <w:jc w:val="left"/>
      </w:pPr>
      <w:r>
        <w:rPr>
          <w:rFonts w:ascii="宋体" w:hAnsi="宋体" w:cs="宋体" w:eastAsia="宋体" w:hint="default"/>
        </w:rPr>
        <w:t>(5)</w:t>
      </w:r>
      <w:r>
        <w:rPr>
          <w:rFonts w:ascii="宋体" w:hAnsi="宋体" w:cs="宋体" w:eastAsia="宋体" w:hint="default"/>
          <w:spacing w:val="-2"/>
        </w:rPr>
        <w:t> </w:t>
      </w:r>
      <w:r>
        <w:rPr/>
        <w:t>检查货币资金余额及受限信息披露的准确性和完整性；</w:t>
      </w:r>
    </w:p>
    <w:p>
      <w:pPr>
        <w:pStyle w:val="BodyText"/>
        <w:spacing w:line="355" w:lineRule="auto" w:before="133"/>
        <w:ind w:right="112" w:firstLine="419"/>
        <w:jc w:val="left"/>
      </w:pPr>
      <w:r>
        <w:rPr>
          <w:rFonts w:ascii="宋体" w:hAnsi="宋体" w:cs="宋体" w:eastAsia="宋体" w:hint="default"/>
        </w:rPr>
        <w:t>(6)</w:t>
      </w:r>
      <w:r>
        <w:rPr>
          <w:rFonts w:ascii="宋体" w:hAnsi="宋体" w:cs="宋体" w:eastAsia="宋体" w:hint="default"/>
          <w:spacing w:val="-3"/>
        </w:rPr>
        <w:t> </w:t>
      </w:r>
      <w:r>
        <w:rPr/>
        <w:t>对集团内重要实体执行人民币银行结算账户信息查询程序，以确认管理层向我们提供的</w:t>
      </w:r>
      <w:r>
        <w:rPr>
          <w:w w:val="100"/>
        </w:rPr>
        <w:t> </w:t>
      </w:r>
      <w:r>
        <w:rPr/>
        <w:t>人民币银行结算账户的完整性。</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5"/>
        <w:spacing w:line="240" w:lineRule="auto"/>
        <w:ind w:left="560" w:right="0"/>
        <w:jc w:val="left"/>
        <w:rPr>
          <w:b w:val="0"/>
          <w:bCs w:val="0"/>
        </w:rPr>
      </w:pPr>
      <w:r>
        <w:rPr/>
        <w:t>四、其他信息</w:t>
      </w:r>
      <w:r>
        <w:rPr>
          <w:b w:val="0"/>
          <w:bCs w:val="0"/>
        </w:rPr>
      </w:r>
    </w:p>
    <w:p>
      <w:pPr>
        <w:pStyle w:val="BodyText"/>
        <w:spacing w:line="355" w:lineRule="auto" w:before="133"/>
        <w:ind w:right="0" w:firstLine="419"/>
        <w:jc w:val="left"/>
      </w:pPr>
      <w:r>
        <w:rPr>
          <w:spacing w:val="-4"/>
        </w:rPr>
        <w:t>管理层对其他信息负责。其他信息包括三六零 </w:t>
      </w:r>
      <w:r>
        <w:rPr>
          <w:rFonts w:ascii="宋体" w:hAnsi="宋体" w:cs="宋体" w:eastAsia="宋体" w:hint="default"/>
        </w:rPr>
        <w:t>2018</w:t>
      </w:r>
      <w:r>
        <w:rPr>
          <w:rFonts w:ascii="宋体" w:hAnsi="宋体" w:cs="宋体" w:eastAsia="宋体" w:hint="default"/>
          <w:spacing w:val="-58"/>
        </w:rPr>
        <w:t> </w:t>
      </w:r>
      <w:r>
        <w:rPr>
          <w:spacing w:val="-4"/>
        </w:rPr>
        <w:t>年度报告中涵盖的信息，但不包括财务报</w:t>
      </w:r>
      <w:r>
        <w:rPr>
          <w:w w:val="100"/>
        </w:rPr>
        <w:t> </w:t>
      </w:r>
      <w:r>
        <w:rPr/>
        <w:t>表和我们的审计报告。</w:t>
      </w:r>
    </w:p>
    <w:p>
      <w:pPr>
        <w:pStyle w:val="BodyText"/>
        <w:spacing w:line="357" w:lineRule="auto" w:before="32"/>
        <w:ind w:right="0" w:firstLine="419"/>
        <w:jc w:val="left"/>
      </w:pPr>
      <w:r>
        <w:rPr>
          <w:spacing w:val="-2"/>
        </w:rPr>
        <w:t>我们对财务报表发表的审计意见不涵盖其他信息，我们也不对其他信息发表任何形式的鉴证</w:t>
      </w:r>
      <w:r>
        <w:rPr>
          <w:w w:val="100"/>
        </w:rPr>
        <w:t> </w:t>
      </w:r>
      <w:r>
        <w:rPr/>
        <w:t>结论。</w:t>
      </w:r>
    </w:p>
    <w:p>
      <w:pPr>
        <w:spacing w:after="0" w:line="357" w:lineRule="auto"/>
        <w:jc w:val="left"/>
        <w:sectPr>
          <w:footerReference w:type="default" r:id="rId49"/>
          <w:pgSz w:w="11910" w:h="16840"/>
          <w:pgMar w:footer="1217" w:header="855" w:top="1320" w:bottom="1400" w:left="1660" w:right="1160"/>
          <w:pgNumType w:start="96"/>
        </w:sectPr>
      </w:pPr>
    </w:p>
    <w:p>
      <w:pPr>
        <w:spacing w:line="240" w:lineRule="auto" w:before="7"/>
        <w:rPr>
          <w:rFonts w:ascii="宋体" w:hAnsi="宋体" w:cs="宋体" w:eastAsia="宋体" w:hint="default"/>
          <w:sz w:val="9"/>
          <w:szCs w:val="9"/>
        </w:rPr>
      </w:pPr>
    </w:p>
    <w:p>
      <w:pPr>
        <w:pStyle w:val="BodyText"/>
        <w:spacing w:line="357" w:lineRule="auto" w:before="36"/>
        <w:ind w:right="117" w:firstLine="419"/>
        <w:jc w:val="both"/>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pStyle w:val="BodyText"/>
        <w:spacing w:line="355" w:lineRule="auto" w:before="30"/>
        <w:ind w:right="117" w:firstLine="419"/>
        <w:jc w:val="both"/>
      </w:pPr>
      <w:r>
        <w:rPr>
          <w:spacing w:val="-2"/>
        </w:rPr>
        <w:t>基于我们已执行的工作，如果我们确定其他信息存在重大错报，我们应当报告该事实。在这</w:t>
      </w:r>
      <w:r>
        <w:rPr>
          <w:w w:val="100"/>
        </w:rPr>
        <w:t> </w:t>
      </w:r>
      <w:r>
        <w:rPr/>
        <w:t>方面，我们无任何事项需要报告。</w:t>
      </w:r>
    </w:p>
    <w:p>
      <w:pPr>
        <w:spacing w:line="240" w:lineRule="auto" w:before="0"/>
        <w:rPr>
          <w:rFonts w:ascii="宋体" w:hAnsi="宋体" w:cs="宋体" w:eastAsia="宋体" w:hint="default"/>
          <w:sz w:val="20"/>
          <w:szCs w:val="20"/>
        </w:rPr>
      </w:pPr>
    </w:p>
    <w:p>
      <w:pPr>
        <w:spacing w:line="357" w:lineRule="auto" w:before="178"/>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管理层负责按照企业会计准则的规定编制财务报表，使其实现公允反映，并设计、执行和维</w:t>
      </w:r>
    </w:p>
    <w:p>
      <w:pPr>
        <w:pStyle w:val="BodyText"/>
        <w:spacing w:line="357" w:lineRule="auto" w:before="30"/>
        <w:ind w:left="558" w:right="0" w:hanging="420"/>
        <w:jc w:val="left"/>
      </w:pPr>
      <w:r>
        <w:rPr/>
        <w:t>护必要的内部控制，以使财务报表不存在由于舞弊或错误导致的重大错报。</w:t>
      </w:r>
      <w:r>
        <w:rPr>
          <w:w w:val="100"/>
        </w:rPr>
        <w:t> </w:t>
      </w:r>
      <w:r>
        <w:rPr>
          <w:spacing w:val="-4"/>
        </w:rPr>
        <w:t>在编制财务报表时，管理层负责评估三六零的持续经营能力，披露与持续经营相关的事项</w:t>
      </w:r>
      <w:r>
        <w:rPr>
          <w:rFonts w:ascii="宋体" w:hAnsi="宋体" w:cs="宋体" w:eastAsia="宋体" w:hint="default"/>
          <w:spacing w:val="-4"/>
        </w:rPr>
        <w:t>(</w:t>
      </w:r>
      <w:r>
        <w:rPr>
          <w:spacing w:val="-4"/>
        </w:rPr>
        <w:t>如</w:t>
      </w:r>
    </w:p>
    <w:p>
      <w:pPr>
        <w:pStyle w:val="BodyText"/>
        <w:spacing w:line="357" w:lineRule="auto" w:before="30"/>
        <w:ind w:left="558" w:right="0" w:hanging="420"/>
        <w:jc w:val="left"/>
      </w:pPr>
      <w:r>
        <w:rPr>
          <w:spacing w:val="-2"/>
        </w:rPr>
        <w:t>适用</w:t>
      </w:r>
      <w:r>
        <w:rPr>
          <w:rFonts w:ascii="宋体" w:hAnsi="宋体" w:cs="宋体" w:eastAsia="宋体" w:hint="default"/>
          <w:spacing w:val="-2"/>
        </w:rPr>
        <w:t>)</w:t>
      </w:r>
      <w:r>
        <w:rPr>
          <w:spacing w:val="-2"/>
        </w:rPr>
        <w:t>，并运用持续经营假设，除非管理层计划清算三六零、终止运营或别无其他现实的选择。</w:t>
      </w:r>
      <w:r>
        <w:rPr>
          <w:spacing w:val="-30"/>
        </w:rPr>
        <w:t> </w:t>
      </w:r>
      <w:r>
        <w:rPr>
          <w:spacing w:val="-30"/>
        </w:rPr>
      </w:r>
      <w:r>
        <w:rPr/>
        <w:t>治理层负责监督三六零的财务报告过程。</w:t>
      </w:r>
    </w:p>
    <w:p>
      <w:pPr>
        <w:spacing w:line="240" w:lineRule="auto" w:before="0"/>
        <w:rPr>
          <w:rFonts w:ascii="宋体" w:hAnsi="宋体" w:cs="宋体" w:eastAsia="宋体" w:hint="default"/>
          <w:sz w:val="20"/>
          <w:szCs w:val="20"/>
        </w:rPr>
      </w:pPr>
    </w:p>
    <w:p>
      <w:pPr>
        <w:spacing w:line="355" w:lineRule="auto" w:before="176"/>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六、注册会计师对财务报表审计的责任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我们的目标是对财务报表整体是否不存在由于舞弊或错误导致的重大错报获取合理保证，并</w:t>
      </w:r>
    </w:p>
    <w:p>
      <w:pPr>
        <w:pStyle w:val="BodyText"/>
        <w:spacing w:line="357" w:lineRule="auto" w:before="32"/>
        <w:ind w:right="117"/>
        <w:jc w:val="both"/>
      </w:pPr>
      <w:r>
        <w:rPr>
          <w:spacing w:val="-2"/>
        </w:rPr>
        <w:t>出具包含审计意见的审计报告。合理保证是高水平的保证，但并不能保证按照审计准则执行的审</w:t>
      </w:r>
      <w:r>
        <w:rPr>
          <w:spacing w:val="-25"/>
        </w:rPr>
        <w:t> </w:t>
      </w:r>
      <w:r>
        <w:rPr>
          <w:spacing w:val="-25"/>
        </w:rPr>
      </w:r>
      <w:r>
        <w:rPr>
          <w:spacing w:val="-2"/>
        </w:rPr>
        <w:t>计在某一重大错报存在时总能发现。错报可能由于舞弊或错误导致，如果合理预期错报单独或汇</w:t>
      </w:r>
      <w:r>
        <w:rPr>
          <w:spacing w:val="-25"/>
        </w:rPr>
        <w:t> </w:t>
      </w:r>
      <w:r>
        <w:rPr>
          <w:spacing w:val="-25"/>
        </w:rPr>
      </w:r>
      <w:r>
        <w:rPr/>
        <w:t>总起来可能影响财务报表使用者依据财务报表作出的经济决策，则通常认为错报是重大的。</w:t>
      </w:r>
    </w:p>
    <w:p>
      <w:pPr>
        <w:pStyle w:val="BodyText"/>
        <w:spacing w:line="355" w:lineRule="auto" w:before="30"/>
        <w:ind w:right="117" w:firstLine="419"/>
        <w:jc w:val="both"/>
      </w:pPr>
      <w:r>
        <w:rPr>
          <w:spacing w:val="-2"/>
        </w:rPr>
        <w:t>在按照审计准则执行审计工作的过程中，我们运用职业判断，并保持职业怀疑。同时，我们</w:t>
      </w:r>
      <w:r>
        <w:rPr>
          <w:w w:val="100"/>
        </w:rPr>
        <w:t> </w:t>
      </w:r>
      <w:r>
        <w:rPr/>
        <w:t>也执行以下工作：</w:t>
      </w:r>
    </w:p>
    <w:p>
      <w:pPr>
        <w:pStyle w:val="BodyText"/>
        <w:spacing w:line="357" w:lineRule="auto" w:before="32"/>
        <w:ind w:right="108" w:firstLine="419"/>
        <w:jc w:val="both"/>
      </w:pPr>
      <w:r>
        <w:rPr>
          <w:rFonts w:ascii="宋体" w:hAnsi="宋体" w:cs="宋体" w:eastAsia="宋体" w:hint="default"/>
          <w:spacing w:val="-4"/>
          <w:w w:val="100"/>
        </w:rPr>
        <w:t>(1)</w:t>
      </w:r>
      <w:r>
        <w:rPr>
          <w:spacing w:val="-4"/>
          <w:w w:val="100"/>
        </w:rPr>
        <w:t>识别和评估由于舞弊或错误导致的财务报表重大错报风险，设计和实施审计程序以应对这</w:t>
      </w:r>
      <w:r>
        <w:rPr>
          <w:w w:val="100"/>
        </w:rPr>
        <w:t> </w:t>
      </w:r>
      <w:r>
        <w:rPr>
          <w:spacing w:val="-2"/>
        </w:rPr>
        <w:t>些风险，并获取充分、适当的审计证据，作为发表审计意见的基础。由于舞弊可能涉及串通、伪</w:t>
      </w:r>
      <w:r>
        <w:rPr>
          <w:spacing w:val="-25"/>
        </w:rPr>
        <w:t> </w:t>
      </w:r>
      <w:r>
        <w:rPr>
          <w:spacing w:val="-25"/>
        </w:rPr>
      </w:r>
      <w:r>
        <w:rPr>
          <w:spacing w:val="-2"/>
        </w:rPr>
        <w:t>造、故意遗漏、虚假陈述或凌驾于内部控制之上，未能发现由于舞弊导致的重大错报的风险高于</w:t>
      </w:r>
      <w:r>
        <w:rPr>
          <w:spacing w:val="-25"/>
        </w:rPr>
        <w:t> </w:t>
      </w:r>
      <w:r>
        <w:rPr>
          <w:spacing w:val="-25"/>
        </w:rPr>
      </w:r>
      <w:r>
        <w:rPr/>
        <w:t>未能发现由于错误导致的重大错报的风险。</w:t>
      </w:r>
    </w:p>
    <w:p>
      <w:pPr>
        <w:pStyle w:val="BodyText"/>
        <w:spacing w:line="357" w:lineRule="auto" w:before="30"/>
        <w:ind w:left="558" w:right="0"/>
        <w:jc w:val="left"/>
      </w:pPr>
      <w:r>
        <w:rPr>
          <w:rFonts w:ascii="宋体" w:hAnsi="宋体" w:cs="宋体" w:eastAsia="宋体" w:hint="default"/>
        </w:rPr>
        <w:t>(2)</w:t>
      </w:r>
      <w:r>
        <w:rPr/>
        <w:t>了解与审计相关的内部控制，以设计恰当的审计程序。</w:t>
      </w:r>
      <w:r>
        <w:rPr>
          <w:w w:val="100"/>
        </w:rPr>
        <w:t> </w:t>
      </w:r>
      <w:r>
        <w:rPr>
          <w:rFonts w:ascii="宋体" w:hAnsi="宋体" w:cs="宋体" w:eastAsia="宋体" w:hint="default"/>
        </w:rPr>
        <w:t>(3)</w:t>
      </w:r>
      <w:r>
        <w:rPr/>
        <w:t>评价管理层选用会计政策的恰当性和作出会计估计及相关披露的合理性。</w:t>
      </w:r>
      <w:r>
        <w:rPr>
          <w:w w:val="100"/>
        </w:rPr>
        <w:t> </w:t>
      </w:r>
      <w:r>
        <w:rPr>
          <w:rFonts w:ascii="宋体" w:hAnsi="宋体" w:cs="宋体" w:eastAsia="宋体" w:hint="default"/>
          <w:spacing w:val="-4"/>
        </w:rPr>
        <w:t>(4)</w:t>
      </w:r>
      <w:r>
        <w:rPr>
          <w:spacing w:val="-4"/>
        </w:rPr>
        <w:t>对管理层使用持续经营假设的恰当性得出结论。同时，根据获取的审计证据，就可能导致</w:t>
      </w:r>
    </w:p>
    <w:p>
      <w:pPr>
        <w:pStyle w:val="BodyText"/>
        <w:spacing w:line="357" w:lineRule="auto" w:before="30"/>
        <w:ind w:right="108"/>
        <w:jc w:val="both"/>
      </w:pPr>
      <w:r>
        <w:rPr>
          <w:spacing w:val="-2"/>
        </w:rPr>
        <w:t>对三六零持续经营能力产生重大疑虑的事项或情况是否存在重大不确定性得出结论。如果我们得</w:t>
      </w:r>
      <w:r>
        <w:rPr>
          <w:spacing w:val="-25"/>
        </w:rPr>
        <w:t> </w:t>
      </w:r>
      <w:r>
        <w:rPr>
          <w:spacing w:val="-25"/>
        </w:rPr>
      </w:r>
      <w:r>
        <w:rPr>
          <w:spacing w:val="-2"/>
        </w:rPr>
        <w:t>出结论认为存在重大不确定性，审计准则要求我们在审计报告中提请报表使用者注意财务报表中</w:t>
      </w:r>
      <w:r>
        <w:rPr>
          <w:spacing w:val="-25"/>
        </w:rPr>
        <w:t> </w:t>
      </w:r>
      <w:r>
        <w:rPr>
          <w:spacing w:val="-25"/>
        </w:rPr>
      </w:r>
      <w:r>
        <w:rPr/>
        <w:t>的相关披露； </w:t>
      </w:r>
      <w:r>
        <w:rPr>
          <w:spacing w:val="-4"/>
        </w:rPr>
        <w:t>如果披露不充分，我们应当发表非无保留意见。我们的结论基于截至审计报告日可</w:t>
      </w:r>
      <w:r>
        <w:rPr>
          <w:spacing w:val="-61"/>
        </w:rPr>
        <w:t> </w:t>
      </w:r>
      <w:r>
        <w:rPr>
          <w:spacing w:val="-61"/>
        </w:rPr>
      </w:r>
      <w:r>
        <w:rPr/>
        <w:t>获得的信息。然而，未来的事项或情况可能导致三六零不能持续经营。</w:t>
      </w:r>
    </w:p>
    <w:p>
      <w:pPr>
        <w:pStyle w:val="BodyText"/>
        <w:spacing w:line="355" w:lineRule="auto" w:before="30"/>
        <w:ind w:right="110" w:firstLine="419"/>
        <w:jc w:val="both"/>
      </w:pPr>
      <w:r>
        <w:rPr>
          <w:rFonts w:ascii="宋体" w:hAnsi="宋体" w:cs="宋体" w:eastAsia="宋体" w:hint="default"/>
          <w:spacing w:val="-4"/>
        </w:rPr>
        <w:t>(5)</w:t>
      </w:r>
      <w:r>
        <w:rPr>
          <w:spacing w:val="-4"/>
        </w:rPr>
        <w:t>评价财务报表的总体列报、结构和内容</w:t>
      </w:r>
      <w:r>
        <w:rPr>
          <w:rFonts w:ascii="宋体" w:hAnsi="宋体" w:cs="宋体" w:eastAsia="宋体" w:hint="default"/>
          <w:spacing w:val="-4"/>
        </w:rPr>
        <w:t>(</w:t>
      </w:r>
      <w:r>
        <w:rPr>
          <w:spacing w:val="-4"/>
        </w:rPr>
        <w:t>包括披露</w:t>
      </w:r>
      <w:r>
        <w:rPr>
          <w:rFonts w:ascii="宋体" w:hAnsi="宋体" w:cs="宋体" w:eastAsia="宋体" w:hint="default"/>
          <w:spacing w:val="-4"/>
        </w:rPr>
        <w:t>)</w:t>
      </w:r>
      <w:r>
        <w:rPr>
          <w:spacing w:val="-4"/>
        </w:rPr>
        <w:t>，并评价财务报表是否公允反映相关交</w:t>
      </w:r>
      <w:r>
        <w:rPr>
          <w:w w:val="100"/>
        </w:rPr>
        <w:t> </w:t>
      </w:r>
      <w:r>
        <w:rPr/>
        <w:t>易和事项。</w:t>
      </w:r>
    </w:p>
    <w:p>
      <w:pPr>
        <w:pStyle w:val="BodyText"/>
        <w:spacing w:line="357" w:lineRule="auto" w:before="32"/>
        <w:ind w:right="0" w:firstLine="525"/>
        <w:jc w:val="left"/>
      </w:pPr>
      <w:r>
        <w:rPr>
          <w:rFonts w:ascii="宋体" w:hAnsi="宋体" w:cs="宋体" w:eastAsia="宋体" w:hint="default"/>
          <w:spacing w:val="-2"/>
        </w:rPr>
        <w:t>(6)</w:t>
      </w:r>
      <w:r>
        <w:rPr>
          <w:spacing w:val="-2"/>
        </w:rPr>
        <w:t>就三六零中实体或业务活动的财务信息获取充分、适当的审计证据，以对财务报表发表</w:t>
      </w:r>
      <w:r>
        <w:rPr>
          <w:w w:val="100"/>
        </w:rPr>
        <w:t> </w:t>
      </w:r>
      <w:r>
        <w:rPr/>
        <w:t>审计意见。我们负责指导、监督和执行集团审计，并对审计意见承担全部责任。</w:t>
      </w:r>
    </w:p>
    <w:p>
      <w:pPr>
        <w:spacing w:after="0" w:line="357" w:lineRule="auto"/>
        <w:jc w:val="left"/>
        <w:sectPr>
          <w:footerReference w:type="default" r:id="rId50"/>
          <w:pgSz w:w="11910" w:h="16840"/>
          <w:pgMar w:footer="1217" w:header="855" w:top="1320" w:bottom="1400" w:left="1660" w:right="1160"/>
          <w:pgNumType w:start="97"/>
        </w:sectPr>
      </w:pPr>
    </w:p>
    <w:p>
      <w:pPr>
        <w:spacing w:line="240" w:lineRule="auto" w:before="7"/>
        <w:rPr>
          <w:rFonts w:ascii="宋体" w:hAnsi="宋体" w:cs="宋体" w:eastAsia="宋体" w:hint="default"/>
          <w:sz w:val="9"/>
          <w:szCs w:val="9"/>
        </w:rPr>
      </w:pPr>
    </w:p>
    <w:p>
      <w:pPr>
        <w:pStyle w:val="BodyText"/>
        <w:spacing w:line="357" w:lineRule="auto" w:before="36"/>
        <w:ind w:right="117" w:firstLine="419"/>
        <w:jc w:val="both"/>
      </w:pPr>
      <w:r>
        <w:rPr>
          <w:spacing w:val="-2"/>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355" w:lineRule="auto" w:before="30"/>
        <w:ind w:right="117" w:firstLine="419"/>
        <w:jc w:val="both"/>
      </w:pPr>
      <w:r>
        <w:rPr>
          <w:spacing w:val="-2"/>
        </w:rPr>
        <w:t>我们还就已遵守与独立性相关的职业道德要求向治理层提供声明，并与治理层沟通可能被合</w:t>
      </w:r>
      <w:r>
        <w:rPr>
          <w:w w:val="100"/>
        </w:rPr>
        <w:t> </w:t>
      </w:r>
      <w:r>
        <w:rPr/>
        <w:t>理认为影响我们独立性的所有关系和其他事项，以及相关的防范措施（如适用）。</w:t>
      </w:r>
    </w:p>
    <w:p>
      <w:pPr>
        <w:pStyle w:val="BodyText"/>
        <w:spacing w:line="357" w:lineRule="auto" w:before="32"/>
        <w:ind w:right="117" w:firstLine="419"/>
        <w:jc w:val="both"/>
      </w:pPr>
      <w:r>
        <w:rPr>
          <w:spacing w:val="-2"/>
        </w:rPr>
        <w:t>从与治理层沟通过的事项中，我们确定哪些事项对本年财务报表审计最为重要，因而构成关</w:t>
      </w:r>
      <w:r>
        <w:rPr>
          <w:w w:val="100"/>
        </w:rPr>
        <w:t> </w:t>
      </w:r>
      <w:r>
        <w:rPr>
          <w:spacing w:val="-2"/>
        </w:rPr>
        <w:t>键审计事项。我们在审计报告中描述这些事项，除非法律法规禁止公开披露这些事项，或在极少</w:t>
      </w:r>
      <w:r>
        <w:rPr>
          <w:spacing w:val="-25"/>
        </w:rPr>
        <w:t> </w:t>
      </w:r>
      <w:r>
        <w:rPr>
          <w:spacing w:val="-25"/>
        </w:rPr>
      </w:r>
      <w:r>
        <w:rPr>
          <w:spacing w:val="-2"/>
        </w:rPr>
        <w:t>数情形下，如果合理预期在审计报告中沟通某事项造成的负面后果超过在公众利益方面产生的益</w:t>
      </w:r>
      <w:r>
        <w:rPr>
          <w:spacing w:val="-25"/>
        </w:rPr>
        <w:t> </w:t>
      </w:r>
      <w:r>
        <w:rPr>
          <w:spacing w:val="-25"/>
        </w:rPr>
      </w:r>
      <w:r>
        <w:rPr/>
        <w:t>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tabs>
          <w:tab w:pos="5495" w:val="left" w:leader="none"/>
        </w:tabs>
        <w:spacing w:line="273" w:lineRule="exact"/>
        <w:ind w:right="0"/>
        <w:jc w:val="left"/>
      </w:pPr>
      <w:r>
        <w:rPr>
          <w:spacing w:val="-2"/>
        </w:rPr>
        <w:t>德勤华永会计师事务所</w:t>
      </w:r>
      <w:r>
        <w:rPr>
          <w:rFonts w:ascii="宋体" w:hAnsi="宋体" w:cs="宋体" w:eastAsia="宋体" w:hint="default"/>
          <w:spacing w:val="-2"/>
        </w:rPr>
        <w:t>(</w:t>
      </w:r>
      <w:r>
        <w:rPr>
          <w:spacing w:val="-2"/>
        </w:rPr>
        <w:t>特殊普通合伙</w:t>
      </w:r>
      <w:r>
        <w:rPr>
          <w:rFonts w:ascii="宋体" w:hAnsi="宋体" w:cs="宋体" w:eastAsia="宋体" w:hint="default"/>
          <w:spacing w:val="-2"/>
        </w:rPr>
        <w:t>)</w:t>
        <w:tab/>
      </w:r>
      <w:r>
        <w:rPr>
          <w:spacing w:val="-2"/>
        </w:rPr>
        <w:t>中国注册会计师：</w:t>
      </w:r>
    </w:p>
    <w:p>
      <w:pPr>
        <w:pStyle w:val="BodyText"/>
        <w:tabs>
          <w:tab w:pos="1609" w:val="left" w:leader="none"/>
          <w:tab w:pos="6438" w:val="left" w:leader="none"/>
        </w:tabs>
        <w:spacing w:line="272" w:lineRule="exact"/>
        <w:ind w:left="978" w:right="0"/>
        <w:jc w:val="left"/>
        <w:rPr>
          <w:rFonts w:ascii="宋体" w:hAnsi="宋体" w:cs="宋体" w:eastAsia="宋体" w:hint="default"/>
        </w:rPr>
      </w:pPr>
      <w:r>
        <w:rPr/>
        <w:t>中国</w:t>
        <w:tab/>
        <w:t>上海</w:t>
        <w:tab/>
      </w:r>
      <w:r>
        <w:rPr>
          <w:rFonts w:ascii="宋体" w:hAnsi="宋体" w:cs="宋体" w:eastAsia="宋体" w:hint="default"/>
        </w:rPr>
        <w:t>(</w:t>
      </w:r>
      <w:r>
        <w:rPr/>
        <w:t>项目合伙人</w:t>
      </w:r>
      <w:r>
        <w:rPr>
          <w:rFonts w:ascii="宋体" w:hAnsi="宋体" w:cs="宋体" w:eastAsia="宋体" w:hint="default"/>
        </w:rPr>
        <w:t>)</w:t>
      </w:r>
    </w:p>
    <w:p>
      <w:pPr>
        <w:pStyle w:val="BodyText"/>
        <w:spacing w:line="274" w:lineRule="exact"/>
        <w:ind w:left="6650" w:right="0"/>
        <w:jc w:val="left"/>
      </w:pPr>
      <w:r>
        <w:rPr/>
        <w:t>付建超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240" w:lineRule="auto"/>
        <w:ind w:left="5390" w:right="0"/>
        <w:jc w:val="left"/>
      </w:pPr>
      <w:r>
        <w:rPr/>
        <w:t>中国注册会计师：</w:t>
      </w:r>
    </w:p>
    <w:p>
      <w:pPr>
        <w:spacing w:line="240" w:lineRule="auto" w:before="9"/>
        <w:rPr>
          <w:rFonts w:ascii="宋体" w:hAnsi="宋体" w:cs="宋体" w:eastAsia="宋体" w:hint="default"/>
          <w:sz w:val="20"/>
          <w:szCs w:val="20"/>
        </w:rPr>
      </w:pPr>
    </w:p>
    <w:p>
      <w:pPr>
        <w:pStyle w:val="BodyText"/>
        <w:spacing w:line="240" w:lineRule="auto"/>
        <w:ind w:left="0" w:right="1697"/>
        <w:jc w:val="right"/>
      </w:pPr>
      <w:r>
        <w:rPr/>
        <w:t>单莉莉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ind w:left="0" w:right="319"/>
        <w:jc w:val="right"/>
      </w:pPr>
      <w:r>
        <w:rPr>
          <w:rFonts w:ascii="宋体" w:hAnsi="宋体" w:cs="宋体" w:eastAsia="宋体" w:hint="default"/>
        </w:rPr>
        <w:t>2019</w:t>
      </w:r>
      <w:r>
        <w:rPr>
          <w:rFonts w:ascii="宋体" w:hAnsi="宋体" w:cs="宋体" w:eastAsia="宋体" w:hint="default"/>
          <w:spacing w:val="-53"/>
        </w:rPr>
        <w:t> </w:t>
      </w:r>
      <w:r>
        <w:rPr/>
        <w:t>年</w:t>
      </w:r>
      <w:r>
        <w:rPr>
          <w:spacing w:val="-52"/>
        </w:rPr>
        <w:t> </w:t>
      </w:r>
      <w:r>
        <w:rPr>
          <w:rFonts w:ascii="宋体" w:hAnsi="宋体" w:cs="宋体" w:eastAsia="宋体" w:hint="default"/>
        </w:rPr>
        <w:t>4</w:t>
      </w:r>
      <w:r>
        <w:rPr>
          <w:rFonts w:ascii="宋体" w:hAnsi="宋体" w:cs="宋体" w:eastAsia="宋体" w:hint="default"/>
          <w:spacing w:val="-54"/>
        </w:rPr>
        <w:t> </w:t>
      </w:r>
      <w:r>
        <w:rPr/>
        <w:t>月</w:t>
      </w:r>
      <w:r>
        <w:rPr>
          <w:spacing w:val="-52"/>
        </w:rPr>
        <w:t> </w:t>
      </w:r>
      <w:r>
        <w:rPr>
          <w:rFonts w:ascii="宋体" w:hAnsi="宋体" w:cs="宋体" w:eastAsia="宋体" w:hint="default"/>
        </w:rPr>
        <w:t>12</w:t>
      </w:r>
      <w:r>
        <w:rPr>
          <w:rFonts w:ascii="宋体" w:hAnsi="宋体" w:cs="宋体" w:eastAsia="宋体" w:hint="default"/>
          <w:spacing w:val="-54"/>
        </w:rPr>
        <w:t> </w:t>
      </w:r>
      <w:r>
        <w:rPr/>
        <w:t>日</w:t>
      </w:r>
    </w:p>
    <w:p>
      <w:pPr>
        <w:spacing w:after="0" w:line="240" w:lineRule="auto"/>
        <w:jc w:val="right"/>
        <w:sectPr>
          <w:pgSz w:w="11910" w:h="16840"/>
          <w:pgMar w:header="855" w:footer="1217" w:top="1320" w:bottom="1400" w:left="1660" w:right="1160"/>
        </w:sectPr>
      </w:pPr>
    </w:p>
    <w:p>
      <w:pPr>
        <w:spacing w:line="240" w:lineRule="auto" w:before="7"/>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855" w:footer="1217" w:top="1320" w:bottom="1400" w:left="1580" w:right="1040"/>
        </w:sectPr>
      </w:pPr>
    </w:p>
    <w:p>
      <w:pPr>
        <w:pStyle w:val="Heading5"/>
        <w:spacing w:line="240" w:lineRule="auto" w:before="36"/>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72" w:lineRule="exact" w:before="135"/>
        <w:ind w:left="218" w:right="3767"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after="0" w:line="272" w:lineRule="exact"/>
        <w:jc w:val="left"/>
        <w:rPr>
          <w:rFonts w:ascii="宋体" w:hAnsi="宋体" w:cs="宋体" w:eastAsia="宋体" w:hint="default"/>
          <w:sz w:val="21"/>
          <w:szCs w:val="21"/>
        </w:rPr>
        <w:sectPr>
          <w:type w:val="continuous"/>
          <w:pgSz w:w="11910" w:h="16840"/>
          <w:pgMar w:top="1320" w:bottom="1400" w:left="1580" w:right="1040"/>
          <w:cols w:num="2" w:equalWidth="0">
            <w:col w:w="1488" w:space="2062"/>
            <w:col w:w="5740"/>
          </w:cols>
        </w:sectPr>
      </w:pPr>
    </w:p>
    <w:p>
      <w:pPr>
        <w:pStyle w:val="BodyText"/>
        <w:spacing w:line="247" w:lineRule="exact"/>
        <w:ind w:left="218" w:right="234"/>
        <w:jc w:val="left"/>
      </w:pPr>
      <w:r>
        <w:rPr/>
        <w:t>编制单位</w:t>
      </w:r>
      <w:r>
        <w:rPr>
          <w:rFonts w:ascii="宋体" w:hAnsi="宋体" w:cs="宋体" w:eastAsia="宋体" w:hint="default"/>
        </w:rPr>
        <w:t>: </w:t>
      </w:r>
      <w:r>
        <w:rPr/>
        <w:t>三六零安全科技股份有限公司</w:t>
      </w:r>
    </w:p>
    <w:p>
      <w:pPr>
        <w:pStyle w:val="BodyText"/>
        <w:tabs>
          <w:tab w:pos="1157" w:val="left" w:leader="none"/>
        </w:tabs>
        <w:spacing w:line="273" w:lineRule="exact"/>
        <w:ind w:left="0" w:right="230"/>
        <w:jc w:val="right"/>
      </w:pPr>
      <w:r>
        <w:rPr>
          <w:spacing w:val="-1"/>
        </w:rPr>
        <w:t>单位</w:t>
      </w:r>
      <w:r>
        <w:rPr>
          <w:rFonts w:ascii="宋体" w:hAnsi="宋体" w:cs="宋体" w:eastAsia="宋体" w:hint="default"/>
          <w:spacing w:val="-1"/>
        </w:rPr>
        <w:t>:</w:t>
      </w:r>
      <w:r>
        <w:rPr>
          <w:spacing w:val="-1"/>
        </w:rPr>
        <w:t>千元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645"/>
        <w:gridCol w:w="852"/>
        <w:gridCol w:w="1844"/>
        <w:gridCol w:w="1709"/>
      </w:tblGrid>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14,976,988</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10,012,695</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2,345,506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2,437,595</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2,345,506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2,437,595</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91,882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95,651</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517,343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128,344</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267,891</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52,064</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123,416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103,620</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18,934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36,000</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483,190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490,878</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18,557,259</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13,304,783</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3,787,525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1,349,897</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4,426,808</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4,431,022</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482,359</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355,980</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237,189</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119,080</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338,873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313,563</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1,034,911</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864,133</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191,862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224,881</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26,483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64,643</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265,010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21,624</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10,791,020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7,744,823</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29,348,279</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21,049,606</w:t>
            </w:r>
          </w:p>
        </w:tc>
      </w:tr>
    </w:tbl>
    <w:p>
      <w:pPr>
        <w:spacing w:after="0" w:line="241" w:lineRule="exact"/>
        <w:jc w:val="right"/>
        <w:rPr>
          <w:rFonts w:ascii="宋体" w:hAnsi="宋体" w:cs="宋体" w:eastAsia="宋体" w:hint="default"/>
          <w:sz w:val="21"/>
          <w:szCs w:val="21"/>
        </w:rPr>
        <w:sectPr>
          <w:type w:val="continuous"/>
          <w:pgSz w:w="11910" w:h="16840"/>
          <w:pgMar w:top="1320" w:bottom="1400" w:left="1580" w:right="1040"/>
        </w:sectPr>
      </w:pPr>
    </w:p>
    <w:p>
      <w:pPr>
        <w:spacing w:line="240" w:lineRule="auto" w:before="10"/>
        <w:rPr>
          <w:rFonts w:ascii="Times New Roman" w:hAnsi="Times New Roman" w:cs="Times New Roman" w:eastAsia="Times New Roman" w:hint="default"/>
          <w:sz w:val="16"/>
          <w:szCs w:val="16"/>
        </w:rPr>
      </w:pPr>
    </w:p>
    <w:tbl>
      <w:tblPr>
        <w:tblW w:w="0" w:type="auto"/>
        <w:jc w:val="left"/>
        <w:tblInd w:w="102" w:type="dxa"/>
        <w:tblLayout w:type="fixed"/>
        <w:tblCellMar>
          <w:top w:w="0" w:type="dxa"/>
          <w:left w:w="0" w:type="dxa"/>
          <w:bottom w:w="0" w:type="dxa"/>
          <w:right w:w="0" w:type="dxa"/>
        </w:tblCellMar>
        <w:tblLook w:val="01E0"/>
      </w:tblPr>
      <w:tblGrid>
        <w:gridCol w:w="4645"/>
        <w:gridCol w:w="852"/>
        <w:gridCol w:w="1844"/>
        <w:gridCol w:w="1709"/>
      </w:tblGrid>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2,350,152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2,121,084</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587,774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557,633</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742,300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410,668</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172,065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312,823</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1,026,940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951,642</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17,996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13,691</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3,618</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1,551</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4,900,845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4,369,092</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10,975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19,206</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140,034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129,003</w:t>
            </w:r>
          </w:p>
        </w:tc>
      </w:tr>
      <w:tr>
        <w:trPr>
          <w:trHeight w:val="289"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16,926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9,781</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207,149</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167,935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365,139</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5,068,780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4,734,231</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6,764,055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6,366,873</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7,032,274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5,378,868</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2,112,324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(254,790)</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309,013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163,923</w:t>
            </w:r>
          </w:p>
        </w:tc>
      </w:tr>
    </w:tbl>
    <w:p>
      <w:pPr>
        <w:spacing w:after="0" w:line="243" w:lineRule="exact"/>
        <w:jc w:val="right"/>
        <w:rPr>
          <w:rFonts w:ascii="宋体" w:hAnsi="宋体" w:cs="宋体" w:eastAsia="宋体" w:hint="default"/>
          <w:sz w:val="21"/>
          <w:szCs w:val="21"/>
        </w:rPr>
        <w:sectPr>
          <w:footerReference w:type="default" r:id="rId51"/>
          <w:pgSz w:w="11910" w:h="16840"/>
          <w:pgMar w:footer="1217" w:header="855" w:top="1320" w:bottom="1400" w:left="1580" w:right="1040"/>
        </w:sectPr>
      </w:pPr>
    </w:p>
    <w:p>
      <w:pPr>
        <w:spacing w:line="240" w:lineRule="auto" w:before="10"/>
        <w:rPr>
          <w:rFonts w:ascii="Times New Roman" w:hAnsi="Times New Roman" w:cs="Times New Roman" w:eastAsia="Times New Roman" w:hint="default"/>
          <w:sz w:val="16"/>
          <w:szCs w:val="16"/>
        </w:rPr>
      </w:pPr>
    </w:p>
    <w:tbl>
      <w:tblPr>
        <w:tblW w:w="0" w:type="auto"/>
        <w:jc w:val="left"/>
        <w:tblInd w:w="102" w:type="dxa"/>
        <w:tblLayout w:type="fixed"/>
        <w:tblCellMar>
          <w:top w:w="0" w:type="dxa"/>
          <w:left w:w="0" w:type="dxa"/>
          <w:bottom w:w="0" w:type="dxa"/>
          <w:right w:w="0" w:type="dxa"/>
        </w:tblCellMar>
        <w:tblLook w:val="01E0"/>
      </w:tblPr>
      <w:tblGrid>
        <w:gridCol w:w="4645"/>
        <w:gridCol w:w="852"/>
        <w:gridCol w:w="1844"/>
        <w:gridCol w:w="1709"/>
      </w:tblGrid>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7,764,588</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4,393,106</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23,982,254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16,047,980</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297,245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267,395</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24,279,499</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16,315,375</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负债和所有者权益（或股东权益）总计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29,348,279</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21,049,606</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left="218" w:right="234"/>
        <w:jc w:val="left"/>
      </w:pPr>
      <w:r>
        <w:rPr/>
        <w:t>法定代表人：周鸿祎 主管会计工作负责人：张矛</w:t>
      </w:r>
      <w:r>
        <w:rPr>
          <w:spacing w:val="-9"/>
        </w:rPr>
        <w:t> </w:t>
      </w:r>
      <w:r>
        <w:rPr/>
        <w:t>会计机构负责人：张海龙</w:t>
      </w:r>
    </w:p>
    <w:p>
      <w:pPr>
        <w:spacing w:after="0" w:line="240" w:lineRule="auto"/>
        <w:jc w:val="left"/>
        <w:sectPr>
          <w:footerReference w:type="default" r:id="rId52"/>
          <w:pgSz w:w="11910" w:h="16840"/>
          <w:pgMar w:footer="1217" w:header="855" w:top="1320" w:bottom="1400" w:left="1580" w:right="1040"/>
          <w:pgNumType w:start="101"/>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5" w:footer="1217" w:top="1320" w:bottom="1400" w:left="1580" w:right="1040"/>
        </w:sectPr>
      </w:pPr>
    </w:p>
    <w:p>
      <w:pPr>
        <w:spacing w:line="240" w:lineRule="auto" w:before="4"/>
        <w:rPr>
          <w:rFonts w:ascii="宋体" w:hAnsi="宋体" w:cs="宋体" w:eastAsia="宋体" w:hint="default"/>
          <w:sz w:val="15"/>
          <w:szCs w:val="15"/>
        </w:rPr>
      </w:pPr>
    </w:p>
    <w:p>
      <w:pPr>
        <w:spacing w:line="272" w:lineRule="exact" w:before="0"/>
        <w:ind w:left="3768" w:right="0" w:firstLine="21"/>
        <w:jc w:val="right"/>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BodyText"/>
        <w:spacing w:line="249" w:lineRule="exact"/>
        <w:ind w:left="218" w:right="0"/>
        <w:jc w:val="left"/>
      </w:pPr>
      <w:r>
        <w:rPr/>
        <w:t>编制单位</w:t>
      </w:r>
      <w:r>
        <w:rPr>
          <w:rFonts w:ascii="宋体" w:hAnsi="宋体" w:cs="宋体" w:eastAsia="宋体" w:hint="default"/>
        </w:rPr>
        <w:t>:</w:t>
      </w:r>
      <w:r>
        <w:rPr/>
        <w:t>三六零安全科技股份有限公司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tabs>
          <w:tab w:pos="1375"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千元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320" w:bottom="1400" w:left="1580" w:right="1040"/>
          <w:cols w:num="2" w:equalWidth="0">
            <w:col w:w="5504" w:space="1017"/>
            <w:col w:w="276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645"/>
        <w:gridCol w:w="852"/>
        <w:gridCol w:w="1844"/>
        <w:gridCol w:w="1709"/>
      </w:tblGrid>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1,649,293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196,707</w:t>
            </w:r>
          </w:p>
        </w:tc>
      </w:tr>
      <w:tr>
        <w:trPr>
          <w:trHeight w:val="559"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869,992</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927</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869,065</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1,723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43,595</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1,136,412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55,854</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36,385</w:t>
            </w: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1,100,000</w:t>
            </w: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152,598</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35,686</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2,787,702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1,354,432</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230,323</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50,416,423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129,576</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452,722</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61,559</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39,768</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2,286</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50,416,423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916,234</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53,204,125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2,270,666</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568,357</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225,771</w:t>
            </w:r>
          </w:p>
        </w:tc>
      </w:tr>
    </w:tbl>
    <w:p>
      <w:pPr>
        <w:spacing w:after="0" w:line="241" w:lineRule="exact"/>
        <w:jc w:val="right"/>
        <w:rPr>
          <w:rFonts w:ascii="宋体" w:hAnsi="宋体" w:cs="宋体" w:eastAsia="宋体" w:hint="default"/>
          <w:sz w:val="21"/>
          <w:szCs w:val="21"/>
        </w:rPr>
        <w:sectPr>
          <w:type w:val="continuous"/>
          <w:pgSz w:w="11910" w:h="16840"/>
          <w:pgMar w:top="1320" w:bottom="1400" w:left="1580" w:right="1040"/>
        </w:sectPr>
      </w:pPr>
    </w:p>
    <w:p>
      <w:pPr>
        <w:spacing w:line="240" w:lineRule="auto" w:before="11"/>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4645"/>
        <w:gridCol w:w="852"/>
        <w:gridCol w:w="1844"/>
        <w:gridCol w:w="1709"/>
      </w:tblGrid>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z w:val="21"/>
              </w:rPr>
              <w:t>22,950</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5,014</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165,088</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39,439</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80</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165,088</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861,531</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1,956</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1,956</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165,088</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863,487</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6,764,055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397,182</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44,235,540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367,787</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35,410</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260,800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115,710</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1,778,642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491,090</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53,039,037</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1,407,179</w:t>
            </w:r>
          </w:p>
        </w:tc>
      </w:tr>
      <w:tr>
        <w:trPr>
          <w:trHeight w:val="289"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负债和所有者权益（或股东权益）总计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53,204,125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2,270,666</w:t>
            </w:r>
          </w:p>
        </w:tc>
      </w:tr>
    </w:tbl>
    <w:p>
      <w:pPr>
        <w:spacing w:line="240" w:lineRule="auto" w:before="7"/>
        <w:rPr>
          <w:rFonts w:ascii="宋体" w:hAnsi="宋体" w:cs="宋体" w:eastAsia="宋体" w:hint="default"/>
          <w:sz w:val="15"/>
          <w:szCs w:val="15"/>
        </w:rPr>
      </w:pPr>
    </w:p>
    <w:p>
      <w:pPr>
        <w:pStyle w:val="BodyText"/>
        <w:spacing w:line="240" w:lineRule="auto" w:before="36"/>
        <w:ind w:left="218" w:right="234"/>
        <w:jc w:val="left"/>
      </w:pPr>
      <w:r>
        <w:rPr/>
        <w:t>法定代表人：周鸿祎 主管会计工作负责人：张矛</w:t>
      </w:r>
      <w:r>
        <w:rPr>
          <w:spacing w:val="-9"/>
        </w:rPr>
        <w:t> </w:t>
      </w:r>
      <w:r>
        <w:rPr/>
        <w:t>会计机构负责人：张海龙</w:t>
      </w:r>
    </w:p>
    <w:p>
      <w:pPr>
        <w:spacing w:after="0" w:line="240" w:lineRule="auto"/>
        <w:jc w:val="left"/>
        <w:sectPr>
          <w:pgSz w:w="11910" w:h="16840"/>
          <w:pgMar w:header="855" w:footer="1217" w:top="1320" w:bottom="1400" w:left="1580" w:right="10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5" w:footer="1217" w:top="1320" w:bottom="1400" w:left="1580" w:right="1040"/>
        </w:sectPr>
      </w:pPr>
    </w:p>
    <w:p>
      <w:pPr>
        <w:spacing w:line="240" w:lineRule="auto" w:before="4"/>
        <w:rPr>
          <w:rFonts w:ascii="宋体" w:hAnsi="宋体" w:cs="宋体" w:eastAsia="宋体" w:hint="default"/>
          <w:sz w:val="15"/>
          <w:szCs w:val="15"/>
        </w:rPr>
      </w:pPr>
    </w:p>
    <w:p>
      <w:pPr>
        <w:spacing w:line="272" w:lineRule="exact" w:before="0"/>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tabs>
          <w:tab w:pos="2458" w:val="left" w:leader="none"/>
        </w:tabs>
        <w:spacing w:line="240" w:lineRule="auto"/>
        <w:ind w:left="1301" w:right="0"/>
        <w:jc w:val="left"/>
      </w:pPr>
      <w:r>
        <w:rPr>
          <w:spacing w:val="-1"/>
        </w:rPr>
        <w:t>单位</w:t>
      </w:r>
      <w:r>
        <w:rPr>
          <w:rFonts w:ascii="宋体" w:hAnsi="宋体" w:cs="宋体" w:eastAsia="宋体" w:hint="default"/>
          <w:spacing w:val="-1"/>
        </w:rPr>
        <w:t>:</w:t>
      </w:r>
      <w:r>
        <w:rPr>
          <w:spacing w:val="-1"/>
        </w:rPr>
        <w:t>千元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320" w:bottom="140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645"/>
        <w:gridCol w:w="852"/>
        <w:gridCol w:w="1844"/>
        <w:gridCol w:w="1709"/>
      </w:tblGrid>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4"/>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8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13,129,263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12,238,113</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13,129,263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12,238,113</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9,403,154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8,741,513</w:t>
            </w:r>
          </w:p>
        </w:tc>
      </w:tr>
      <w:tr>
        <w:trPr>
          <w:trHeight w:val="289"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3,997,660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3,295,706</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235,611</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252,318</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2,034,015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1,906,842</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837,513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700,230</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2,546,310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2,417,482</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(345,275)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(46,053)</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1,179</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78,707</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6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344,438</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124,840</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97,320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214,988</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30,546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15,858</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413,331</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521,581</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10"/>
              <w:jc w:val="right"/>
              <w:rPr>
                <w:rFonts w:ascii="宋体" w:hAnsi="宋体" w:cs="宋体" w:eastAsia="宋体" w:hint="default"/>
                <w:sz w:val="21"/>
                <w:szCs w:val="21"/>
              </w:rPr>
            </w:pPr>
            <w:r>
              <w:rPr>
                <w:rFonts w:ascii="宋体" w:hAnsi="宋体" w:cs="宋体" w:eastAsia="宋体" w:hint="default"/>
                <w:spacing w:val="-2"/>
                <w:sz w:val="21"/>
                <w:szCs w:val="21"/>
              </w:rPr>
              <w:t>其中：对联营企业和合营企业的投资收益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64,197</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(83,773)</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hAnsi="宋体" w:cs="宋体" w:eastAsia="宋体" w:hint="default"/>
                <w:spacing w:val="-6"/>
                <w:sz w:val="21"/>
                <w:szCs w:val="21"/>
              </w:rPr>
              <w:t>公允价值变动收益（损失以“－”号填列）</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资产处置收益（损失以“－”号填列）</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4,122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15,532</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4,174,108</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4,049,571</w:t>
            </w:r>
          </w:p>
        </w:tc>
      </w:tr>
      <w:tr>
        <w:trPr>
          <w:trHeight w:val="289"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19,659</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72,239</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7,347</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2,778</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4,186,420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4,119,032</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678,122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697,256</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3,508,298</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3,421,776</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w w:val="100"/>
                <w:sz w:val="21"/>
                <w:szCs w:val="21"/>
              </w:rPr>
              <w:t>持</w:t>
            </w:r>
            <w:r>
              <w:rPr>
                <w:rFonts w:ascii="宋体" w:hAnsi="宋体" w:cs="宋体" w:eastAsia="宋体" w:hint="default"/>
                <w:spacing w:val="-3"/>
                <w:w w:val="100"/>
                <w:sz w:val="21"/>
                <w:szCs w:val="21"/>
              </w:rPr>
              <w:t>续</w:t>
            </w:r>
            <w:r>
              <w:rPr>
                <w:rFonts w:ascii="宋体" w:hAnsi="宋体" w:cs="宋体" w:eastAsia="宋体" w:hint="default"/>
                <w:w w:val="100"/>
                <w:sz w:val="21"/>
                <w:szCs w:val="21"/>
              </w:rPr>
              <w:t>经</w:t>
            </w:r>
            <w:r>
              <w:rPr>
                <w:rFonts w:ascii="宋体" w:hAnsi="宋体" w:cs="宋体" w:eastAsia="宋体" w:hint="default"/>
                <w:spacing w:val="-3"/>
                <w:w w:val="100"/>
                <w:sz w:val="21"/>
                <w:szCs w:val="21"/>
              </w:rPr>
              <w:t>营</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89"/>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净</w:t>
            </w:r>
            <w:r>
              <w:rPr>
                <w:rFonts w:ascii="宋体" w:hAnsi="宋体" w:cs="宋体" w:eastAsia="宋体" w:hint="default"/>
                <w:w w:val="100"/>
                <w:sz w:val="21"/>
                <w:szCs w:val="21"/>
              </w:rPr>
              <w:t>亏</w:t>
            </w:r>
            <w:r>
              <w:rPr>
                <w:rFonts w:ascii="宋体" w:hAnsi="宋体" w:cs="宋体" w:eastAsia="宋体" w:hint="default"/>
                <w:spacing w:val="-3"/>
                <w:w w:val="100"/>
                <w:sz w:val="21"/>
                <w:szCs w:val="21"/>
              </w:rPr>
              <w:t>损</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3,508,298</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3,421,776</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w w:val="100"/>
                <w:sz w:val="21"/>
                <w:szCs w:val="21"/>
              </w:rPr>
              <w:t>终</w:t>
            </w:r>
            <w:r>
              <w:rPr>
                <w:rFonts w:ascii="宋体" w:hAnsi="宋体" w:cs="宋体" w:eastAsia="宋体" w:hint="default"/>
                <w:spacing w:val="-3"/>
                <w:w w:val="100"/>
                <w:sz w:val="21"/>
                <w:szCs w:val="21"/>
              </w:rPr>
              <w:t>止</w:t>
            </w:r>
            <w:r>
              <w:rPr>
                <w:rFonts w:ascii="宋体" w:hAnsi="宋体" w:cs="宋体" w:eastAsia="宋体" w:hint="default"/>
                <w:w w:val="100"/>
                <w:sz w:val="21"/>
                <w:szCs w:val="21"/>
              </w:rPr>
              <w:t>经</w:t>
            </w:r>
            <w:r>
              <w:rPr>
                <w:rFonts w:ascii="宋体" w:hAnsi="宋体" w:cs="宋体" w:eastAsia="宋体" w:hint="default"/>
                <w:spacing w:val="-3"/>
                <w:w w:val="100"/>
                <w:sz w:val="21"/>
                <w:szCs w:val="21"/>
              </w:rPr>
              <w:t>营</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89"/>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净</w:t>
            </w:r>
            <w:r>
              <w:rPr>
                <w:rFonts w:ascii="宋体" w:hAnsi="宋体" w:cs="宋体" w:eastAsia="宋体" w:hint="default"/>
                <w:w w:val="100"/>
                <w:sz w:val="21"/>
                <w:szCs w:val="21"/>
              </w:rPr>
              <w:t>亏</w:t>
            </w:r>
            <w:r>
              <w:rPr>
                <w:rFonts w:ascii="宋体" w:hAnsi="宋体" w:cs="宋体" w:eastAsia="宋体" w:hint="default"/>
                <w:spacing w:val="-3"/>
                <w:w w:val="100"/>
                <w:sz w:val="21"/>
                <w:szCs w:val="21"/>
              </w:rPr>
              <w:t>损</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少数股东损益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(26,537)</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49,795</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归属于母公司股东的净利润</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3,534,835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3,371,981</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2,377,805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(197,585)</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归属母公司所有者的其他综合收益的税后净额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2,367,114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(190,746)</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320" w:bottom="1400" w:left="1580" w:right="1040"/>
        </w:sectPr>
      </w:pPr>
    </w:p>
    <w:p>
      <w:pPr>
        <w:spacing w:line="240" w:lineRule="auto" w:before="11"/>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4645"/>
        <w:gridCol w:w="852"/>
        <w:gridCol w:w="1844"/>
        <w:gridCol w:w="1709"/>
      </w:tblGrid>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22"/>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权益法下不能转损益的其他综合收益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2,367,114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(190,746)</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权益法下可转损益的其他综合收益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(2,164)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9,170</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22"/>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可供出售金融资产公允价值变动损益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2,224,625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5,559</w:t>
            </w:r>
          </w:p>
        </w:tc>
      </w:tr>
      <w:tr>
        <w:trPr>
          <w:trHeight w:val="559"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持有至到期投资重分类为可供出售金融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资产损益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144,653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(205,475)</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23"/>
              <w:jc w:val="right"/>
              <w:rPr>
                <w:rFonts w:ascii="宋体" w:hAnsi="宋体" w:cs="宋体" w:eastAsia="宋体" w:hint="default"/>
                <w:sz w:val="21"/>
                <w:szCs w:val="21"/>
              </w:rPr>
            </w:pPr>
            <w:r>
              <w:rPr>
                <w:rFonts w:ascii="宋体" w:hAnsi="宋体" w:cs="宋体" w:eastAsia="宋体" w:hint="default"/>
                <w:spacing w:val="-2"/>
                <w:sz w:val="21"/>
                <w:szCs w:val="21"/>
              </w:rPr>
              <w:t>归属于少数股东的其他综合收益的税后净额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10,691</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(6,839)</w:t>
            </w:r>
          </w:p>
        </w:tc>
      </w:tr>
      <w:tr>
        <w:trPr>
          <w:trHeight w:val="289"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5,886,103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3,224,191</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5,901,949</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3,181,235</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(15,846)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42,956</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0.53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0.53</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0.53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0.53</w:t>
            </w:r>
          </w:p>
        </w:tc>
      </w:tr>
    </w:tbl>
    <w:p>
      <w:pPr>
        <w:spacing w:line="240" w:lineRule="auto" w:before="5"/>
        <w:rPr>
          <w:rFonts w:ascii="宋体" w:hAnsi="宋体" w:cs="宋体" w:eastAsia="宋体" w:hint="default"/>
          <w:sz w:val="15"/>
          <w:szCs w:val="15"/>
        </w:rPr>
      </w:pPr>
    </w:p>
    <w:p>
      <w:pPr>
        <w:pStyle w:val="BodyText"/>
        <w:spacing w:line="240" w:lineRule="auto" w:before="36"/>
        <w:ind w:left="218" w:right="228"/>
        <w:jc w:val="left"/>
      </w:pPr>
      <w:r>
        <w:rPr>
          <w:spacing w:val="-5"/>
        </w:rPr>
        <w:t>本期发生同一控制下企业合并的，被合并方在合并前实现的净利润为：</w:t>
      </w:r>
      <w:r>
        <w:rPr>
          <w:rFonts w:ascii="宋体" w:hAnsi="宋体" w:cs="宋体" w:eastAsia="宋体" w:hint="default"/>
          <w:spacing w:val="-5"/>
        </w:rPr>
        <w:t>0</w:t>
      </w:r>
      <w:r>
        <w:rPr>
          <w:rFonts w:ascii="宋体" w:hAnsi="宋体" w:cs="宋体" w:eastAsia="宋体" w:hint="default"/>
          <w:spacing w:val="51"/>
        </w:rPr>
        <w:t> </w:t>
      </w:r>
      <w:r>
        <w:rPr/>
        <w:t>元</w:t>
      </w:r>
      <w:r>
        <w:rPr>
          <w:rFonts w:ascii="宋体" w:hAnsi="宋体" w:cs="宋体" w:eastAsia="宋体" w:hint="default"/>
        </w:rPr>
        <w:t>,</w:t>
      </w:r>
      <w:r>
        <w:rPr/>
        <w:t>上期被合并方实现的</w:t>
      </w:r>
      <w:r>
        <w:rPr>
          <w:spacing w:val="-96"/>
        </w:rPr>
        <w:t> </w:t>
      </w:r>
      <w:r>
        <w:rPr>
          <w:spacing w:val="-96"/>
        </w:rPr>
      </w:r>
      <w:r>
        <w:rPr/>
        <w:t>净利润为：</w:t>
      </w:r>
      <w:r>
        <w:rPr>
          <w:rFonts w:ascii="宋体" w:hAnsi="宋体" w:cs="宋体" w:eastAsia="宋体" w:hint="default"/>
        </w:rPr>
        <w:t>-415,567</w:t>
      </w:r>
      <w:r>
        <w:rPr>
          <w:rFonts w:ascii="宋体" w:hAnsi="宋体" w:cs="宋体" w:eastAsia="宋体" w:hint="default"/>
          <w:spacing w:val="2"/>
        </w:rPr>
        <w:t> </w:t>
      </w:r>
      <w:r>
        <w:rPr>
          <w:spacing w:val="-3"/>
        </w:rPr>
        <w:t>元。</w:t>
      </w:r>
      <w:r>
        <w:rPr/>
      </w:r>
    </w:p>
    <w:p>
      <w:pPr>
        <w:pStyle w:val="BodyText"/>
        <w:spacing w:line="271" w:lineRule="exact"/>
        <w:ind w:left="218" w:right="234"/>
        <w:jc w:val="left"/>
      </w:pPr>
      <w:r>
        <w:rPr/>
        <w:t>法定代表人：周鸿祎 主管会计工作负责人：张矛</w:t>
      </w:r>
      <w:r>
        <w:rPr>
          <w:spacing w:val="-9"/>
        </w:rPr>
        <w:t> </w:t>
      </w:r>
      <w:r>
        <w:rPr/>
        <w:t>会计机构负责人：张海龙</w:t>
      </w:r>
    </w:p>
    <w:p>
      <w:pPr>
        <w:spacing w:after="0" w:line="271" w:lineRule="exact"/>
        <w:jc w:val="left"/>
        <w:sectPr>
          <w:pgSz w:w="11910" w:h="16840"/>
          <w:pgMar w:header="855" w:footer="1217" w:top="1320" w:bottom="1400" w:left="1580" w:right="10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5" w:footer="1217" w:top="1320" w:bottom="1400" w:left="1580" w:right="1040"/>
        </w:sectPr>
      </w:pPr>
    </w:p>
    <w:p>
      <w:pPr>
        <w:spacing w:line="240" w:lineRule="auto" w:before="4"/>
        <w:rPr>
          <w:rFonts w:ascii="宋体" w:hAnsi="宋体" w:cs="宋体" w:eastAsia="宋体" w:hint="default"/>
          <w:sz w:val="15"/>
          <w:szCs w:val="15"/>
        </w:rPr>
      </w:pPr>
    </w:p>
    <w:p>
      <w:pPr>
        <w:spacing w:line="272" w:lineRule="exact" w:before="0"/>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tabs>
          <w:tab w:pos="2458" w:val="left" w:leader="none"/>
        </w:tabs>
        <w:spacing w:line="240" w:lineRule="auto"/>
        <w:ind w:left="1301" w:right="0"/>
        <w:jc w:val="left"/>
      </w:pPr>
      <w:r>
        <w:rPr>
          <w:spacing w:val="-1"/>
        </w:rPr>
        <w:t>单位</w:t>
      </w:r>
      <w:r>
        <w:rPr>
          <w:rFonts w:ascii="宋体" w:hAnsi="宋体" w:cs="宋体" w:eastAsia="宋体" w:hint="default"/>
          <w:spacing w:val="-1"/>
        </w:rPr>
        <w:t>:</w:t>
      </w:r>
      <w:r>
        <w:rPr>
          <w:spacing w:val="-1"/>
        </w:rPr>
        <w:t>千元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320" w:bottom="140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645"/>
        <w:gridCol w:w="852"/>
        <w:gridCol w:w="1844"/>
        <w:gridCol w:w="1709"/>
      </w:tblGrid>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4"/>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8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116,710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1,954,159</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56,776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1,410,544</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1,965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14,408</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25,500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299,562</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178,631</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81,554</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25,203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98,403</w:t>
            </w:r>
          </w:p>
        </w:tc>
      </w:tr>
      <w:tr>
        <w:trPr>
          <w:trHeight w:val="289"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(33,066)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300</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6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36,781</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2,651</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14,702</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1,591,629</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6,844</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2"/>
                <w:sz w:val="21"/>
                <w:szCs w:val="21"/>
              </w:rPr>
              <w:t>其中：对联营企业和合营企业的投资收益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hAnsi="宋体" w:cs="宋体" w:eastAsia="宋体" w:hint="default"/>
                <w:spacing w:val="-6"/>
                <w:sz w:val="21"/>
                <w:szCs w:val="21"/>
              </w:rPr>
              <w:t>公允价值变动收益（损失以“－”号填列）</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资产处置收益（损失以“－”号填列）</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1,453,330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41,557</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5,945</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1,197</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2,005</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1,452,425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45,497</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1,520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5,715</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1,450,905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39,782</w:t>
            </w:r>
          </w:p>
        </w:tc>
      </w:tr>
      <w:tr>
        <w:trPr>
          <w:trHeight w:val="562"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（一）持续经营净利润（净亏损以“－”号</w:t>
            </w:r>
          </w:p>
          <w:p>
            <w:pPr>
              <w:pStyle w:val="TableParagraph"/>
              <w:spacing w:line="273" w:lineRule="exact"/>
              <w:ind w:left="8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1,450,905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39,782</w:t>
            </w:r>
          </w:p>
        </w:tc>
      </w:tr>
      <w:tr>
        <w:trPr>
          <w:trHeight w:val="559"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03" w:right="0"/>
              <w:jc w:val="left"/>
              <w:rPr>
                <w:rFonts w:ascii="宋体" w:hAnsi="宋体" w:cs="宋体" w:eastAsia="宋体" w:hint="default"/>
                <w:sz w:val="21"/>
                <w:szCs w:val="21"/>
              </w:rPr>
            </w:pPr>
            <w:r>
              <w:rPr>
                <w:rFonts w:ascii="宋体" w:hAnsi="宋体" w:cs="宋体" w:eastAsia="宋体" w:hint="default"/>
                <w:sz w:val="21"/>
                <w:szCs w:val="21"/>
              </w:rPr>
              <w:t>（二）终止经营净利润（净亏损以“－”号</w:t>
            </w:r>
          </w:p>
          <w:p>
            <w:pPr>
              <w:pStyle w:val="TableParagraph"/>
              <w:spacing w:line="273" w:lineRule="exact"/>
              <w:ind w:left="8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权益法下不能转损益的其他综合收益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权益法下可转损益的其他综合收益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持有至到期投资重分类为可供出售金融资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产损益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1,450,905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39,782</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left="218" w:right="234"/>
        <w:jc w:val="left"/>
      </w:pPr>
      <w:r>
        <w:rPr/>
        <w:t>法定代表人：周鸿祎 主管会计工作负责人：张矛</w:t>
      </w:r>
      <w:r>
        <w:rPr>
          <w:spacing w:val="-9"/>
        </w:rPr>
        <w:t> </w:t>
      </w:r>
      <w:r>
        <w:rPr/>
        <w:t>会计机构负责人：张海龙</w:t>
      </w:r>
    </w:p>
    <w:p>
      <w:pPr>
        <w:spacing w:after="0" w:line="240" w:lineRule="auto"/>
        <w:jc w:val="left"/>
        <w:sectPr>
          <w:type w:val="continuous"/>
          <w:pgSz w:w="11910" w:h="16840"/>
          <w:pgMar w:top="1320" w:bottom="1400" w:left="1580" w:right="1040"/>
        </w:sectPr>
      </w:pPr>
    </w:p>
    <w:p>
      <w:pPr>
        <w:spacing w:line="240" w:lineRule="auto" w:before="7"/>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855" w:footer="1217" w:top="1320" w:bottom="1400" w:left="1580" w:right="1040"/>
        </w:sectPr>
      </w:pPr>
    </w:p>
    <w:p>
      <w:pPr>
        <w:spacing w:before="36"/>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090"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645"/>
        <w:gridCol w:w="852"/>
        <w:gridCol w:w="1844"/>
        <w:gridCol w:w="1709"/>
      </w:tblGrid>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15,596,446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13,755,398</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金融资产净增加额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2,624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2,330</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469,067</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1,322,051</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16,068,137</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15,079,779</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7,319,805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5,953,258</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2,510,461</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2,169,382</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1,428,475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1,490,764</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1,061,601</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1,323,846</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12,320,342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10,937,250</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3,747,795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4,142,529</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715,114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645,867</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102,044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299,536</w:t>
            </w:r>
          </w:p>
        </w:tc>
      </w:tr>
      <w:tr>
        <w:trPr>
          <w:trHeight w:val="560"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4,960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16,452</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23"/>
              <w:jc w:val="righ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处置子公司及其他营业单位收到的现金净额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266,180</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10,802,224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23,662,624</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11,624,342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24,890,659</w:t>
            </w:r>
          </w:p>
        </w:tc>
      </w:tr>
      <w:tr>
        <w:trPr>
          <w:trHeight w:val="559"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499,517</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284,068</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593,161</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304,577</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23"/>
              <w:jc w:val="righ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取得子公司及其他营业单位支付的现金净额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43,024</w:t>
            </w: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14,531,126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15,256,435</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15,666,828</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15,845,080</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(4,042,486)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9,045,579</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320" w:bottom="1400" w:left="1580" w:right="1040"/>
        </w:sectPr>
      </w:pPr>
    </w:p>
    <w:p>
      <w:pPr>
        <w:spacing w:line="240" w:lineRule="auto" w:before="11"/>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4645"/>
        <w:gridCol w:w="852"/>
        <w:gridCol w:w="1844"/>
        <w:gridCol w:w="1709"/>
      </w:tblGrid>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3,002,657</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23"/>
              <w:jc w:val="right"/>
              <w:rPr>
                <w:rFonts w:ascii="宋体" w:hAnsi="宋体" w:cs="宋体" w:eastAsia="宋体" w:hint="default"/>
                <w:sz w:val="21"/>
                <w:szCs w:val="21"/>
              </w:rPr>
            </w:pPr>
            <w:r>
              <w:rPr>
                <w:rFonts w:ascii="宋体" w:hAnsi="宋体" w:cs="宋体" w:eastAsia="宋体" w:hint="default"/>
                <w:spacing w:val="-2"/>
                <w:sz w:val="21"/>
                <w:szCs w:val="21"/>
              </w:rPr>
              <w:t>其中：子公司吸收少数股东投资收到的现金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515,991</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3,518,648</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14,864,100</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18,263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78,511</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23"/>
              <w:jc w:val="right"/>
              <w:rPr>
                <w:rFonts w:ascii="宋体" w:hAnsi="宋体" w:cs="宋体" w:eastAsia="宋体" w:hint="default"/>
                <w:sz w:val="21"/>
                <w:szCs w:val="21"/>
              </w:rPr>
            </w:pPr>
            <w:r>
              <w:rPr>
                <w:rFonts w:ascii="宋体" w:hAnsi="宋体" w:cs="宋体" w:eastAsia="宋体" w:hint="default"/>
                <w:spacing w:val="-2"/>
                <w:sz w:val="21"/>
                <w:szCs w:val="21"/>
              </w:rPr>
              <w:t>其中：子公司支付给少数股东的股利、利润</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228,414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557,473</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246,677</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15,500,084</w:t>
            </w:r>
          </w:p>
        </w:tc>
      </w:tr>
      <w:tr>
        <w:trPr>
          <w:trHeight w:val="289"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(246,677)</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(11,981,436)</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40,426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(44,849)</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(500,942)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1,161,823</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3,234,707</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2,072,884</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2,733,765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3,234,707</w:t>
            </w:r>
          </w:p>
        </w:tc>
      </w:tr>
    </w:tbl>
    <w:p>
      <w:pPr>
        <w:spacing w:line="240" w:lineRule="auto" w:before="7"/>
        <w:rPr>
          <w:rFonts w:ascii="宋体" w:hAnsi="宋体" w:cs="宋体" w:eastAsia="宋体" w:hint="default"/>
          <w:sz w:val="15"/>
          <w:szCs w:val="15"/>
        </w:rPr>
      </w:pPr>
    </w:p>
    <w:p>
      <w:pPr>
        <w:pStyle w:val="BodyText"/>
        <w:spacing w:line="240" w:lineRule="auto" w:before="36"/>
        <w:ind w:left="218" w:right="234"/>
        <w:jc w:val="left"/>
      </w:pPr>
      <w:r>
        <w:rPr/>
        <w:t>法定代表人：周鸿祎 主管会计工作负责人：张矛</w:t>
      </w:r>
      <w:r>
        <w:rPr>
          <w:spacing w:val="-9"/>
        </w:rPr>
        <w:t> </w:t>
      </w:r>
      <w:r>
        <w:rPr/>
        <w:t>会计机构负责人：张海龙</w:t>
      </w:r>
    </w:p>
    <w:p>
      <w:pPr>
        <w:spacing w:after="0" w:line="240" w:lineRule="auto"/>
        <w:jc w:val="left"/>
        <w:sectPr>
          <w:pgSz w:w="11910" w:h="16840"/>
          <w:pgMar w:header="855" w:footer="1217" w:top="1320" w:bottom="1400" w:left="1580" w:right="1040"/>
        </w:sectPr>
      </w:pPr>
    </w:p>
    <w:p>
      <w:pPr>
        <w:spacing w:line="240" w:lineRule="auto" w:before="7"/>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855" w:footer="1217" w:top="1320" w:bottom="1400" w:left="1580" w:right="1040"/>
        </w:sectPr>
      </w:pPr>
    </w:p>
    <w:p>
      <w:pPr>
        <w:spacing w:before="36"/>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77" w:val="left" w:leader="none"/>
        </w:tabs>
        <w:spacing w:line="240" w:lineRule="auto"/>
        <w:ind w:left="1220" w:right="0"/>
        <w:jc w:val="left"/>
      </w:pPr>
      <w:r>
        <w:rPr>
          <w:spacing w:val="-1"/>
        </w:rPr>
        <w:t>单位</w:t>
      </w:r>
      <w:r>
        <w:rPr>
          <w:rFonts w:ascii="宋体" w:hAnsi="宋体" w:cs="宋体" w:eastAsia="宋体" w:hint="default"/>
          <w:spacing w:val="-1"/>
        </w:rPr>
        <w:t>:</w:t>
      </w:r>
      <w:r>
        <w:rPr>
          <w:spacing w:val="-1"/>
        </w:rPr>
        <w:t>千元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320" w:bottom="1400" w:left="1580" w:right="1040"/>
          <w:cols w:num="2" w:equalWidth="0">
            <w:col w:w="5480" w:space="40"/>
            <w:col w:w="3770"/>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645"/>
        <w:gridCol w:w="852"/>
        <w:gridCol w:w="1844"/>
        <w:gridCol w:w="1709"/>
      </w:tblGrid>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174,980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1,949,329</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3,813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6,261</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116,975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137,316</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295,768</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2,092,906</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192,369</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1,475,340</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24,118</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303,792</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8,122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44,732</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107,286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286,491</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331,895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2,110,355</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(36,127)</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(17,449)</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330,000</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6,844</w:t>
            </w:r>
          </w:p>
        </w:tc>
      </w:tr>
      <w:tr>
        <w:trPr>
          <w:trHeight w:val="559"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117</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23"/>
              <w:jc w:val="righ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处置子公司及其他营业单位收到的现金净额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1,690,000</w:t>
            </w: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1,690,000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336,961</w:t>
            </w:r>
          </w:p>
        </w:tc>
      </w:tr>
      <w:tr>
        <w:trPr>
          <w:trHeight w:val="560"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1,642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34,417</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177,111</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242,100</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23"/>
              <w:jc w:val="righ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取得子公司及其他营业单位支付的现金净额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1,635,000</w:t>
            </w: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1,813,753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276,517</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(123,753)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60,444</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19,095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51,634</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1,653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23,610</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20,748</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75,244</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(20,748)</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(75,244)</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(1,786)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(2,359)</w:t>
            </w:r>
          </w:p>
        </w:tc>
      </w:tr>
      <w:tr>
        <w:trPr>
          <w:trHeight w:val="28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(182,414)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(34,608)</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196,707</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231,315</w:t>
            </w:r>
          </w:p>
        </w:tc>
      </w:tr>
      <w:tr>
        <w:trPr>
          <w:trHeight w:val="28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14,293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196,707</w:t>
            </w:r>
          </w:p>
        </w:tc>
      </w:tr>
    </w:tbl>
    <w:p>
      <w:pPr>
        <w:spacing w:line="240" w:lineRule="auto" w:before="7"/>
        <w:rPr>
          <w:rFonts w:ascii="宋体" w:hAnsi="宋体" w:cs="宋体" w:eastAsia="宋体" w:hint="default"/>
          <w:sz w:val="15"/>
          <w:szCs w:val="15"/>
        </w:rPr>
      </w:pPr>
    </w:p>
    <w:p>
      <w:pPr>
        <w:pStyle w:val="BodyText"/>
        <w:spacing w:line="240" w:lineRule="auto" w:before="36"/>
        <w:ind w:left="218" w:right="234"/>
        <w:jc w:val="left"/>
      </w:pPr>
      <w:r>
        <w:rPr/>
        <w:t>法定代表人：周鸿祎 主管会计工作负责人：张矛</w:t>
      </w:r>
      <w:r>
        <w:rPr>
          <w:spacing w:val="-9"/>
        </w:rPr>
        <w:t> </w:t>
      </w:r>
      <w:r>
        <w:rPr/>
        <w:t>会计机构负责人：张海龙</w:t>
      </w:r>
    </w:p>
    <w:p>
      <w:pPr>
        <w:spacing w:after="0" w:line="240" w:lineRule="auto"/>
        <w:jc w:val="left"/>
        <w:sectPr>
          <w:type w:val="continuous"/>
          <w:pgSz w:w="11910" w:h="16840"/>
          <w:pgMar w:top="1320" w:bottom="1400" w:left="1580" w:right="1040"/>
        </w:sectPr>
      </w:pPr>
    </w:p>
    <w:p>
      <w:pPr>
        <w:spacing w:line="240" w:lineRule="auto" w:before="8"/>
        <w:rPr>
          <w:rFonts w:ascii="宋体" w:hAnsi="宋体" w:cs="宋体" w:eastAsia="宋体" w:hint="default"/>
          <w:sz w:val="3"/>
          <w:szCs w:val="3"/>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headerReference w:type="default" r:id="rId53"/>
          <w:footerReference w:type="default" r:id="rId54"/>
          <w:pgSz w:w="16840" w:h="11910" w:orient="landscape"/>
          <w:pgMar w:header="857" w:footer="1218" w:top="1260" w:bottom="1400" w:left="1360" w:right="1220"/>
          <w:pgNumType w:start="110"/>
        </w:sectPr>
      </w:pPr>
    </w:p>
    <w:p>
      <w:pPr>
        <w:spacing w:line="244" w:lineRule="auto" w:before="44"/>
        <w:ind w:left="6433" w:right="-20" w:hanging="252"/>
        <w:jc w:val="left"/>
        <w:rPr>
          <w:rFonts w:ascii="宋体" w:hAnsi="宋体" w:cs="宋体" w:eastAsia="宋体" w:hint="default"/>
          <w:sz w:val="18"/>
          <w:szCs w:val="18"/>
        </w:rPr>
      </w:pPr>
      <w:r>
        <w:rPr>
          <w:rFonts w:ascii="宋体" w:hAnsi="宋体" w:cs="宋体" w:eastAsia="宋体" w:hint="default"/>
          <w:b/>
          <w:bCs/>
          <w:sz w:val="18"/>
          <w:szCs w:val="18"/>
        </w:rPr>
        <w:t>合并所有者权益变动表</w:t>
      </w:r>
      <w:r>
        <w:rPr>
          <w:rFonts w:ascii="宋体" w:hAnsi="宋体" w:cs="宋体" w:eastAsia="宋体" w:hint="default"/>
          <w:b/>
          <w:bCs/>
          <w:w w:val="99"/>
          <w:sz w:val="18"/>
          <w:szCs w:val="18"/>
        </w:rPr>
        <w:t>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22"/>
          <w:szCs w:val="22"/>
        </w:rPr>
      </w:pPr>
    </w:p>
    <w:p>
      <w:pPr>
        <w:spacing w:before="0"/>
        <w:ind w:left="4029"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w:t>
      </w:r>
      <w:r>
        <w:rPr>
          <w:rFonts w:ascii="宋体" w:hAnsi="宋体" w:cs="宋体" w:eastAsia="宋体" w:hint="default"/>
          <w:sz w:val="18"/>
          <w:szCs w:val="18"/>
        </w:rPr>
        <w:t>千元 </w:t>
      </w:r>
      <w:r>
        <w:rPr>
          <w:rFonts w:ascii="宋体" w:hAnsi="宋体" w:cs="宋体" w:eastAsia="宋体" w:hint="default"/>
          <w:spacing w:val="2"/>
          <w:sz w:val="18"/>
          <w:szCs w:val="18"/>
        </w:rPr>
        <w:t> </w:t>
      </w:r>
      <w:r>
        <w:rPr>
          <w:rFonts w:ascii="宋体" w:hAnsi="宋体" w:cs="宋体" w:eastAsia="宋体" w:hint="default"/>
          <w:sz w:val="18"/>
          <w:szCs w:val="18"/>
        </w:rPr>
        <w:t>币种</w:t>
      </w:r>
      <w:r>
        <w:rPr>
          <w:rFonts w:ascii="宋体" w:hAnsi="宋体" w:cs="宋体" w:eastAsia="宋体" w:hint="default"/>
          <w:sz w:val="18"/>
          <w:szCs w:val="18"/>
        </w:rPr>
        <w:t>:</w:t>
      </w:r>
      <w:r>
        <w:rPr>
          <w:rFonts w:ascii="宋体" w:hAnsi="宋体" w:cs="宋体" w:eastAsia="宋体" w:hint="default"/>
          <w:sz w:val="18"/>
          <w:szCs w:val="18"/>
        </w:rPr>
        <w:t>人民币</w:t>
      </w:r>
    </w:p>
    <w:p>
      <w:pPr>
        <w:spacing w:after="0"/>
        <w:jc w:val="left"/>
        <w:rPr>
          <w:rFonts w:ascii="宋体" w:hAnsi="宋体" w:cs="宋体" w:eastAsia="宋体" w:hint="default"/>
          <w:sz w:val="18"/>
          <w:szCs w:val="18"/>
        </w:rPr>
        <w:sectPr>
          <w:type w:val="continuous"/>
          <w:pgSz w:w="16840" w:h="11910" w:orient="landscape"/>
          <w:pgMar w:top="1320" w:bottom="1400" w:left="1360" w:right="1220"/>
          <w:cols w:num="2" w:equalWidth="0">
            <w:col w:w="7989" w:space="40"/>
            <w:col w:w="6231"/>
          </w:cols>
        </w:sectPr>
      </w:pPr>
    </w:p>
    <w:p>
      <w:pPr>
        <w:spacing w:line="240" w:lineRule="auto" w:before="1"/>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92"/>
        <w:gridCol w:w="1167"/>
        <w:gridCol w:w="708"/>
        <w:gridCol w:w="708"/>
        <w:gridCol w:w="710"/>
        <w:gridCol w:w="1133"/>
        <w:gridCol w:w="708"/>
        <w:gridCol w:w="1135"/>
        <w:gridCol w:w="566"/>
        <w:gridCol w:w="853"/>
        <w:gridCol w:w="708"/>
        <w:gridCol w:w="1135"/>
        <w:gridCol w:w="991"/>
        <w:gridCol w:w="1212"/>
      </w:tblGrid>
      <w:tr>
        <w:trPr>
          <w:trHeight w:val="250" w:hRule="exact"/>
        </w:trPr>
        <w:tc>
          <w:tcPr>
            <w:tcW w:w="22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73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26"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292" w:type="dxa"/>
            <w:vMerge/>
            <w:tcBorders>
              <w:left w:val="single" w:sz="4" w:space="0" w:color="000000"/>
              <w:right w:val="single" w:sz="4" w:space="0" w:color="000000"/>
            </w:tcBorders>
          </w:tcPr>
          <w:p>
            <w:pPr/>
          </w:p>
        </w:tc>
        <w:tc>
          <w:tcPr>
            <w:tcW w:w="953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68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09" w:right="13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20" w:right="149" w:hanging="270"/>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362" w:hRule="exact"/>
        </w:trPr>
        <w:tc>
          <w:tcPr>
            <w:tcW w:w="2292" w:type="dxa"/>
            <w:vMerge/>
            <w:tcBorders>
              <w:left w:val="single" w:sz="4" w:space="0" w:color="000000"/>
              <w:right w:val="single" w:sz="4" w:space="0" w:color="000000"/>
            </w:tcBorders>
          </w:tcPr>
          <w:p>
            <w:pPr/>
          </w:p>
        </w:tc>
        <w:tc>
          <w:tcPr>
            <w:tcW w:w="116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1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70" w:right="98"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472" w:right="11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66" w:type="dxa"/>
            <w:vMerge w:val="restart"/>
            <w:tcBorders>
              <w:top w:val="single" w:sz="4" w:space="0" w:color="000000"/>
              <w:left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专</w:t>
            </w:r>
          </w:p>
          <w:p>
            <w:pPr>
              <w:pStyle w:val="TableParagraph"/>
              <w:spacing w:line="244" w:lineRule="auto" w:before="4"/>
              <w:ind w:left="187" w:right="187"/>
              <w:jc w:val="both"/>
              <w:rPr>
                <w:rFonts w:ascii="宋体" w:hAnsi="宋体" w:cs="宋体" w:eastAsia="宋体" w:hint="default"/>
                <w:sz w:val="18"/>
                <w:szCs w:val="18"/>
              </w:rPr>
            </w:pPr>
            <w:r>
              <w:rPr>
                <w:rFonts w:ascii="宋体" w:hAnsi="宋体" w:cs="宋体" w:eastAsia="宋体" w:hint="default"/>
                <w:sz w:val="18"/>
                <w:szCs w:val="18"/>
              </w:rPr>
              <w:t>项 储 备</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331" w:right="14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08" w:type="dxa"/>
            <w:vMerge w:val="restart"/>
            <w:tcBorders>
              <w:top w:val="single" w:sz="4" w:space="0" w:color="000000"/>
              <w:left w:val="single" w:sz="4" w:space="0" w:color="000000"/>
              <w:right w:val="single" w:sz="4" w:space="0" w:color="000000"/>
            </w:tcBorders>
          </w:tcPr>
          <w:p>
            <w:pPr>
              <w:pStyle w:val="TableParagraph"/>
              <w:spacing w:line="244" w:lineRule="auto" w:before="97"/>
              <w:ind w:left="167" w:right="168"/>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91"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r>
      <w:tr>
        <w:trPr>
          <w:trHeight w:val="608" w:hRule="exact"/>
        </w:trPr>
        <w:tc>
          <w:tcPr>
            <w:tcW w:w="2292" w:type="dxa"/>
            <w:vMerge/>
            <w:tcBorders>
              <w:left w:val="single" w:sz="4" w:space="0" w:color="000000"/>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7"/>
              <w:ind w:left="259" w:right="16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7"/>
              <w:ind w:left="259" w:right="168"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3"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6,366,873</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5,378,868</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(254,790)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163,923</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4,393,106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4" w:right="0"/>
              <w:jc w:val="center"/>
              <w:rPr>
                <w:rFonts w:ascii="宋体" w:hAnsi="宋体" w:cs="宋体" w:eastAsia="宋体" w:hint="default"/>
                <w:sz w:val="18"/>
                <w:szCs w:val="18"/>
              </w:rPr>
            </w:pPr>
            <w:r>
              <w:rPr>
                <w:rFonts w:ascii="宋体"/>
                <w:sz w:val="18"/>
              </w:rPr>
              <w:t>267,395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16,315,375</w:t>
            </w: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1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6,366,873</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5,378,868</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(254,790)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163,923</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4,393,106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44" w:right="0"/>
              <w:jc w:val="center"/>
              <w:rPr>
                <w:rFonts w:ascii="宋体" w:hAnsi="宋体" w:cs="宋体" w:eastAsia="宋体" w:hint="default"/>
                <w:sz w:val="18"/>
                <w:szCs w:val="18"/>
              </w:rPr>
            </w:pPr>
            <w:r>
              <w:rPr>
                <w:rFonts w:ascii="宋体"/>
                <w:sz w:val="18"/>
              </w:rPr>
              <w:t>267,395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16,315,375</w:t>
            </w: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397,182</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1,653,406</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2,367,114</w:t>
            </w: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145,090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3,371,482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5" w:right="0"/>
              <w:jc w:val="center"/>
              <w:rPr>
                <w:rFonts w:ascii="宋体" w:hAnsi="宋体" w:cs="宋体" w:eastAsia="宋体" w:hint="default"/>
                <w:sz w:val="18"/>
                <w:szCs w:val="18"/>
              </w:rPr>
            </w:pPr>
            <w:r>
              <w:rPr>
                <w:rFonts w:ascii="宋体"/>
                <w:sz w:val="18"/>
              </w:rPr>
              <w:t>29,850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7,964,124</w:t>
            </w: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2,367,114</w:t>
            </w: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3,534,835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5" w:right="0"/>
              <w:jc w:val="center"/>
              <w:rPr>
                <w:rFonts w:ascii="宋体" w:hAnsi="宋体" w:cs="宋体" w:eastAsia="宋体" w:hint="default"/>
                <w:sz w:val="18"/>
                <w:szCs w:val="18"/>
              </w:rPr>
            </w:pPr>
            <w:r>
              <w:rPr>
                <w:rFonts w:ascii="宋体"/>
                <w:sz w:val="18"/>
              </w:rPr>
              <w:t>(15,846)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5,886,103</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5"/>
                <w:sz w:val="18"/>
                <w:szCs w:val="18"/>
              </w:rPr>
              <w:t>）</w:t>
            </w:r>
            <w:r>
              <w:rPr>
                <w:rFonts w:ascii="宋体" w:hAnsi="宋体" w:cs="宋体" w:eastAsia="宋体" w:hint="default"/>
                <w:sz w:val="18"/>
                <w:szCs w:val="18"/>
              </w:rPr>
              <w:t>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1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53,371</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5" w:right="0"/>
              <w:jc w:val="center"/>
              <w:rPr>
                <w:rFonts w:ascii="宋体" w:hAnsi="宋体" w:cs="宋体" w:eastAsia="宋体" w:hint="default"/>
                <w:sz w:val="18"/>
                <w:szCs w:val="18"/>
              </w:rPr>
            </w:pPr>
            <w:r>
              <w:rPr>
                <w:rFonts w:ascii="宋体"/>
                <w:sz w:val="18"/>
              </w:rPr>
              <w:t>45,696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99,067</w:t>
            </w: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1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11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11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1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53,371</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5" w:right="0"/>
              <w:jc w:val="center"/>
              <w:rPr>
                <w:rFonts w:ascii="宋体" w:hAnsi="宋体" w:cs="宋体" w:eastAsia="宋体" w:hint="default"/>
                <w:sz w:val="18"/>
                <w:szCs w:val="18"/>
              </w:rPr>
            </w:pPr>
            <w:r>
              <w:rPr>
                <w:rFonts w:ascii="宋体"/>
                <w:sz w:val="18"/>
              </w:rPr>
              <w:t>45,696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99,067</w:t>
            </w: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145,090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(163,353)</w:t>
            </w:r>
          </w:p>
        </w:tc>
        <w:tc>
          <w:tcPr>
            <w:tcW w:w="99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(18,263)</w:t>
            </w: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1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145,090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(145,090)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1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1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(18,263)</w:t>
            </w:r>
          </w:p>
        </w:tc>
        <w:tc>
          <w:tcPr>
            <w:tcW w:w="99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(18,263)</w:t>
            </w: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1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5"/>
                <w:sz w:val="18"/>
                <w:szCs w:val="18"/>
              </w:rPr>
              <w:t>）</w:t>
            </w:r>
            <w:r>
              <w:rPr>
                <w:rFonts w:ascii="宋体" w:hAnsi="宋体" w:cs="宋体" w:eastAsia="宋体" w:hint="default"/>
                <w:sz w:val="18"/>
                <w:szCs w:val="18"/>
              </w:rPr>
              <w:t>所有者权益内部结转</w:t>
            </w:r>
          </w:p>
        </w:tc>
        <w:tc>
          <w:tcPr>
            <w:tcW w:w="11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320" w:bottom="1400" w:left="1360" w:right="1220"/>
        </w:sectPr>
      </w:pPr>
    </w:p>
    <w:p>
      <w:pPr>
        <w:spacing w:line="240" w:lineRule="auto" w:before="8"/>
        <w:rPr>
          <w:rFonts w:ascii="Times New Roman" w:hAnsi="Times New Roman" w:cs="Times New Roman" w:eastAsia="Times New Roman"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2292"/>
        <w:gridCol w:w="1167"/>
        <w:gridCol w:w="708"/>
        <w:gridCol w:w="708"/>
        <w:gridCol w:w="710"/>
        <w:gridCol w:w="1133"/>
        <w:gridCol w:w="708"/>
        <w:gridCol w:w="1135"/>
        <w:gridCol w:w="566"/>
        <w:gridCol w:w="853"/>
        <w:gridCol w:w="708"/>
        <w:gridCol w:w="1135"/>
        <w:gridCol w:w="991"/>
        <w:gridCol w:w="1212"/>
      </w:tblGrid>
      <w:tr>
        <w:trPr>
          <w:trHeight w:val="487" w:hRule="exact"/>
        </w:trPr>
        <w:tc>
          <w:tcPr>
            <w:tcW w:w="2292" w:type="dxa"/>
            <w:tcBorders>
              <w:top w:val="single" w:sz="10"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67" w:type="dxa"/>
            <w:tcBorders>
              <w:top w:val="single" w:sz="10" w:space="0" w:color="000000"/>
              <w:left w:val="single" w:sz="4" w:space="0" w:color="000000"/>
              <w:bottom w:val="single" w:sz="4" w:space="0" w:color="000000"/>
              <w:right w:val="single" w:sz="4" w:space="0" w:color="000000"/>
            </w:tcBorders>
          </w:tcPr>
          <w:p>
            <w:pPr/>
          </w:p>
        </w:tc>
        <w:tc>
          <w:tcPr>
            <w:tcW w:w="708" w:type="dxa"/>
            <w:tcBorders>
              <w:top w:val="single" w:sz="10" w:space="0" w:color="000000"/>
              <w:left w:val="single" w:sz="4" w:space="0" w:color="000000"/>
              <w:bottom w:val="single" w:sz="4" w:space="0" w:color="000000"/>
              <w:right w:val="single" w:sz="4" w:space="0" w:color="000000"/>
            </w:tcBorders>
          </w:tcPr>
          <w:p>
            <w:pPr/>
          </w:p>
        </w:tc>
        <w:tc>
          <w:tcPr>
            <w:tcW w:w="708" w:type="dxa"/>
            <w:tcBorders>
              <w:top w:val="single" w:sz="10" w:space="0" w:color="000000"/>
              <w:left w:val="single" w:sz="4" w:space="0" w:color="000000"/>
              <w:bottom w:val="single" w:sz="4" w:space="0" w:color="000000"/>
              <w:right w:val="single" w:sz="4" w:space="0" w:color="000000"/>
            </w:tcBorders>
          </w:tcPr>
          <w:p>
            <w:pPr/>
          </w:p>
        </w:tc>
        <w:tc>
          <w:tcPr>
            <w:tcW w:w="710" w:type="dxa"/>
            <w:tcBorders>
              <w:top w:val="single" w:sz="10" w:space="0" w:color="000000"/>
              <w:left w:val="single" w:sz="4" w:space="0" w:color="000000"/>
              <w:bottom w:val="single" w:sz="4" w:space="0" w:color="000000"/>
              <w:right w:val="single" w:sz="4" w:space="0" w:color="000000"/>
            </w:tcBorders>
          </w:tcPr>
          <w:p>
            <w:pPr/>
          </w:p>
        </w:tc>
        <w:tc>
          <w:tcPr>
            <w:tcW w:w="1133" w:type="dxa"/>
            <w:tcBorders>
              <w:top w:val="single" w:sz="10" w:space="0" w:color="000000"/>
              <w:left w:val="single" w:sz="4" w:space="0" w:color="000000"/>
              <w:bottom w:val="single" w:sz="4" w:space="0" w:color="000000"/>
              <w:right w:val="single" w:sz="4" w:space="0" w:color="000000"/>
            </w:tcBorders>
          </w:tcPr>
          <w:p>
            <w:pPr/>
          </w:p>
        </w:tc>
        <w:tc>
          <w:tcPr>
            <w:tcW w:w="708" w:type="dxa"/>
            <w:tcBorders>
              <w:top w:val="single" w:sz="10" w:space="0" w:color="000000"/>
              <w:left w:val="single" w:sz="4" w:space="0" w:color="000000"/>
              <w:bottom w:val="single" w:sz="4" w:space="0" w:color="000000"/>
              <w:right w:val="single" w:sz="4" w:space="0" w:color="000000"/>
            </w:tcBorders>
          </w:tcPr>
          <w:p>
            <w:pPr/>
          </w:p>
        </w:tc>
        <w:tc>
          <w:tcPr>
            <w:tcW w:w="1135" w:type="dxa"/>
            <w:tcBorders>
              <w:top w:val="single" w:sz="10" w:space="0" w:color="000000"/>
              <w:left w:val="single" w:sz="4" w:space="0" w:color="000000"/>
              <w:bottom w:val="single" w:sz="4" w:space="0" w:color="000000"/>
              <w:right w:val="single" w:sz="4" w:space="0" w:color="000000"/>
            </w:tcBorders>
          </w:tcPr>
          <w:p>
            <w:pPr/>
          </w:p>
        </w:tc>
        <w:tc>
          <w:tcPr>
            <w:tcW w:w="566" w:type="dxa"/>
            <w:tcBorders>
              <w:top w:val="single" w:sz="10" w:space="0" w:color="000000"/>
              <w:left w:val="single" w:sz="4" w:space="0" w:color="000000"/>
              <w:bottom w:val="single" w:sz="4" w:space="0" w:color="000000"/>
              <w:right w:val="single" w:sz="4" w:space="0" w:color="000000"/>
            </w:tcBorders>
          </w:tcPr>
          <w:p>
            <w:pPr/>
          </w:p>
        </w:tc>
        <w:tc>
          <w:tcPr>
            <w:tcW w:w="853" w:type="dxa"/>
            <w:tcBorders>
              <w:top w:val="single" w:sz="10" w:space="0" w:color="000000"/>
              <w:left w:val="single" w:sz="4" w:space="0" w:color="000000"/>
              <w:bottom w:val="single" w:sz="4" w:space="0" w:color="000000"/>
              <w:right w:val="single" w:sz="4" w:space="0" w:color="000000"/>
            </w:tcBorders>
          </w:tcPr>
          <w:p>
            <w:pPr/>
          </w:p>
        </w:tc>
        <w:tc>
          <w:tcPr>
            <w:tcW w:w="708" w:type="dxa"/>
            <w:tcBorders>
              <w:top w:val="single" w:sz="10" w:space="0" w:color="000000"/>
              <w:left w:val="single" w:sz="4" w:space="0" w:color="000000"/>
              <w:bottom w:val="single" w:sz="4" w:space="0" w:color="000000"/>
              <w:right w:val="single" w:sz="4" w:space="0" w:color="000000"/>
            </w:tcBorders>
          </w:tcPr>
          <w:p>
            <w:pPr/>
          </w:p>
        </w:tc>
        <w:tc>
          <w:tcPr>
            <w:tcW w:w="1135" w:type="dxa"/>
            <w:tcBorders>
              <w:top w:val="single" w:sz="10" w:space="0" w:color="000000"/>
              <w:left w:val="single" w:sz="4" w:space="0" w:color="000000"/>
              <w:bottom w:val="single" w:sz="4" w:space="0" w:color="000000"/>
              <w:right w:val="single" w:sz="4" w:space="0" w:color="000000"/>
            </w:tcBorders>
          </w:tcPr>
          <w:p>
            <w:pPr/>
          </w:p>
        </w:tc>
        <w:tc>
          <w:tcPr>
            <w:tcW w:w="991" w:type="dxa"/>
            <w:tcBorders>
              <w:top w:val="single" w:sz="10" w:space="0" w:color="000000"/>
              <w:left w:val="single" w:sz="4" w:space="0" w:color="000000"/>
              <w:bottom w:val="single" w:sz="4" w:space="0" w:color="000000"/>
              <w:right w:val="single" w:sz="4" w:space="0" w:color="000000"/>
            </w:tcBorders>
          </w:tcPr>
          <w:p>
            <w:pPr/>
          </w:p>
        </w:tc>
        <w:tc>
          <w:tcPr>
            <w:tcW w:w="1212" w:type="dxa"/>
            <w:tcBorders>
              <w:top w:val="single" w:sz="10"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1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转留存收益</w:t>
            </w:r>
          </w:p>
        </w:tc>
        <w:tc>
          <w:tcPr>
            <w:tcW w:w="11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1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1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1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397,182</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1,600,035</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center"/>
              <w:rPr>
                <w:rFonts w:ascii="宋体" w:hAnsi="宋体" w:cs="宋体" w:eastAsia="宋体" w:hint="default"/>
                <w:sz w:val="18"/>
                <w:szCs w:val="18"/>
              </w:rPr>
            </w:pPr>
            <w:r>
              <w:rPr>
                <w:rFonts w:ascii="宋体"/>
                <w:sz w:val="18"/>
              </w:rPr>
              <w:t>1,997,217</w:t>
            </w: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6,764,055</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7,032,274</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1" w:right="0"/>
              <w:jc w:val="left"/>
              <w:rPr>
                <w:rFonts w:ascii="宋体" w:hAnsi="宋体" w:cs="宋体" w:eastAsia="宋体" w:hint="default"/>
                <w:sz w:val="18"/>
                <w:szCs w:val="18"/>
              </w:rPr>
            </w:pPr>
            <w:r>
              <w:rPr>
                <w:rFonts w:ascii="宋体"/>
                <w:sz w:val="18"/>
              </w:rPr>
              <w:t>2,112,324</w:t>
            </w: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sz w:val="18"/>
              </w:rPr>
              <w:t>309,013</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08" w:right="0"/>
              <w:jc w:val="left"/>
              <w:rPr>
                <w:rFonts w:ascii="宋体" w:hAnsi="宋体" w:cs="宋体" w:eastAsia="宋体" w:hint="default"/>
                <w:sz w:val="18"/>
                <w:szCs w:val="18"/>
              </w:rPr>
            </w:pPr>
            <w:r>
              <w:rPr>
                <w:rFonts w:ascii="宋体"/>
                <w:sz w:val="18"/>
              </w:rPr>
              <w:t>7,764,588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7" w:right="0"/>
              <w:jc w:val="left"/>
              <w:rPr>
                <w:rFonts w:ascii="宋体" w:hAnsi="宋体" w:cs="宋体" w:eastAsia="宋体" w:hint="default"/>
                <w:sz w:val="18"/>
                <w:szCs w:val="18"/>
              </w:rPr>
            </w:pPr>
            <w:r>
              <w:rPr>
                <w:rFonts w:ascii="宋体"/>
                <w:sz w:val="18"/>
              </w:rPr>
              <w:t>297,245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5" w:right="0"/>
              <w:jc w:val="center"/>
              <w:rPr>
                <w:rFonts w:ascii="宋体" w:hAnsi="宋体" w:cs="宋体" w:eastAsia="宋体" w:hint="default"/>
                <w:sz w:val="18"/>
                <w:szCs w:val="18"/>
              </w:rPr>
            </w:pPr>
            <w:r>
              <w:rPr>
                <w:rFonts w:ascii="宋体"/>
                <w:sz w:val="18"/>
              </w:rPr>
              <w:t>24,279,499</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2285"/>
        <w:gridCol w:w="1330"/>
        <w:gridCol w:w="566"/>
        <w:gridCol w:w="708"/>
        <w:gridCol w:w="425"/>
        <w:gridCol w:w="1277"/>
        <w:gridCol w:w="567"/>
        <w:gridCol w:w="1135"/>
        <w:gridCol w:w="566"/>
        <w:gridCol w:w="991"/>
        <w:gridCol w:w="569"/>
        <w:gridCol w:w="1133"/>
        <w:gridCol w:w="1135"/>
        <w:gridCol w:w="1354"/>
      </w:tblGrid>
      <w:tr>
        <w:trPr>
          <w:trHeight w:val="250"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5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1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2" w:hRule="exact"/>
        </w:trPr>
        <w:tc>
          <w:tcPr>
            <w:tcW w:w="2285" w:type="dxa"/>
            <w:vMerge/>
            <w:tcBorders>
              <w:left w:val="single" w:sz="4" w:space="0" w:color="000000"/>
              <w:right w:val="single" w:sz="4" w:space="0" w:color="000000"/>
            </w:tcBorders>
          </w:tcPr>
          <w:p>
            <w:pPr/>
          </w:p>
        </w:tc>
        <w:tc>
          <w:tcPr>
            <w:tcW w:w="926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4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34" w:lineRule="exact"/>
              <w:ind w:left="472" w:right="110"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34" w:lineRule="exact"/>
              <w:ind w:left="581" w:right="130"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394" w:hRule="exact"/>
        </w:trPr>
        <w:tc>
          <w:tcPr>
            <w:tcW w:w="2285" w:type="dxa"/>
            <w:vMerge/>
            <w:tcBorders>
              <w:left w:val="single" w:sz="4" w:space="0" w:color="000000"/>
              <w:right w:val="single" w:sz="4" w:space="0" w:color="000000"/>
            </w:tcBorders>
          </w:tcPr>
          <w:p>
            <w:pP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6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87" w:right="91" w:hanging="84"/>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4" w:lineRule="auto"/>
              <w:ind w:left="472" w:right="11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87" w:right="187"/>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9" w:type="dxa"/>
            <w:vMerge w:val="restart"/>
            <w:tcBorders>
              <w:top w:val="single" w:sz="4" w:space="0" w:color="000000"/>
              <w:left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90" w:right="187"/>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5" w:type="dxa"/>
            <w:vMerge/>
            <w:tcBorders>
              <w:left w:val="single" w:sz="4" w:space="0" w:color="000000"/>
              <w:right w:val="single" w:sz="4" w:space="0" w:color="000000"/>
            </w:tcBorders>
          </w:tcPr>
          <w:p>
            <w:pPr/>
          </w:p>
        </w:tc>
        <w:tc>
          <w:tcPr>
            <w:tcW w:w="1354" w:type="dxa"/>
            <w:vMerge/>
            <w:tcBorders>
              <w:left w:val="single" w:sz="4" w:space="0" w:color="000000"/>
              <w:right w:val="single" w:sz="4" w:space="0" w:color="000000"/>
            </w:tcBorders>
          </w:tcPr>
          <w:p>
            <w:pPr/>
          </w:p>
        </w:tc>
      </w:tr>
      <w:tr>
        <w:trPr>
          <w:trHeight w:val="1056" w:hRule="exact"/>
        </w:trPr>
        <w:tc>
          <w:tcPr>
            <w:tcW w:w="2285"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5"/>
              <w:ind w:left="187" w:right="187"/>
              <w:jc w:val="both"/>
              <w:rPr>
                <w:rFonts w:ascii="宋体" w:hAnsi="宋体" w:cs="宋体" w:eastAsia="宋体" w:hint="default"/>
                <w:sz w:val="18"/>
                <w:szCs w:val="18"/>
              </w:rPr>
            </w:pPr>
            <w:r>
              <w:rPr>
                <w:rFonts w:ascii="宋体" w:hAnsi="宋体" w:cs="宋体" w:eastAsia="宋体" w:hint="default"/>
                <w:sz w:val="18"/>
                <w:szCs w:val="18"/>
              </w:rPr>
              <w:t>优 先 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32" w:lineRule="exact"/>
              <w:ind w:left="259" w:right="168"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32" w:lineRule="exact"/>
              <w:ind w:left="120" w:right="113"/>
              <w:jc w:val="left"/>
              <w:rPr>
                <w:rFonts w:ascii="宋体" w:hAnsi="宋体" w:cs="宋体" w:eastAsia="宋体" w:hint="default"/>
                <w:sz w:val="18"/>
                <w:szCs w:val="18"/>
              </w:rPr>
            </w:pPr>
            <w:r>
              <w:rPr>
                <w:rFonts w:ascii="宋体" w:hAnsi="宋体" w:cs="宋体" w:eastAsia="宋体" w:hint="default"/>
                <w:sz w:val="18"/>
                <w:szCs w:val="18"/>
              </w:rPr>
              <w:t>其 他</w:t>
            </w:r>
          </w:p>
        </w:tc>
        <w:tc>
          <w:tcPr>
            <w:tcW w:w="1277"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354" w:type="dxa"/>
            <w:vMerge/>
            <w:tcBorders>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402,176</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2,519,661</w:t>
            </w: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(64,044)</w:t>
            </w: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63,167</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1,871,621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305,799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5,098,380</w:t>
            </w: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3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402,176</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2,519,661</w:t>
            </w: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(64,044)</w:t>
            </w: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63,167</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1,871,621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305,799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5,098,380</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5,964,697</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2,859,207</w:t>
            </w: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(190,746)</w:t>
            </w: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100,756</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2,521,485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(38,404)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11,216,995</w:t>
            </w: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(190,746)</w:t>
            </w: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3,371,981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42,956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3,224,191</w:t>
            </w: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(223,340)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7,846,751</w:t>
            </w: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(81,360)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7,542,051</w:t>
            </w: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2,781,260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15,085,697</w:t>
            </w: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17,866,957</w:t>
            </w:r>
          </w:p>
        </w:tc>
      </w:tr>
    </w:tbl>
    <w:p>
      <w:pPr>
        <w:spacing w:after="0" w:line="208" w:lineRule="exact"/>
        <w:jc w:val="right"/>
        <w:rPr>
          <w:rFonts w:ascii="宋体" w:hAnsi="宋体" w:cs="宋体" w:eastAsia="宋体" w:hint="default"/>
          <w:sz w:val="18"/>
          <w:szCs w:val="18"/>
        </w:rPr>
        <w:sectPr>
          <w:pgSz w:w="16840" w:h="11910" w:orient="landscape"/>
          <w:pgMar w:header="857" w:footer="1218" w:top="1260" w:bottom="1400" w:left="1340" w:right="1220"/>
        </w:sectPr>
      </w:pPr>
    </w:p>
    <w:tbl>
      <w:tblPr>
        <w:tblW w:w="0" w:type="auto"/>
        <w:jc w:val="left"/>
        <w:tblInd w:w="109" w:type="dxa"/>
        <w:tblLayout w:type="fixed"/>
        <w:tblCellMar>
          <w:top w:w="0" w:type="dxa"/>
          <w:left w:w="0" w:type="dxa"/>
          <w:bottom w:w="0" w:type="dxa"/>
          <w:right w:w="0" w:type="dxa"/>
        </w:tblCellMar>
        <w:tblLook w:val="01E0"/>
      </w:tblPr>
      <w:tblGrid>
        <w:gridCol w:w="2285"/>
        <w:gridCol w:w="1330"/>
        <w:gridCol w:w="566"/>
        <w:gridCol w:w="708"/>
        <w:gridCol w:w="425"/>
        <w:gridCol w:w="1277"/>
        <w:gridCol w:w="567"/>
        <w:gridCol w:w="1135"/>
        <w:gridCol w:w="566"/>
        <w:gridCol w:w="991"/>
        <w:gridCol w:w="569"/>
        <w:gridCol w:w="1133"/>
        <w:gridCol w:w="1135"/>
        <w:gridCol w:w="1354"/>
      </w:tblGrid>
      <w:tr>
        <w:trPr>
          <w:trHeight w:val="487" w:hRule="exact"/>
        </w:trPr>
        <w:tc>
          <w:tcPr>
            <w:tcW w:w="2285" w:type="dxa"/>
            <w:tcBorders>
              <w:top w:val="single" w:sz="10"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1330" w:type="dxa"/>
            <w:tcBorders>
              <w:top w:val="single" w:sz="10" w:space="0" w:color="000000"/>
              <w:left w:val="single" w:sz="4" w:space="0" w:color="000000"/>
              <w:bottom w:val="single" w:sz="4" w:space="0" w:color="000000"/>
              <w:right w:val="single" w:sz="4" w:space="0" w:color="000000"/>
            </w:tcBorders>
          </w:tcPr>
          <w:p>
            <w:pPr/>
          </w:p>
        </w:tc>
        <w:tc>
          <w:tcPr>
            <w:tcW w:w="566" w:type="dxa"/>
            <w:tcBorders>
              <w:top w:val="single" w:sz="10" w:space="0" w:color="000000"/>
              <w:left w:val="single" w:sz="4" w:space="0" w:color="000000"/>
              <w:bottom w:val="single" w:sz="4" w:space="0" w:color="000000"/>
              <w:right w:val="single" w:sz="4" w:space="0" w:color="000000"/>
            </w:tcBorders>
          </w:tcPr>
          <w:p>
            <w:pPr/>
          </w:p>
        </w:tc>
        <w:tc>
          <w:tcPr>
            <w:tcW w:w="708"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1277" w:type="dxa"/>
            <w:tcBorders>
              <w:top w:val="single" w:sz="10" w:space="0" w:color="000000"/>
              <w:left w:val="single" w:sz="4" w:space="0" w:color="000000"/>
              <w:bottom w:val="single" w:sz="4" w:space="0" w:color="000000"/>
              <w:right w:val="single" w:sz="4" w:space="0" w:color="000000"/>
            </w:tcBorders>
          </w:tcPr>
          <w:p>
            <w:pPr/>
          </w:p>
        </w:tc>
        <w:tc>
          <w:tcPr>
            <w:tcW w:w="567" w:type="dxa"/>
            <w:tcBorders>
              <w:top w:val="single" w:sz="10" w:space="0" w:color="000000"/>
              <w:left w:val="single" w:sz="4" w:space="0" w:color="000000"/>
              <w:bottom w:val="single" w:sz="4" w:space="0" w:color="000000"/>
              <w:right w:val="single" w:sz="4" w:space="0" w:color="000000"/>
            </w:tcBorders>
          </w:tcPr>
          <w:p>
            <w:pPr/>
          </w:p>
        </w:tc>
        <w:tc>
          <w:tcPr>
            <w:tcW w:w="1135" w:type="dxa"/>
            <w:tcBorders>
              <w:top w:val="single" w:sz="10" w:space="0" w:color="000000"/>
              <w:left w:val="single" w:sz="4" w:space="0" w:color="000000"/>
              <w:bottom w:val="single" w:sz="4" w:space="0" w:color="000000"/>
              <w:right w:val="single" w:sz="4" w:space="0" w:color="000000"/>
            </w:tcBorders>
          </w:tcPr>
          <w:p>
            <w:pPr/>
          </w:p>
        </w:tc>
        <w:tc>
          <w:tcPr>
            <w:tcW w:w="566" w:type="dxa"/>
            <w:tcBorders>
              <w:top w:val="single" w:sz="10" w:space="0" w:color="000000"/>
              <w:left w:val="single" w:sz="4" w:space="0" w:color="000000"/>
              <w:bottom w:val="single" w:sz="4" w:space="0" w:color="000000"/>
              <w:right w:val="single" w:sz="4" w:space="0" w:color="000000"/>
            </w:tcBorders>
          </w:tcPr>
          <w:p>
            <w:pPr/>
          </w:p>
        </w:tc>
        <w:tc>
          <w:tcPr>
            <w:tcW w:w="991" w:type="dxa"/>
            <w:tcBorders>
              <w:top w:val="single" w:sz="10" w:space="0" w:color="000000"/>
              <w:left w:val="single" w:sz="4" w:space="0" w:color="000000"/>
              <w:bottom w:val="single" w:sz="4" w:space="0" w:color="000000"/>
              <w:right w:val="single" w:sz="4" w:space="0" w:color="000000"/>
            </w:tcBorders>
          </w:tcPr>
          <w:p>
            <w:pPr/>
          </w:p>
        </w:tc>
        <w:tc>
          <w:tcPr>
            <w:tcW w:w="569" w:type="dxa"/>
            <w:tcBorders>
              <w:top w:val="single" w:sz="10" w:space="0" w:color="000000"/>
              <w:left w:val="single" w:sz="4" w:space="0" w:color="000000"/>
              <w:bottom w:val="single" w:sz="4" w:space="0" w:color="000000"/>
              <w:right w:val="single" w:sz="4" w:space="0" w:color="000000"/>
            </w:tcBorders>
          </w:tcPr>
          <w:p>
            <w:pPr/>
          </w:p>
        </w:tc>
        <w:tc>
          <w:tcPr>
            <w:tcW w:w="1133" w:type="dxa"/>
            <w:tcBorders>
              <w:top w:val="single" w:sz="10" w:space="0" w:color="000000"/>
              <w:left w:val="single" w:sz="4" w:space="0" w:color="000000"/>
              <w:bottom w:val="single" w:sz="4" w:space="0" w:color="000000"/>
              <w:right w:val="single" w:sz="4" w:space="0" w:color="000000"/>
            </w:tcBorders>
          </w:tcPr>
          <w:p>
            <w:pPr/>
          </w:p>
        </w:tc>
        <w:tc>
          <w:tcPr>
            <w:tcW w:w="1135" w:type="dxa"/>
            <w:tcBorders>
              <w:top w:val="single" w:sz="10" w:space="0" w:color="000000"/>
              <w:left w:val="single" w:sz="4" w:space="0" w:color="000000"/>
              <w:bottom w:val="single" w:sz="4" w:space="0" w:color="000000"/>
              <w:right w:val="single" w:sz="4" w:space="0" w:color="000000"/>
            </w:tcBorders>
          </w:tcPr>
          <w:p>
            <w:pPr/>
          </w:p>
        </w:tc>
        <w:tc>
          <w:tcPr>
            <w:tcW w:w="1354" w:type="dxa"/>
            <w:tcBorders>
              <w:top w:val="single" w:sz="10"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(3,004,600)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98"/>
              <w:jc w:val="right"/>
              <w:rPr>
                <w:rFonts w:ascii="宋体" w:hAnsi="宋体" w:cs="宋体" w:eastAsia="宋体" w:hint="default"/>
                <w:sz w:val="18"/>
                <w:szCs w:val="18"/>
              </w:rPr>
            </w:pPr>
            <w:r>
              <w:rPr>
                <w:rFonts w:ascii="宋体"/>
                <w:spacing w:val="-1"/>
                <w:sz w:val="18"/>
              </w:rPr>
              <w:t>(7,238,946)</w:t>
            </w: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pacing w:val="-1"/>
                <w:sz w:val="18"/>
              </w:rPr>
              <w:t>(81,360)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(10,324,906)</w:t>
            </w: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z w:val="18"/>
              </w:rPr>
              <w:t>163,923</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pacing w:val="-1"/>
                <w:sz w:val="18"/>
              </w:rPr>
              <w:t>(163,923)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z w:val="18"/>
              </w:rPr>
              <w:t>163,923</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pacing w:val="-1"/>
                <w:sz w:val="18"/>
              </w:rPr>
              <w:t>(163,923)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3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3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6,188,037</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98"/>
              <w:jc w:val="right"/>
              <w:rPr>
                <w:rFonts w:ascii="宋体" w:hAnsi="宋体" w:cs="宋体" w:eastAsia="宋体" w:hint="default"/>
                <w:sz w:val="18"/>
                <w:szCs w:val="18"/>
              </w:rPr>
            </w:pPr>
            <w:r>
              <w:rPr>
                <w:rFonts w:ascii="宋体"/>
                <w:spacing w:val="-1"/>
                <w:sz w:val="18"/>
              </w:rPr>
              <w:t>(5,438,297)</w:t>
            </w: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pacing w:val="-1"/>
                <w:sz w:val="18"/>
              </w:rPr>
              <w:t>(63,167)</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pacing w:val="-1"/>
                <w:sz w:val="18"/>
              </w:rPr>
              <w:t>(686,573)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转留存收益</w:t>
            </w:r>
          </w:p>
        </w:tc>
        <w:tc>
          <w:tcPr>
            <w:tcW w:w="13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6,188,037</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98"/>
              <w:jc w:val="right"/>
              <w:rPr>
                <w:rFonts w:ascii="宋体" w:hAnsi="宋体" w:cs="宋体" w:eastAsia="宋体" w:hint="default"/>
                <w:sz w:val="18"/>
                <w:szCs w:val="18"/>
              </w:rPr>
            </w:pPr>
            <w:r>
              <w:rPr>
                <w:rFonts w:ascii="宋体"/>
                <w:spacing w:val="-1"/>
                <w:sz w:val="18"/>
              </w:rPr>
              <w:t>(5,438,297)</w:t>
            </w: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pacing w:val="-1"/>
                <w:sz w:val="18"/>
              </w:rPr>
              <w:t>(63,167)</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pacing w:val="-1"/>
                <w:sz w:val="18"/>
              </w:rPr>
              <w:t>(686,573)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98"/>
              <w:jc w:val="right"/>
              <w:rPr>
                <w:rFonts w:ascii="宋体" w:hAnsi="宋体" w:cs="宋体" w:eastAsia="宋体" w:hint="default"/>
                <w:sz w:val="18"/>
                <w:szCs w:val="18"/>
              </w:rPr>
            </w:pPr>
            <w:r>
              <w:rPr>
                <w:rFonts w:ascii="宋体"/>
                <w:sz w:val="18"/>
              </w:rPr>
              <w:t>450,753</w:t>
            </w: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z w:val="18"/>
              </w:rPr>
              <w:t>450,753</w:t>
            </w: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6,366,873</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5,378,868</w:t>
            </w: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1" w:right="0"/>
              <w:jc w:val="left"/>
              <w:rPr>
                <w:rFonts w:ascii="宋体" w:hAnsi="宋体" w:cs="宋体" w:eastAsia="宋体" w:hint="default"/>
                <w:sz w:val="18"/>
                <w:szCs w:val="18"/>
              </w:rPr>
            </w:pPr>
            <w:r>
              <w:rPr>
                <w:rFonts w:ascii="宋体"/>
                <w:sz w:val="18"/>
              </w:rPr>
              <w:t>(254,790)</w:t>
            </w: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z w:val="18"/>
              </w:rPr>
              <w:t>163,923</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4,393,106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z w:val="18"/>
              </w:rPr>
              <w:t>267,395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16,315,375</w:t>
            </w:r>
          </w:p>
        </w:tc>
      </w:tr>
    </w:tbl>
    <w:p>
      <w:pPr>
        <w:spacing w:line="240" w:lineRule="auto" w:before="11"/>
        <w:rPr>
          <w:rFonts w:ascii="Times New Roman" w:hAnsi="Times New Roman" w:cs="Times New Roman" w:eastAsia="Times New Roman" w:hint="default"/>
          <w:sz w:val="13"/>
          <w:szCs w:val="13"/>
        </w:rPr>
      </w:pPr>
    </w:p>
    <w:p>
      <w:pPr>
        <w:spacing w:before="44"/>
        <w:ind w:left="184" w:right="0" w:firstLine="0"/>
        <w:jc w:val="left"/>
        <w:rPr>
          <w:rFonts w:ascii="宋体" w:hAnsi="宋体" w:cs="宋体" w:eastAsia="宋体" w:hint="default"/>
          <w:sz w:val="18"/>
          <w:szCs w:val="18"/>
        </w:rPr>
      </w:pPr>
      <w:r>
        <w:rPr>
          <w:rFonts w:ascii="宋体" w:hAnsi="宋体" w:cs="宋体" w:eastAsia="宋体" w:hint="default"/>
          <w:sz w:val="18"/>
          <w:szCs w:val="18"/>
        </w:rPr>
        <w:t>法定代表人：周鸿祎 主管会计工作负责人：张矛</w:t>
      </w:r>
      <w:r>
        <w:rPr>
          <w:rFonts w:ascii="宋体" w:hAnsi="宋体" w:cs="宋体" w:eastAsia="宋体" w:hint="default"/>
          <w:spacing w:val="2"/>
          <w:sz w:val="18"/>
          <w:szCs w:val="18"/>
        </w:rPr>
        <w:t> </w:t>
      </w:r>
      <w:r>
        <w:rPr>
          <w:rFonts w:ascii="宋体" w:hAnsi="宋体" w:cs="宋体" w:eastAsia="宋体" w:hint="default"/>
          <w:sz w:val="18"/>
          <w:szCs w:val="18"/>
        </w:rPr>
        <w:t>会计机构负责人：张海龙</w:t>
      </w:r>
    </w:p>
    <w:p>
      <w:pPr>
        <w:spacing w:after="0"/>
        <w:jc w:val="left"/>
        <w:rPr>
          <w:rFonts w:ascii="宋体" w:hAnsi="宋体" w:cs="宋体" w:eastAsia="宋体" w:hint="default"/>
          <w:sz w:val="18"/>
          <w:szCs w:val="18"/>
        </w:rPr>
        <w:sectPr>
          <w:pgSz w:w="16840" w:h="11910" w:orient="landscape"/>
          <w:pgMar w:header="857" w:footer="1218" w:top="1320" w:bottom="1400" w:left="1340" w:right="1220"/>
        </w:sectPr>
      </w:pPr>
    </w:p>
    <w:p>
      <w:pPr>
        <w:spacing w:line="240" w:lineRule="auto" w:before="8"/>
        <w:rPr>
          <w:rFonts w:ascii="宋体" w:hAnsi="宋体" w:cs="宋体" w:eastAsia="宋体" w:hint="default"/>
          <w:sz w:val="3"/>
          <w:szCs w:val="3"/>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6840" w:h="11910" w:orient="landscape"/>
          <w:pgMar w:header="857" w:footer="1218" w:top="1260" w:bottom="1400" w:left="1360" w:right="1280"/>
        </w:sectPr>
      </w:pPr>
    </w:p>
    <w:p>
      <w:pPr>
        <w:spacing w:line="244" w:lineRule="auto" w:before="44"/>
        <w:ind w:left="6433" w:right="0" w:hanging="341"/>
        <w:jc w:val="left"/>
        <w:rPr>
          <w:rFonts w:ascii="宋体" w:hAnsi="宋体" w:cs="宋体" w:eastAsia="宋体" w:hint="default"/>
          <w:sz w:val="18"/>
          <w:szCs w:val="18"/>
        </w:rPr>
      </w:pPr>
      <w:r>
        <w:rPr>
          <w:rFonts w:ascii="宋体" w:hAnsi="宋体" w:cs="宋体" w:eastAsia="宋体" w:hint="default"/>
          <w:b/>
          <w:bCs/>
          <w:w w:val="95"/>
          <w:sz w:val="18"/>
          <w:szCs w:val="18"/>
        </w:rPr>
        <w:t>母公司所有者权益变动表</w:t>
      </w:r>
      <w:r>
        <w:rPr>
          <w:rFonts w:ascii="宋体" w:hAnsi="宋体" w:cs="宋体" w:eastAsia="宋体" w:hint="default"/>
          <w:b/>
          <w:bCs/>
          <w:spacing w:val="11"/>
          <w:w w:val="95"/>
          <w:sz w:val="18"/>
          <w:szCs w:val="18"/>
        </w:rPr>
        <w:t> </w:t>
      </w:r>
      <w:r>
        <w:rPr>
          <w:rFonts w:ascii="宋体" w:hAnsi="宋体" w:cs="宋体" w:eastAsia="宋体" w:hint="default"/>
          <w:b/>
          <w:bCs/>
          <w:spacing w:val="11"/>
          <w:w w:val="95"/>
          <w:sz w:val="18"/>
          <w:szCs w:val="18"/>
        </w:rPr>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22"/>
          <w:szCs w:val="22"/>
        </w:rPr>
      </w:pPr>
    </w:p>
    <w:p>
      <w:pPr>
        <w:spacing w:before="0"/>
        <w:ind w:left="3938"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w:t>
      </w:r>
      <w:r>
        <w:rPr>
          <w:rFonts w:ascii="宋体" w:hAnsi="宋体" w:cs="宋体" w:eastAsia="宋体" w:hint="default"/>
          <w:sz w:val="18"/>
          <w:szCs w:val="18"/>
        </w:rPr>
        <w:t>千元 </w:t>
      </w:r>
      <w:r>
        <w:rPr>
          <w:rFonts w:ascii="宋体" w:hAnsi="宋体" w:cs="宋体" w:eastAsia="宋体" w:hint="default"/>
          <w:spacing w:val="2"/>
          <w:sz w:val="18"/>
          <w:szCs w:val="18"/>
        </w:rPr>
        <w:t> </w:t>
      </w:r>
      <w:r>
        <w:rPr>
          <w:rFonts w:ascii="宋体" w:hAnsi="宋体" w:cs="宋体" w:eastAsia="宋体" w:hint="default"/>
          <w:sz w:val="18"/>
          <w:szCs w:val="18"/>
        </w:rPr>
        <w:t>币种</w:t>
      </w:r>
      <w:r>
        <w:rPr>
          <w:rFonts w:ascii="宋体" w:hAnsi="宋体" w:cs="宋体" w:eastAsia="宋体" w:hint="default"/>
          <w:sz w:val="18"/>
          <w:szCs w:val="18"/>
        </w:rPr>
        <w:t>:</w:t>
      </w:r>
      <w:r>
        <w:rPr>
          <w:rFonts w:ascii="宋体" w:hAnsi="宋体" w:cs="宋体" w:eastAsia="宋体" w:hint="default"/>
          <w:sz w:val="18"/>
          <w:szCs w:val="18"/>
        </w:rPr>
        <w:t>人民币</w:t>
      </w:r>
    </w:p>
    <w:p>
      <w:pPr>
        <w:spacing w:after="0"/>
        <w:jc w:val="left"/>
        <w:rPr>
          <w:rFonts w:ascii="宋体" w:hAnsi="宋体" w:cs="宋体" w:eastAsia="宋体" w:hint="default"/>
          <w:sz w:val="18"/>
          <w:szCs w:val="18"/>
        </w:rPr>
        <w:sectPr>
          <w:type w:val="continuous"/>
          <w:pgSz w:w="16840" w:h="11910" w:orient="landscape"/>
          <w:pgMar w:top="1320" w:bottom="1400" w:left="1360" w:right="1280"/>
          <w:cols w:num="2" w:equalWidth="0">
            <w:col w:w="8080" w:space="40"/>
            <w:col w:w="6080"/>
          </w:cols>
        </w:sectPr>
      </w:pPr>
    </w:p>
    <w:p>
      <w:pPr>
        <w:spacing w:line="240" w:lineRule="auto" w:before="1"/>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451"/>
        <w:gridCol w:w="1292"/>
        <w:gridCol w:w="708"/>
        <w:gridCol w:w="708"/>
        <w:gridCol w:w="569"/>
        <w:gridCol w:w="1275"/>
        <w:gridCol w:w="710"/>
        <w:gridCol w:w="991"/>
        <w:gridCol w:w="1277"/>
        <w:gridCol w:w="1274"/>
        <w:gridCol w:w="1418"/>
        <w:gridCol w:w="1287"/>
      </w:tblGrid>
      <w:tr>
        <w:trPr>
          <w:trHeight w:val="247" w:hRule="exact"/>
        </w:trPr>
        <w:tc>
          <w:tcPr>
            <w:tcW w:w="245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9" w:hRule="exact"/>
        </w:trPr>
        <w:tc>
          <w:tcPr>
            <w:tcW w:w="2451" w:type="dxa"/>
            <w:vMerge/>
            <w:tcBorders>
              <w:left w:val="single" w:sz="6" w:space="0" w:color="000000"/>
              <w:right w:val="single" w:sz="6" w:space="0" w:color="000000"/>
            </w:tcBorders>
          </w:tcPr>
          <w:p>
            <w:pPr/>
          </w:p>
        </w:tc>
        <w:tc>
          <w:tcPr>
            <w:tcW w:w="1292" w:type="dxa"/>
            <w:vMerge w:val="restart"/>
            <w:tcBorders>
              <w:top w:val="single" w:sz="6" w:space="0" w:color="000000"/>
              <w:left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1985"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3"/>
              <w:ind w:left="44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5"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10" w:type="dxa"/>
            <w:vMerge w:val="restart"/>
            <w:tcBorders>
              <w:top w:val="single" w:sz="6" w:space="0" w:color="000000"/>
              <w:left w:val="single" w:sz="6" w:space="0" w:color="000000"/>
              <w:right w:val="single" w:sz="6" w:space="0" w:color="000000"/>
            </w:tcBorders>
          </w:tcPr>
          <w:p>
            <w:pPr>
              <w:pStyle w:val="TableParagraph"/>
              <w:spacing w:line="240" w:lineRule="auto" w:before="135"/>
              <w:ind w:left="167" w:right="98"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135"/>
              <w:ind w:left="307" w:right="127"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87" w:type="dxa"/>
            <w:vMerge w:val="restart"/>
            <w:tcBorders>
              <w:top w:val="single" w:sz="6" w:space="0" w:color="000000"/>
              <w:left w:val="single" w:sz="6" w:space="0" w:color="000000"/>
              <w:right w:val="single" w:sz="6" w:space="0" w:color="000000"/>
            </w:tcBorders>
          </w:tcPr>
          <w:p>
            <w:pPr>
              <w:pStyle w:val="TableParagraph"/>
              <w:spacing w:line="240" w:lineRule="auto" w:before="135"/>
              <w:ind w:left="455" w:right="183" w:hanging="269"/>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485" w:hRule="exact"/>
        </w:trPr>
        <w:tc>
          <w:tcPr>
            <w:tcW w:w="2451" w:type="dxa"/>
            <w:vMerge/>
            <w:tcBorders>
              <w:left w:val="single" w:sz="6" w:space="0" w:color="000000"/>
              <w:bottom w:val="single" w:sz="6" w:space="0" w:color="000000"/>
              <w:right w:val="single" w:sz="6" w:space="0" w:color="000000"/>
            </w:tcBorders>
          </w:tcPr>
          <w:p>
            <w:pPr/>
          </w:p>
        </w:tc>
        <w:tc>
          <w:tcPr>
            <w:tcW w:w="1292" w:type="dxa"/>
            <w:vMerge/>
            <w:tcBorders>
              <w:left w:val="single" w:sz="6" w:space="0" w:color="000000"/>
              <w:bottom w:val="single" w:sz="6" w:space="0" w:color="000000"/>
              <w:right w:val="single" w:sz="4" w:space="0" w:color="000000"/>
            </w:tcBorders>
          </w:tcPr>
          <w:p>
            <w:pPr/>
          </w:p>
        </w:tc>
        <w:tc>
          <w:tcPr>
            <w:tcW w:w="708"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left="2" w:right="0"/>
              <w:jc w:val="center"/>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569" w:type="dxa"/>
            <w:tcBorders>
              <w:top w:val="single" w:sz="4" w:space="0" w:color="000000"/>
              <w:left w:val="single" w:sz="4" w:space="0" w:color="000000"/>
              <w:bottom w:val="single" w:sz="6" w:space="0" w:color="000000"/>
              <w:right w:val="single" w:sz="6" w:space="0" w:color="000000"/>
            </w:tcBorders>
          </w:tcPr>
          <w:p>
            <w:pPr>
              <w:pStyle w:val="TableParagraph"/>
              <w:spacing w:line="210" w:lineRule="exact"/>
              <w:ind w:left="2" w:right="0"/>
              <w:jc w:val="center"/>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他</w:t>
            </w:r>
          </w:p>
        </w:tc>
        <w:tc>
          <w:tcPr>
            <w:tcW w:w="1275" w:type="dxa"/>
            <w:vMerge/>
            <w:tcBorders>
              <w:left w:val="single" w:sz="6" w:space="0" w:color="000000"/>
              <w:bottom w:val="single" w:sz="6" w:space="0" w:color="000000"/>
              <w:right w:val="single" w:sz="6" w:space="0" w:color="000000"/>
            </w:tcBorders>
          </w:tcPr>
          <w:p>
            <w:pPr/>
          </w:p>
        </w:tc>
        <w:tc>
          <w:tcPr>
            <w:tcW w:w="710"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287" w:type="dxa"/>
            <w:vMerge/>
            <w:tcBorders>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397,182</w:t>
            </w: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127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367,787</w:t>
            </w: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35,410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115,710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491,090</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1,407,179</w:t>
            </w: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1275" w:type="dxa"/>
            <w:tcBorders>
              <w:top w:val="single" w:sz="6" w:space="0" w:color="000000"/>
              <w:left w:val="single" w:sz="4"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1275" w:type="dxa"/>
            <w:tcBorders>
              <w:top w:val="single" w:sz="6" w:space="0" w:color="000000"/>
              <w:left w:val="single" w:sz="4"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1275" w:type="dxa"/>
            <w:tcBorders>
              <w:top w:val="single" w:sz="6" w:space="0" w:color="000000"/>
              <w:left w:val="single" w:sz="4"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397,182</w:t>
            </w: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127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367,787</w:t>
            </w: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35,410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115,710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491,090</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1,407,179</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6,366,873</w:t>
            </w: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43,867,753</w:t>
            </w: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(35,410)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5"/>
              <w:jc w:val="right"/>
              <w:rPr>
                <w:rFonts w:ascii="宋体" w:hAnsi="宋体" w:cs="宋体" w:eastAsia="宋体" w:hint="default"/>
                <w:sz w:val="18"/>
                <w:szCs w:val="18"/>
              </w:rPr>
            </w:pPr>
            <w:r>
              <w:rPr>
                <w:rFonts w:ascii="宋体"/>
                <w:sz w:val="18"/>
              </w:rPr>
              <w:t>145,090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1,287,552</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51,631,858</w:t>
            </w: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1,450,905</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1,450,905</w:t>
            </w:r>
          </w:p>
        </w:tc>
      </w:tr>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6,366,873</w:t>
            </w: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43,867,753</w:t>
            </w: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50,234,626</w:t>
            </w: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6,366,873</w:t>
            </w: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43,867,753</w:t>
            </w: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50,234,626</w:t>
            </w:r>
          </w:p>
        </w:tc>
      </w:tr>
      <w:tr>
        <w:trPr>
          <w:trHeight w:val="48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145,090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(163,353)</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(18,263)</w:t>
            </w: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145,090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(145,090)</w:t>
            </w: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(18,263)</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(18,263)</w:t>
            </w: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320" w:bottom="1400" w:left="1360" w:right="1280"/>
        </w:sectPr>
      </w:pPr>
    </w:p>
    <w:p>
      <w:pPr>
        <w:spacing w:line="240" w:lineRule="auto" w:before="5"/>
        <w:rPr>
          <w:rFonts w:ascii="Times New Roman" w:hAnsi="Times New Roman" w:cs="Times New Roman" w:eastAsia="Times New Roman"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2451"/>
        <w:gridCol w:w="1292"/>
        <w:gridCol w:w="708"/>
        <w:gridCol w:w="708"/>
        <w:gridCol w:w="569"/>
        <w:gridCol w:w="1275"/>
        <w:gridCol w:w="710"/>
        <w:gridCol w:w="991"/>
        <w:gridCol w:w="1277"/>
        <w:gridCol w:w="1274"/>
        <w:gridCol w:w="1418"/>
        <w:gridCol w:w="1287"/>
      </w:tblGrid>
      <w:tr>
        <w:trPr>
          <w:trHeight w:val="494" w:hRule="exact"/>
        </w:trPr>
        <w:tc>
          <w:tcPr>
            <w:tcW w:w="2451"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
              <w:ind w:left="100" w:right="98"/>
              <w:jc w:val="left"/>
              <w:rPr>
                <w:rFonts w:ascii="宋体" w:hAnsi="宋体" w:cs="宋体" w:eastAsia="宋体" w:hint="default"/>
                <w:sz w:val="18"/>
                <w:szCs w:val="18"/>
              </w:rPr>
            </w:pPr>
            <w:r>
              <w:rPr>
                <w:rFonts w:ascii="宋体" w:hAnsi="宋体" w:cs="宋体" w:eastAsia="宋体" w:hint="default"/>
                <w:spacing w:val="-2"/>
                <w:sz w:val="18"/>
                <w:szCs w:val="18"/>
              </w:rPr>
              <w:t>4</w:t>
            </w:r>
            <w:r>
              <w:rPr>
                <w:rFonts w:ascii="宋体" w:hAnsi="宋体" w:cs="宋体" w:eastAsia="宋体" w:hint="default"/>
                <w:spacing w:val="-2"/>
                <w:sz w:val="18"/>
                <w:szCs w:val="18"/>
              </w:rPr>
              <w:t>．设定受益计划变动额结转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留存收益</w:t>
            </w:r>
          </w:p>
        </w:tc>
        <w:tc>
          <w:tcPr>
            <w:tcW w:w="1292" w:type="dxa"/>
            <w:tcBorders>
              <w:top w:val="single" w:sz="12" w:space="0" w:color="000000"/>
              <w:left w:val="single" w:sz="6" w:space="0" w:color="000000"/>
              <w:bottom w:val="single" w:sz="6" w:space="0" w:color="000000"/>
              <w:right w:val="single" w:sz="4" w:space="0" w:color="000000"/>
            </w:tcBorders>
          </w:tcPr>
          <w:p>
            <w:pPr/>
          </w:p>
        </w:tc>
        <w:tc>
          <w:tcPr>
            <w:tcW w:w="708" w:type="dxa"/>
            <w:tcBorders>
              <w:top w:val="single" w:sz="12" w:space="0" w:color="000000"/>
              <w:left w:val="single" w:sz="4" w:space="0" w:color="000000"/>
              <w:bottom w:val="single" w:sz="6" w:space="0" w:color="000000"/>
              <w:right w:val="single" w:sz="4" w:space="0" w:color="000000"/>
            </w:tcBorders>
          </w:tcPr>
          <w:p>
            <w:pPr/>
          </w:p>
        </w:tc>
        <w:tc>
          <w:tcPr>
            <w:tcW w:w="708" w:type="dxa"/>
            <w:tcBorders>
              <w:top w:val="single" w:sz="12" w:space="0" w:color="000000"/>
              <w:left w:val="single" w:sz="4" w:space="0" w:color="000000"/>
              <w:bottom w:val="single" w:sz="6" w:space="0" w:color="000000"/>
              <w:right w:val="single" w:sz="4" w:space="0" w:color="000000"/>
            </w:tcBorders>
          </w:tcPr>
          <w:p>
            <w:pPr/>
          </w:p>
        </w:tc>
        <w:tc>
          <w:tcPr>
            <w:tcW w:w="569" w:type="dxa"/>
            <w:tcBorders>
              <w:top w:val="single" w:sz="12" w:space="0" w:color="000000"/>
              <w:left w:val="single" w:sz="4" w:space="0" w:color="000000"/>
              <w:bottom w:val="single" w:sz="6" w:space="0" w:color="000000"/>
              <w:right w:val="single" w:sz="6" w:space="0" w:color="000000"/>
            </w:tcBorders>
          </w:tcPr>
          <w:p>
            <w:pPr/>
          </w:p>
        </w:tc>
        <w:tc>
          <w:tcPr>
            <w:tcW w:w="1275" w:type="dxa"/>
            <w:tcBorders>
              <w:top w:val="single" w:sz="12" w:space="0" w:color="000000"/>
              <w:left w:val="single" w:sz="6" w:space="0" w:color="000000"/>
              <w:bottom w:val="single" w:sz="6" w:space="0" w:color="000000"/>
              <w:right w:val="single" w:sz="6" w:space="0" w:color="000000"/>
            </w:tcBorders>
          </w:tcPr>
          <w:p>
            <w:pPr/>
          </w:p>
        </w:tc>
        <w:tc>
          <w:tcPr>
            <w:tcW w:w="710" w:type="dxa"/>
            <w:tcBorders>
              <w:top w:val="single" w:sz="12" w:space="0" w:color="000000"/>
              <w:left w:val="single" w:sz="6" w:space="0" w:color="000000"/>
              <w:bottom w:val="single" w:sz="6" w:space="0" w:color="000000"/>
              <w:right w:val="single" w:sz="6" w:space="0" w:color="000000"/>
            </w:tcBorders>
          </w:tcPr>
          <w:p>
            <w:pPr/>
          </w:p>
        </w:tc>
        <w:tc>
          <w:tcPr>
            <w:tcW w:w="991" w:type="dxa"/>
            <w:tcBorders>
              <w:top w:val="single" w:sz="12" w:space="0" w:color="000000"/>
              <w:left w:val="single" w:sz="6" w:space="0" w:color="000000"/>
              <w:bottom w:val="single" w:sz="6" w:space="0" w:color="000000"/>
              <w:right w:val="single" w:sz="6" w:space="0" w:color="000000"/>
            </w:tcBorders>
          </w:tcPr>
          <w:p>
            <w:pPr/>
          </w:p>
        </w:tc>
        <w:tc>
          <w:tcPr>
            <w:tcW w:w="1277" w:type="dxa"/>
            <w:tcBorders>
              <w:top w:val="single" w:sz="12" w:space="0" w:color="000000"/>
              <w:left w:val="single" w:sz="6" w:space="0" w:color="000000"/>
              <w:bottom w:val="single" w:sz="6" w:space="0" w:color="000000"/>
              <w:right w:val="single" w:sz="6" w:space="0" w:color="000000"/>
            </w:tcBorders>
          </w:tcPr>
          <w:p>
            <w:pPr/>
          </w:p>
        </w:tc>
        <w:tc>
          <w:tcPr>
            <w:tcW w:w="1274" w:type="dxa"/>
            <w:tcBorders>
              <w:top w:val="single" w:sz="12" w:space="0" w:color="000000"/>
              <w:left w:val="single" w:sz="6" w:space="0" w:color="000000"/>
              <w:bottom w:val="single" w:sz="6" w:space="0" w:color="000000"/>
              <w:right w:val="single" w:sz="6" w:space="0" w:color="000000"/>
            </w:tcBorders>
          </w:tcPr>
          <w:p>
            <w:pPr/>
          </w:p>
        </w:tc>
        <w:tc>
          <w:tcPr>
            <w:tcW w:w="1418" w:type="dxa"/>
            <w:tcBorders>
              <w:top w:val="single" w:sz="12" w:space="0" w:color="000000"/>
              <w:left w:val="single" w:sz="6" w:space="0" w:color="000000"/>
              <w:bottom w:val="single" w:sz="6" w:space="0" w:color="000000"/>
              <w:right w:val="single" w:sz="6" w:space="0" w:color="000000"/>
            </w:tcBorders>
          </w:tcPr>
          <w:p>
            <w:pPr/>
          </w:p>
        </w:tc>
        <w:tc>
          <w:tcPr>
            <w:tcW w:w="1287" w:type="dxa"/>
            <w:tcBorders>
              <w:top w:val="single" w:sz="12"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(35,410)</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(35,410)</w:t>
            </w: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35,410</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35,410</w:t>
            </w: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364" w:right="0"/>
              <w:jc w:val="left"/>
              <w:rPr>
                <w:rFonts w:ascii="宋体" w:hAnsi="宋体" w:cs="宋体" w:eastAsia="宋体" w:hint="default"/>
                <w:sz w:val="18"/>
                <w:szCs w:val="18"/>
              </w:rPr>
            </w:pPr>
            <w:r>
              <w:rPr>
                <w:rFonts w:ascii="宋体"/>
                <w:sz w:val="18"/>
              </w:rPr>
              <w:t>6,764,055</w:t>
            </w: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61" w:right="0"/>
              <w:jc w:val="left"/>
              <w:rPr>
                <w:rFonts w:ascii="宋体" w:hAnsi="宋体" w:cs="宋体" w:eastAsia="宋体" w:hint="default"/>
                <w:sz w:val="18"/>
                <w:szCs w:val="18"/>
              </w:rPr>
            </w:pPr>
            <w:r>
              <w:rPr>
                <w:rFonts w:ascii="宋体"/>
                <w:sz w:val="18"/>
              </w:rPr>
              <w:t>44,235,540</w:t>
            </w: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30" w:right="0"/>
              <w:jc w:val="left"/>
              <w:rPr>
                <w:rFonts w:ascii="宋体" w:hAnsi="宋体" w:cs="宋体" w:eastAsia="宋体" w:hint="default"/>
                <w:sz w:val="18"/>
                <w:szCs w:val="18"/>
              </w:rPr>
            </w:pPr>
            <w:r>
              <w:rPr>
                <w:rFonts w:ascii="宋体"/>
                <w:sz w:val="18"/>
              </w:rPr>
              <w:t>260,800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92" w:right="0"/>
              <w:jc w:val="left"/>
              <w:rPr>
                <w:rFonts w:ascii="宋体" w:hAnsi="宋体" w:cs="宋体" w:eastAsia="宋体" w:hint="default"/>
                <w:sz w:val="18"/>
                <w:szCs w:val="18"/>
              </w:rPr>
            </w:pPr>
            <w:r>
              <w:rPr>
                <w:rFonts w:ascii="宋体"/>
                <w:sz w:val="18"/>
              </w:rPr>
              <w:t>1,778,642</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53,039,037</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0"/>
          <w:szCs w:val="20"/>
        </w:rPr>
      </w:pPr>
    </w:p>
    <w:tbl>
      <w:tblPr>
        <w:tblW w:w="0" w:type="auto"/>
        <w:jc w:val="left"/>
        <w:tblInd w:w="156" w:type="dxa"/>
        <w:tblLayout w:type="fixed"/>
        <w:tblCellMar>
          <w:top w:w="0" w:type="dxa"/>
          <w:left w:w="0" w:type="dxa"/>
          <w:bottom w:w="0" w:type="dxa"/>
          <w:right w:w="0" w:type="dxa"/>
        </w:tblCellMar>
        <w:tblLook w:val="01E0"/>
      </w:tblPr>
      <w:tblGrid>
        <w:gridCol w:w="2396"/>
        <w:gridCol w:w="1292"/>
        <w:gridCol w:w="708"/>
        <w:gridCol w:w="708"/>
        <w:gridCol w:w="569"/>
        <w:gridCol w:w="1275"/>
        <w:gridCol w:w="710"/>
        <w:gridCol w:w="991"/>
        <w:gridCol w:w="1277"/>
        <w:gridCol w:w="1274"/>
        <w:gridCol w:w="1418"/>
        <w:gridCol w:w="1287"/>
      </w:tblGrid>
      <w:tr>
        <w:trPr>
          <w:trHeight w:val="250"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6" w:hRule="exact"/>
        </w:trPr>
        <w:tc>
          <w:tcPr>
            <w:tcW w:w="2396" w:type="dxa"/>
            <w:vMerge/>
            <w:tcBorders>
              <w:left w:val="single" w:sz="6" w:space="0" w:color="000000"/>
              <w:right w:val="single" w:sz="6" w:space="0" w:color="000000"/>
            </w:tcBorders>
          </w:tcPr>
          <w:p>
            <w:pPr/>
          </w:p>
        </w:tc>
        <w:tc>
          <w:tcPr>
            <w:tcW w:w="1292" w:type="dxa"/>
            <w:vMerge w:val="restart"/>
            <w:tcBorders>
              <w:top w:val="single" w:sz="6" w:space="0" w:color="000000"/>
              <w:left w:val="single" w:sz="6"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1985"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44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5"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10" w:type="dxa"/>
            <w:vMerge w:val="restart"/>
            <w:tcBorders>
              <w:top w:val="single" w:sz="6" w:space="0" w:color="000000"/>
              <w:left w:val="single" w:sz="6" w:space="0" w:color="000000"/>
              <w:right w:val="single" w:sz="6" w:space="0" w:color="000000"/>
            </w:tcBorders>
          </w:tcPr>
          <w:p>
            <w:pPr>
              <w:pStyle w:val="TableParagraph"/>
              <w:spacing w:line="232" w:lineRule="exact" w:before="160"/>
              <w:ind w:left="167" w:right="98"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991" w:type="dxa"/>
            <w:vMerge w:val="restart"/>
            <w:tcBorders>
              <w:top w:val="single" w:sz="6" w:space="0" w:color="000000"/>
              <w:left w:val="single" w:sz="6" w:space="0" w:color="000000"/>
              <w:right w:val="single" w:sz="6" w:space="0" w:color="000000"/>
            </w:tcBorders>
          </w:tcPr>
          <w:p>
            <w:pPr>
              <w:pStyle w:val="TableParagraph"/>
              <w:spacing w:line="232" w:lineRule="exact" w:before="160"/>
              <w:ind w:left="307" w:right="127"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87" w:type="dxa"/>
            <w:vMerge w:val="restart"/>
            <w:tcBorders>
              <w:top w:val="single" w:sz="6" w:space="0" w:color="000000"/>
              <w:left w:val="single" w:sz="6" w:space="0" w:color="000000"/>
              <w:right w:val="single" w:sz="6" w:space="0" w:color="000000"/>
            </w:tcBorders>
          </w:tcPr>
          <w:p>
            <w:pPr>
              <w:pStyle w:val="TableParagraph"/>
              <w:spacing w:line="232" w:lineRule="exact" w:before="160"/>
              <w:ind w:left="455" w:right="183" w:hanging="269"/>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485" w:hRule="exact"/>
        </w:trPr>
        <w:tc>
          <w:tcPr>
            <w:tcW w:w="2396" w:type="dxa"/>
            <w:vMerge/>
            <w:tcBorders>
              <w:left w:val="single" w:sz="6" w:space="0" w:color="000000"/>
              <w:bottom w:val="single" w:sz="6" w:space="0" w:color="000000"/>
              <w:right w:val="single" w:sz="6" w:space="0" w:color="000000"/>
            </w:tcBorders>
          </w:tcPr>
          <w:p>
            <w:pPr/>
          </w:p>
        </w:tc>
        <w:tc>
          <w:tcPr>
            <w:tcW w:w="1292" w:type="dxa"/>
            <w:vMerge/>
            <w:tcBorders>
              <w:left w:val="single" w:sz="6" w:space="0" w:color="000000"/>
              <w:bottom w:val="single" w:sz="6" w:space="0" w:color="000000"/>
              <w:right w:val="single" w:sz="4" w:space="0" w:color="000000"/>
            </w:tcBorders>
          </w:tcPr>
          <w:p>
            <w:pPr/>
          </w:p>
        </w:tc>
        <w:tc>
          <w:tcPr>
            <w:tcW w:w="708"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1"/>
              <w:ind w:left="259" w:right="16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708"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1"/>
              <w:ind w:left="261" w:right="167"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69" w:type="dxa"/>
            <w:tcBorders>
              <w:top w:val="single" w:sz="4" w:space="0" w:color="000000"/>
              <w:left w:val="single" w:sz="4" w:space="0" w:color="000000"/>
              <w:bottom w:val="single" w:sz="6" w:space="0" w:color="000000"/>
              <w:right w:val="single" w:sz="6" w:space="0" w:color="000000"/>
            </w:tcBorders>
          </w:tcPr>
          <w:p>
            <w:pPr>
              <w:pStyle w:val="TableParagraph"/>
              <w:spacing w:line="232" w:lineRule="exact" w:before="1"/>
              <w:ind w:left="189" w:right="185"/>
              <w:jc w:val="center"/>
              <w:rPr>
                <w:rFonts w:ascii="宋体" w:hAnsi="宋体" w:cs="宋体" w:eastAsia="宋体" w:hint="default"/>
                <w:sz w:val="18"/>
                <w:szCs w:val="18"/>
              </w:rPr>
            </w:pPr>
            <w:r>
              <w:rPr>
                <w:rFonts w:ascii="宋体" w:hAnsi="宋体" w:cs="宋体" w:eastAsia="宋体" w:hint="default"/>
                <w:sz w:val="18"/>
                <w:szCs w:val="18"/>
              </w:rPr>
              <w:t>其 他</w:t>
            </w:r>
          </w:p>
        </w:tc>
        <w:tc>
          <w:tcPr>
            <w:tcW w:w="1275" w:type="dxa"/>
            <w:vMerge/>
            <w:tcBorders>
              <w:left w:val="single" w:sz="6" w:space="0" w:color="000000"/>
              <w:bottom w:val="single" w:sz="6" w:space="0" w:color="000000"/>
              <w:right w:val="single" w:sz="6" w:space="0" w:color="000000"/>
            </w:tcBorders>
          </w:tcPr>
          <w:p>
            <w:pPr/>
          </w:p>
        </w:tc>
        <w:tc>
          <w:tcPr>
            <w:tcW w:w="710"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287" w:type="dxa"/>
            <w:vMerge/>
            <w:tcBorders>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397,182</w:t>
            </w: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127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367,787</w:t>
            </w: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28,673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111,732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506,921</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1,412,295</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1275" w:type="dxa"/>
            <w:tcBorders>
              <w:top w:val="single" w:sz="6" w:space="0" w:color="000000"/>
              <w:left w:val="single" w:sz="4"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1275" w:type="dxa"/>
            <w:tcBorders>
              <w:top w:val="single" w:sz="6" w:space="0" w:color="000000"/>
              <w:left w:val="single" w:sz="4"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1275" w:type="dxa"/>
            <w:tcBorders>
              <w:top w:val="single" w:sz="6" w:space="0" w:color="000000"/>
              <w:left w:val="single" w:sz="4"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397,182</w:t>
            </w: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127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367,787</w:t>
            </w: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28,673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111,732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506,921</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1,412,295</w:t>
            </w: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6,737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z w:val="18"/>
              </w:rPr>
              <w:t>3,978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(15,831)</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z w:val="18"/>
              </w:rPr>
              <w:t>(5,116)</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39,782</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39,782</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5"/>
              <w:jc w:val="right"/>
              <w:rPr>
                <w:rFonts w:ascii="宋体" w:hAnsi="宋体" w:cs="宋体" w:eastAsia="宋体" w:hint="default"/>
                <w:sz w:val="18"/>
                <w:szCs w:val="18"/>
              </w:rPr>
            </w:pPr>
            <w:r>
              <w:rPr>
                <w:rFonts w:ascii="宋体"/>
                <w:sz w:val="18"/>
              </w:rPr>
              <w:t>3,978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(55,613)</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(51,635)</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3,978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(3,978)</w:t>
            </w: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(51,635)</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(51,635)</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57" w:footer="1218" w:top="1260" w:bottom="1400" w:left="1360" w:right="1280"/>
        </w:sectPr>
      </w:pPr>
    </w:p>
    <w:p>
      <w:pPr>
        <w:spacing w:line="240" w:lineRule="auto" w:before="5"/>
        <w:rPr>
          <w:rFonts w:ascii="Times New Roman" w:hAnsi="Times New Roman" w:cs="Times New Roman" w:eastAsia="Times New Roman"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2396"/>
        <w:gridCol w:w="1292"/>
        <w:gridCol w:w="708"/>
        <w:gridCol w:w="708"/>
        <w:gridCol w:w="569"/>
        <w:gridCol w:w="1275"/>
        <w:gridCol w:w="710"/>
        <w:gridCol w:w="991"/>
        <w:gridCol w:w="1277"/>
        <w:gridCol w:w="1274"/>
        <w:gridCol w:w="1418"/>
        <w:gridCol w:w="1287"/>
      </w:tblGrid>
      <w:tr>
        <w:trPr>
          <w:trHeight w:val="262" w:hRule="exact"/>
        </w:trPr>
        <w:tc>
          <w:tcPr>
            <w:tcW w:w="2396" w:type="dxa"/>
            <w:tcBorders>
              <w:top w:val="single" w:sz="12" w:space="0" w:color="000000"/>
              <w:left w:val="single" w:sz="6" w:space="0" w:color="000000"/>
              <w:bottom w:val="single" w:sz="6" w:space="0" w:color="000000"/>
              <w:right w:val="single" w:sz="6" w:space="0" w:color="000000"/>
            </w:tcBorders>
          </w:tcPr>
          <w:p>
            <w:pPr>
              <w:pStyle w:val="TableParagraph"/>
              <w:spacing w:line="213" w:lineRule="exact"/>
              <w:ind w:left="10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92" w:type="dxa"/>
            <w:tcBorders>
              <w:top w:val="single" w:sz="12" w:space="0" w:color="000000"/>
              <w:left w:val="single" w:sz="6" w:space="0" w:color="000000"/>
              <w:bottom w:val="single" w:sz="6" w:space="0" w:color="000000"/>
              <w:right w:val="single" w:sz="4" w:space="0" w:color="000000"/>
            </w:tcBorders>
          </w:tcPr>
          <w:p>
            <w:pPr/>
          </w:p>
        </w:tc>
        <w:tc>
          <w:tcPr>
            <w:tcW w:w="708" w:type="dxa"/>
            <w:tcBorders>
              <w:top w:val="single" w:sz="12" w:space="0" w:color="000000"/>
              <w:left w:val="single" w:sz="4" w:space="0" w:color="000000"/>
              <w:bottom w:val="single" w:sz="6" w:space="0" w:color="000000"/>
              <w:right w:val="single" w:sz="4" w:space="0" w:color="000000"/>
            </w:tcBorders>
          </w:tcPr>
          <w:p>
            <w:pPr/>
          </w:p>
        </w:tc>
        <w:tc>
          <w:tcPr>
            <w:tcW w:w="708" w:type="dxa"/>
            <w:tcBorders>
              <w:top w:val="single" w:sz="12" w:space="0" w:color="000000"/>
              <w:left w:val="single" w:sz="4" w:space="0" w:color="000000"/>
              <w:bottom w:val="single" w:sz="6" w:space="0" w:color="000000"/>
              <w:right w:val="single" w:sz="4" w:space="0" w:color="000000"/>
            </w:tcBorders>
          </w:tcPr>
          <w:p>
            <w:pPr/>
          </w:p>
        </w:tc>
        <w:tc>
          <w:tcPr>
            <w:tcW w:w="569" w:type="dxa"/>
            <w:tcBorders>
              <w:top w:val="single" w:sz="12" w:space="0" w:color="000000"/>
              <w:left w:val="single" w:sz="4" w:space="0" w:color="000000"/>
              <w:bottom w:val="single" w:sz="6" w:space="0" w:color="000000"/>
              <w:right w:val="single" w:sz="6" w:space="0" w:color="000000"/>
            </w:tcBorders>
          </w:tcPr>
          <w:p>
            <w:pPr/>
          </w:p>
        </w:tc>
        <w:tc>
          <w:tcPr>
            <w:tcW w:w="1275" w:type="dxa"/>
            <w:tcBorders>
              <w:top w:val="single" w:sz="12" w:space="0" w:color="000000"/>
              <w:left w:val="single" w:sz="6" w:space="0" w:color="000000"/>
              <w:bottom w:val="single" w:sz="6" w:space="0" w:color="000000"/>
              <w:right w:val="single" w:sz="6" w:space="0" w:color="000000"/>
            </w:tcBorders>
          </w:tcPr>
          <w:p>
            <w:pPr/>
          </w:p>
        </w:tc>
        <w:tc>
          <w:tcPr>
            <w:tcW w:w="710" w:type="dxa"/>
            <w:tcBorders>
              <w:top w:val="single" w:sz="12" w:space="0" w:color="000000"/>
              <w:left w:val="single" w:sz="6" w:space="0" w:color="000000"/>
              <w:bottom w:val="single" w:sz="6" w:space="0" w:color="000000"/>
              <w:right w:val="single" w:sz="6" w:space="0" w:color="000000"/>
            </w:tcBorders>
          </w:tcPr>
          <w:p>
            <w:pPr/>
          </w:p>
        </w:tc>
        <w:tc>
          <w:tcPr>
            <w:tcW w:w="991" w:type="dxa"/>
            <w:tcBorders>
              <w:top w:val="single" w:sz="12" w:space="0" w:color="000000"/>
              <w:left w:val="single" w:sz="6" w:space="0" w:color="000000"/>
              <w:bottom w:val="single" w:sz="6" w:space="0" w:color="000000"/>
              <w:right w:val="single" w:sz="6" w:space="0" w:color="000000"/>
            </w:tcBorders>
          </w:tcPr>
          <w:p>
            <w:pPr/>
          </w:p>
        </w:tc>
        <w:tc>
          <w:tcPr>
            <w:tcW w:w="1277" w:type="dxa"/>
            <w:tcBorders>
              <w:top w:val="single" w:sz="12" w:space="0" w:color="000000"/>
              <w:left w:val="single" w:sz="6" w:space="0" w:color="000000"/>
              <w:bottom w:val="single" w:sz="6" w:space="0" w:color="000000"/>
              <w:right w:val="single" w:sz="6" w:space="0" w:color="000000"/>
            </w:tcBorders>
          </w:tcPr>
          <w:p>
            <w:pPr/>
          </w:p>
        </w:tc>
        <w:tc>
          <w:tcPr>
            <w:tcW w:w="1274" w:type="dxa"/>
            <w:tcBorders>
              <w:top w:val="single" w:sz="12" w:space="0" w:color="000000"/>
              <w:left w:val="single" w:sz="6" w:space="0" w:color="000000"/>
              <w:bottom w:val="single" w:sz="6" w:space="0" w:color="000000"/>
              <w:right w:val="single" w:sz="6" w:space="0" w:color="000000"/>
            </w:tcBorders>
          </w:tcPr>
          <w:p>
            <w:pPr/>
          </w:p>
        </w:tc>
        <w:tc>
          <w:tcPr>
            <w:tcW w:w="1418" w:type="dxa"/>
            <w:tcBorders>
              <w:top w:val="single" w:sz="12" w:space="0" w:color="000000"/>
              <w:left w:val="single" w:sz="6" w:space="0" w:color="000000"/>
              <w:bottom w:val="single" w:sz="6" w:space="0" w:color="000000"/>
              <w:right w:val="single" w:sz="6" w:space="0" w:color="000000"/>
            </w:tcBorders>
          </w:tcPr>
          <w:p>
            <w:pPr/>
          </w:p>
        </w:tc>
        <w:tc>
          <w:tcPr>
            <w:tcW w:w="1287" w:type="dxa"/>
            <w:tcBorders>
              <w:top w:val="single" w:sz="12"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72"/>
                <w:sz w:val="18"/>
                <w:szCs w:val="18"/>
              </w:rPr>
              <w:t>．</w:t>
            </w:r>
            <w:r>
              <w:rPr>
                <w:rFonts w:ascii="宋体" w:hAnsi="宋体" w:cs="宋体" w:eastAsia="宋体" w:hint="default"/>
                <w:sz w:val="18"/>
                <w:szCs w:val="18"/>
              </w:rPr>
              <w:t>设定受益计划变动额结转</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6,737</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6,737</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7,248</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5"/>
              <w:jc w:val="right"/>
              <w:rPr>
                <w:rFonts w:ascii="宋体" w:hAnsi="宋体" w:cs="宋体" w:eastAsia="宋体" w:hint="default"/>
                <w:sz w:val="18"/>
                <w:szCs w:val="18"/>
              </w:rPr>
            </w:pPr>
            <w:r>
              <w:rPr>
                <w:rFonts w:ascii="宋体"/>
                <w:sz w:val="18"/>
              </w:rPr>
              <w:t>7,248</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511</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511</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544" w:right="0"/>
              <w:jc w:val="left"/>
              <w:rPr>
                <w:rFonts w:ascii="宋体" w:hAnsi="宋体" w:cs="宋体" w:eastAsia="宋体" w:hint="default"/>
                <w:sz w:val="18"/>
                <w:szCs w:val="18"/>
              </w:rPr>
            </w:pPr>
            <w:r>
              <w:rPr>
                <w:rFonts w:ascii="宋体"/>
                <w:sz w:val="18"/>
              </w:rPr>
              <w:t>397,182</w:t>
            </w: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30" w:right="0"/>
              <w:jc w:val="left"/>
              <w:rPr>
                <w:rFonts w:ascii="宋体" w:hAnsi="宋体" w:cs="宋体" w:eastAsia="宋体" w:hint="default"/>
                <w:sz w:val="18"/>
                <w:szCs w:val="18"/>
              </w:rPr>
            </w:pPr>
            <w:r>
              <w:rPr>
                <w:rFonts w:ascii="宋体"/>
                <w:sz w:val="18"/>
              </w:rPr>
              <w:t>367,787</w:t>
            </w: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35,410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30" w:right="0"/>
              <w:jc w:val="left"/>
              <w:rPr>
                <w:rFonts w:ascii="宋体" w:hAnsi="宋体" w:cs="宋体" w:eastAsia="宋体" w:hint="default"/>
                <w:sz w:val="18"/>
                <w:szCs w:val="18"/>
              </w:rPr>
            </w:pPr>
            <w:r>
              <w:rPr>
                <w:rFonts w:ascii="宋体"/>
                <w:sz w:val="18"/>
              </w:rPr>
              <w:t>115,710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72" w:right="0"/>
              <w:jc w:val="left"/>
              <w:rPr>
                <w:rFonts w:ascii="宋体" w:hAnsi="宋体" w:cs="宋体" w:eastAsia="宋体" w:hint="default"/>
                <w:sz w:val="18"/>
                <w:szCs w:val="18"/>
              </w:rPr>
            </w:pPr>
            <w:r>
              <w:rPr>
                <w:rFonts w:ascii="宋体"/>
                <w:sz w:val="18"/>
              </w:rPr>
              <w:t>491,090</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1,407,179</w:t>
            </w:r>
          </w:p>
        </w:tc>
      </w:tr>
    </w:tbl>
    <w:p>
      <w:pPr>
        <w:spacing w:line="240" w:lineRule="auto" w:before="7"/>
        <w:rPr>
          <w:rFonts w:ascii="Times New Roman" w:hAnsi="Times New Roman" w:cs="Times New Roman" w:eastAsia="Times New Roman" w:hint="default"/>
          <w:sz w:val="14"/>
          <w:szCs w:val="14"/>
        </w:rPr>
      </w:pPr>
    </w:p>
    <w:p>
      <w:pPr>
        <w:spacing w:before="44"/>
        <w:ind w:left="124" w:right="7889" w:firstLine="0"/>
        <w:jc w:val="left"/>
        <w:rPr>
          <w:rFonts w:ascii="宋体" w:hAnsi="宋体" w:cs="宋体" w:eastAsia="宋体" w:hint="default"/>
          <w:sz w:val="18"/>
          <w:szCs w:val="18"/>
        </w:rPr>
      </w:pPr>
      <w:r>
        <w:rPr>
          <w:rFonts w:ascii="宋体" w:hAnsi="宋体" w:cs="宋体" w:eastAsia="宋体" w:hint="default"/>
          <w:sz w:val="18"/>
          <w:szCs w:val="18"/>
        </w:rPr>
        <w:t>法定代表人：周鸿祎 主管会计工作负责人：张矛</w:t>
      </w:r>
      <w:r>
        <w:rPr>
          <w:rFonts w:ascii="宋体" w:hAnsi="宋体" w:cs="宋体" w:eastAsia="宋体" w:hint="default"/>
          <w:spacing w:val="2"/>
          <w:sz w:val="18"/>
          <w:szCs w:val="18"/>
        </w:rPr>
        <w:t> </w:t>
      </w:r>
      <w:r>
        <w:rPr>
          <w:rFonts w:ascii="宋体" w:hAnsi="宋体" w:cs="宋体" w:eastAsia="宋体" w:hint="default"/>
          <w:sz w:val="18"/>
          <w:szCs w:val="18"/>
        </w:rPr>
        <w:t>会计机构负责人：张海龙</w:t>
      </w:r>
    </w:p>
    <w:p>
      <w:pPr>
        <w:spacing w:after="0"/>
        <w:jc w:val="left"/>
        <w:rPr>
          <w:rFonts w:ascii="宋体" w:hAnsi="宋体" w:cs="宋体" w:eastAsia="宋体" w:hint="default"/>
          <w:sz w:val="18"/>
          <w:szCs w:val="18"/>
        </w:rPr>
        <w:sectPr>
          <w:pgSz w:w="16840" w:h="11910" w:orient="landscape"/>
          <w:pgMar w:header="857" w:footer="1218" w:top="1260" w:bottom="1400" w:left="1400" w:right="1280"/>
        </w:sectPr>
      </w:pPr>
    </w:p>
    <w:p>
      <w:pPr>
        <w:pStyle w:val="Heading5"/>
        <w:tabs>
          <w:tab w:pos="557" w:val="left" w:leader="none"/>
        </w:tabs>
        <w:spacing w:line="290" w:lineRule="auto" w:before="132"/>
        <w:ind w:left="137" w:right="7455"/>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tabs>
          <w:tab w:pos="979" w:val="left" w:leader="none"/>
        </w:tabs>
        <w:spacing w:line="273" w:lineRule="exact" w:before="14"/>
        <w:ind w:left="137" w:right="234"/>
        <w:jc w:val="left"/>
      </w:pPr>
      <w:r>
        <w:rPr/>
        <w:t>√适用</w:t>
        <w:tab/>
        <w:t>□不适用</w:t>
      </w:r>
    </w:p>
    <w:p>
      <w:pPr>
        <w:pStyle w:val="BodyText"/>
        <w:spacing w:line="357" w:lineRule="auto"/>
        <w:ind w:left="557" w:right="234"/>
        <w:jc w:val="left"/>
      </w:pPr>
      <w:r>
        <w:rPr>
          <w:rFonts w:ascii="宋体" w:hAnsi="宋体" w:cs="宋体" w:eastAsia="宋体" w:hint="default"/>
        </w:rPr>
        <w:t>1.1</w:t>
      </w:r>
      <w:r>
        <w:rPr>
          <w:rFonts w:ascii="宋体" w:hAnsi="宋体" w:cs="宋体" w:eastAsia="宋体" w:hint="default"/>
          <w:spacing w:val="-2"/>
        </w:rPr>
        <w:t> </w:t>
      </w:r>
      <w:r>
        <w:rPr/>
        <w:t>本公司的基本情况</w:t>
      </w:r>
      <w:r>
        <w:rPr>
          <w:spacing w:val="-103"/>
        </w:rPr>
        <w:t> </w:t>
      </w:r>
      <w:r>
        <w:rPr>
          <w:spacing w:val="-103"/>
        </w:rPr>
      </w:r>
      <w:r>
        <w:rPr>
          <w:spacing w:val="-4"/>
        </w:rPr>
        <w:t>三六零安全科技股份有限公司</w:t>
      </w:r>
      <w:r>
        <w:rPr>
          <w:rFonts w:ascii="宋体" w:hAnsi="宋体" w:cs="宋体" w:eastAsia="宋体" w:hint="default"/>
          <w:spacing w:val="-4"/>
        </w:rPr>
        <w:t>(</w:t>
      </w:r>
      <w:r>
        <w:rPr>
          <w:spacing w:val="-4"/>
        </w:rPr>
        <w:t>以下简称“本公司”、“公司”，在包含子公司时统称“本集</w:t>
      </w:r>
      <w:r>
        <w:rPr/>
      </w:r>
    </w:p>
    <w:p>
      <w:pPr>
        <w:pStyle w:val="BodyText"/>
        <w:spacing w:line="240" w:lineRule="auto" w:before="30"/>
        <w:ind w:left="137" w:right="234"/>
        <w:jc w:val="left"/>
      </w:pPr>
      <w:r>
        <w:rPr>
          <w:w w:val="100"/>
        </w:rPr>
        <w:t>团”</w:t>
      </w:r>
      <w:r>
        <w:rPr>
          <w:spacing w:val="-3"/>
          <w:w w:val="100"/>
        </w:rPr>
        <w:t>)</w:t>
      </w:r>
      <w:r>
        <w:rPr>
          <w:spacing w:val="-101"/>
          <w:w w:val="100"/>
        </w:rPr>
        <w:t>，</w:t>
      </w:r>
      <w:r>
        <w:rPr>
          <w:w w:val="100"/>
        </w:rPr>
        <w:t>在</w:t>
      </w:r>
      <w:r>
        <w:rPr>
          <w:spacing w:val="-55"/>
        </w:rPr>
        <w:t> </w:t>
      </w:r>
      <w:r>
        <w:rPr>
          <w:rFonts w:ascii="宋体" w:hAnsi="宋体" w:cs="宋体" w:eastAsia="宋体" w:hint="default"/>
          <w:w w:val="100"/>
        </w:rPr>
        <w:t>2018</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2</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2</w:t>
      </w:r>
      <w:r>
        <w:rPr>
          <w:rFonts w:ascii="宋体" w:hAnsi="宋体" w:cs="宋体" w:eastAsia="宋体" w:hint="default"/>
          <w:w w:val="100"/>
        </w:rPr>
        <w:t>8</w:t>
      </w:r>
      <w:r>
        <w:rPr>
          <w:rFonts w:ascii="宋体" w:hAnsi="宋体" w:cs="宋体" w:eastAsia="宋体" w:hint="default"/>
          <w:spacing w:val="-55"/>
        </w:rPr>
        <w:t> </w:t>
      </w:r>
      <w:r>
        <w:rPr>
          <w:w w:val="100"/>
        </w:rPr>
        <w:t>日完</w:t>
      </w:r>
      <w:r>
        <w:rPr>
          <w:spacing w:val="-3"/>
          <w:w w:val="100"/>
        </w:rPr>
        <w:t>成</w:t>
      </w:r>
      <w:r>
        <w:rPr>
          <w:w w:val="100"/>
        </w:rPr>
        <w:t>重</w:t>
      </w:r>
      <w:r>
        <w:rPr>
          <w:spacing w:val="-3"/>
          <w:w w:val="100"/>
        </w:rPr>
        <w:t>大</w:t>
      </w:r>
      <w:r>
        <w:rPr>
          <w:w w:val="100"/>
        </w:rPr>
        <w:t>资</w:t>
      </w:r>
      <w:r>
        <w:rPr>
          <w:spacing w:val="-3"/>
          <w:w w:val="100"/>
        </w:rPr>
        <w:t>产</w:t>
      </w:r>
      <w:r>
        <w:rPr>
          <w:w w:val="100"/>
        </w:rPr>
        <w:t>出</w:t>
      </w:r>
      <w:r>
        <w:rPr>
          <w:spacing w:val="-3"/>
          <w:w w:val="100"/>
        </w:rPr>
        <w:t>售</w:t>
      </w:r>
      <w:r>
        <w:rPr>
          <w:spacing w:val="-101"/>
          <w:w w:val="100"/>
        </w:rPr>
        <w:t>、</w:t>
      </w:r>
      <w:r>
        <w:rPr>
          <w:spacing w:val="-3"/>
          <w:w w:val="100"/>
        </w:rPr>
        <w:t>置换</w:t>
      </w:r>
      <w:r>
        <w:rPr>
          <w:w w:val="100"/>
        </w:rPr>
        <w:t>及发</w:t>
      </w:r>
      <w:r>
        <w:rPr>
          <w:spacing w:val="-3"/>
          <w:w w:val="100"/>
        </w:rPr>
        <w:t>行</w:t>
      </w:r>
      <w:r>
        <w:rPr>
          <w:w w:val="100"/>
        </w:rPr>
        <w:t>股</w:t>
      </w:r>
      <w:r>
        <w:rPr>
          <w:spacing w:val="-3"/>
          <w:w w:val="100"/>
        </w:rPr>
        <w:t>份</w:t>
      </w:r>
      <w:r>
        <w:rPr>
          <w:w w:val="100"/>
        </w:rPr>
        <w:t>购</w:t>
      </w:r>
      <w:r>
        <w:rPr>
          <w:spacing w:val="-3"/>
          <w:w w:val="100"/>
        </w:rPr>
        <w:t>买</w:t>
      </w:r>
      <w:r>
        <w:rPr>
          <w:w w:val="100"/>
        </w:rPr>
        <w:t>资</w:t>
      </w:r>
      <w:r>
        <w:rPr>
          <w:spacing w:val="-3"/>
          <w:w w:val="100"/>
        </w:rPr>
        <w:t>产</w:t>
      </w:r>
      <w:r>
        <w:rPr>
          <w:w w:val="100"/>
        </w:rPr>
        <w:t>后</w:t>
      </w:r>
      <w:r>
        <w:rPr>
          <w:spacing w:val="-3"/>
          <w:w w:val="100"/>
        </w:rPr>
        <w:t>更</w:t>
      </w:r>
      <w:r>
        <w:rPr>
          <w:w w:val="100"/>
        </w:rPr>
        <w:t>名为</w:t>
      </w:r>
      <w:r>
        <w:rPr>
          <w:spacing w:val="-3"/>
          <w:w w:val="100"/>
        </w:rPr>
        <w:t>现</w:t>
      </w:r>
      <w:r>
        <w:rPr>
          <w:w w:val="100"/>
        </w:rPr>
        <w:t>名</w:t>
      </w:r>
      <w:r>
        <w:rPr>
          <w:spacing w:val="-3"/>
          <w:w w:val="100"/>
        </w:rPr>
        <w:t>称</w:t>
      </w:r>
      <w:r>
        <w:rPr>
          <w:spacing w:val="-101"/>
          <w:w w:val="100"/>
        </w:rPr>
        <w:t>。</w:t>
      </w:r>
      <w:r>
        <w:rPr>
          <w:spacing w:val="-3"/>
          <w:w w:val="100"/>
        </w:rPr>
        <w:t>此</w:t>
      </w:r>
      <w:r>
        <w:rPr>
          <w:w w:val="100"/>
        </w:rPr>
        <w:t>前，</w:t>
      </w:r>
    </w:p>
    <w:p>
      <w:pPr>
        <w:pStyle w:val="BodyText"/>
        <w:spacing w:line="240" w:lineRule="auto" w:before="133"/>
        <w:ind w:left="137" w:right="234"/>
        <w:jc w:val="left"/>
      </w:pPr>
      <w:r>
        <w:rPr>
          <w:spacing w:val="-5"/>
        </w:rPr>
        <w:t>本公司原名江南嘉捷电梯股份有限公司（以下简称“原江南嘉捷”），于</w:t>
      </w:r>
      <w:r>
        <w:rPr>
          <w:spacing w:val="-38"/>
        </w:rPr>
        <w:t> </w:t>
      </w:r>
      <w:r>
        <w:rPr>
          <w:rFonts w:ascii="宋体" w:hAnsi="宋体" w:cs="宋体" w:eastAsia="宋体" w:hint="default"/>
        </w:rPr>
        <w:t>2007</w:t>
      </w:r>
      <w:r>
        <w:rPr>
          <w:rFonts w:ascii="宋体" w:hAnsi="宋体" w:cs="宋体" w:eastAsia="宋体" w:hint="default"/>
          <w:spacing w:val="-38"/>
        </w:rPr>
        <w:t> </w:t>
      </w:r>
      <w:r>
        <w:rPr/>
        <w:t>年</w:t>
      </w:r>
      <w:r>
        <w:rPr>
          <w:spacing w:val="-38"/>
        </w:rPr>
        <w:t> </w:t>
      </w:r>
      <w:r>
        <w:rPr>
          <w:rFonts w:ascii="宋体" w:hAnsi="宋体" w:cs="宋体" w:eastAsia="宋体" w:hint="default"/>
        </w:rPr>
        <w:t>8</w:t>
      </w:r>
      <w:r>
        <w:rPr>
          <w:rFonts w:ascii="宋体" w:hAnsi="宋体" w:cs="宋体" w:eastAsia="宋体" w:hint="default"/>
          <w:spacing w:val="-41"/>
        </w:rPr>
        <w:t> </w:t>
      </w:r>
      <w:r>
        <w:rPr/>
        <w:t>月由苏州江南</w:t>
      </w:r>
    </w:p>
    <w:p>
      <w:pPr>
        <w:pStyle w:val="BodyText"/>
        <w:spacing w:line="240" w:lineRule="auto" w:before="133"/>
        <w:ind w:left="137" w:right="124"/>
        <w:jc w:val="left"/>
      </w:pPr>
      <w:r>
        <w:rPr/>
        <w:t>嘉捷电梯集团有限公司以</w:t>
      </w:r>
      <w:r>
        <w:rPr>
          <w:spacing w:val="-70"/>
        </w:rPr>
        <w:t> </w:t>
      </w:r>
      <w:r>
        <w:rPr>
          <w:rFonts w:ascii="宋体" w:hAnsi="宋体" w:cs="宋体" w:eastAsia="宋体" w:hint="default"/>
        </w:rPr>
        <w:t>2007</w:t>
      </w:r>
      <w:r>
        <w:rPr>
          <w:rFonts w:ascii="宋体" w:hAnsi="宋体" w:cs="宋体" w:eastAsia="宋体" w:hint="default"/>
          <w:spacing w:val="-69"/>
        </w:rPr>
        <w:t> </w:t>
      </w:r>
      <w:r>
        <w:rPr/>
        <w:t>年</w:t>
      </w:r>
      <w:r>
        <w:rPr>
          <w:spacing w:val="-69"/>
        </w:rPr>
        <w:t> </w:t>
      </w:r>
      <w:r>
        <w:rPr>
          <w:rFonts w:ascii="宋体" w:hAnsi="宋体" w:cs="宋体" w:eastAsia="宋体" w:hint="default"/>
        </w:rPr>
        <w:t>7</w:t>
      </w:r>
      <w:r>
        <w:rPr>
          <w:rFonts w:ascii="宋体" w:hAnsi="宋体" w:cs="宋体" w:eastAsia="宋体" w:hint="default"/>
          <w:spacing w:val="-69"/>
        </w:rPr>
        <w:t> </w:t>
      </w:r>
      <w:r>
        <w:rPr/>
        <w:t>月</w:t>
      </w:r>
      <w:r>
        <w:rPr>
          <w:spacing w:val="-69"/>
        </w:rPr>
        <w:t> </w:t>
      </w:r>
      <w:r>
        <w:rPr>
          <w:rFonts w:ascii="宋体" w:hAnsi="宋体" w:cs="宋体" w:eastAsia="宋体" w:hint="default"/>
        </w:rPr>
        <w:t>31</w:t>
      </w:r>
      <w:r>
        <w:rPr>
          <w:rFonts w:ascii="宋体" w:hAnsi="宋体" w:cs="宋体" w:eastAsia="宋体" w:hint="default"/>
          <w:spacing w:val="-69"/>
        </w:rPr>
        <w:t> </w:t>
      </w:r>
      <w:r>
        <w:rPr/>
        <w:t>日为基准日整体变更为苏州江南嘉捷电梯股份有限公司，</w:t>
      </w:r>
    </w:p>
    <w:p>
      <w:pPr>
        <w:pStyle w:val="BodyText"/>
        <w:spacing w:line="240" w:lineRule="auto" w:before="135"/>
        <w:ind w:left="137" w:right="234"/>
        <w:jc w:val="left"/>
      </w:pPr>
      <w:r>
        <w:rPr/>
        <w:t>由金志峰等</w:t>
      </w:r>
      <w:r>
        <w:rPr>
          <w:spacing w:val="-54"/>
        </w:rPr>
        <w:t> </w:t>
      </w:r>
      <w:r>
        <w:rPr>
          <w:rFonts w:ascii="宋体" w:hAnsi="宋体" w:cs="宋体" w:eastAsia="宋体" w:hint="default"/>
        </w:rPr>
        <w:t>19</w:t>
      </w:r>
      <w:r>
        <w:rPr>
          <w:rFonts w:ascii="宋体" w:hAnsi="宋体" w:cs="宋体" w:eastAsia="宋体" w:hint="default"/>
          <w:spacing w:val="-56"/>
        </w:rPr>
        <w:t> </w:t>
      </w:r>
      <w:r>
        <w:rPr/>
        <w:t>名股东作为发起人，股本为人民币</w:t>
      </w:r>
      <w:r>
        <w:rPr>
          <w:spacing w:val="-54"/>
        </w:rPr>
        <w:t> </w:t>
      </w:r>
      <w:r>
        <w:rPr>
          <w:rFonts w:ascii="宋体" w:hAnsi="宋体" w:cs="宋体" w:eastAsia="宋体" w:hint="default"/>
        </w:rPr>
        <w:t>10,000</w:t>
      </w:r>
      <w:r>
        <w:rPr>
          <w:rFonts w:ascii="宋体" w:hAnsi="宋体" w:cs="宋体" w:eastAsia="宋体" w:hint="default"/>
          <w:spacing w:val="-56"/>
        </w:rPr>
        <w:t> </w:t>
      </w:r>
      <w:r>
        <w:rPr/>
        <w:t>万元。</w:t>
      </w:r>
    </w:p>
    <w:p>
      <w:pPr>
        <w:pStyle w:val="BodyText"/>
        <w:spacing w:line="240" w:lineRule="auto" w:before="133"/>
        <w:ind w:left="557" w:right="234"/>
        <w:jc w:val="left"/>
        <w:rPr>
          <w:rFonts w:ascii="宋体" w:hAnsi="宋体" w:cs="宋体" w:eastAsia="宋体" w:hint="default"/>
        </w:rPr>
      </w:pPr>
      <w:r>
        <w:rPr>
          <w:spacing w:val="-3"/>
        </w:rPr>
        <w:t>经中国证券监督管理委员会“证监许可</w:t>
      </w:r>
      <w:r>
        <w:rPr>
          <w:rFonts w:ascii="宋体" w:hAnsi="宋体" w:cs="宋体" w:eastAsia="宋体" w:hint="default"/>
          <w:spacing w:val="-3"/>
        </w:rPr>
        <w:t>[2011]2077</w:t>
      </w:r>
      <w:r>
        <w:rPr>
          <w:rFonts w:ascii="宋体" w:hAnsi="宋体" w:cs="宋体" w:eastAsia="宋体" w:hint="default"/>
          <w:spacing w:val="-46"/>
        </w:rPr>
        <w:t> </w:t>
      </w:r>
      <w:r>
        <w:rPr>
          <w:spacing w:val="-6"/>
        </w:rPr>
        <w:t>号”文核准，原江南嘉捷于</w:t>
      </w:r>
      <w:r>
        <w:rPr>
          <w:spacing w:val="-44"/>
        </w:rPr>
        <w:t> </w:t>
      </w:r>
      <w:r>
        <w:rPr>
          <w:rFonts w:ascii="宋体" w:hAnsi="宋体" w:cs="宋体" w:eastAsia="宋体" w:hint="default"/>
        </w:rPr>
        <w:t>2012</w:t>
      </w:r>
      <w:r>
        <w:rPr>
          <w:rFonts w:ascii="宋体" w:hAnsi="宋体" w:cs="宋体" w:eastAsia="宋体" w:hint="default"/>
          <w:spacing w:val="-42"/>
        </w:rPr>
        <w:t> </w:t>
      </w:r>
      <w:r>
        <w:rPr/>
        <w:t>年</w:t>
      </w:r>
      <w:r>
        <w:rPr>
          <w:spacing w:val="-46"/>
        </w:rPr>
        <w:t> </w:t>
      </w:r>
      <w:r>
        <w:rPr>
          <w:rFonts w:ascii="宋体" w:hAnsi="宋体" w:cs="宋体" w:eastAsia="宋体" w:hint="default"/>
        </w:rPr>
        <w:t>1</w:t>
      </w:r>
      <w:r>
        <w:rPr>
          <w:rFonts w:ascii="宋体" w:hAnsi="宋体" w:cs="宋体" w:eastAsia="宋体" w:hint="default"/>
          <w:spacing w:val="-44"/>
        </w:rPr>
        <w:t> </w:t>
      </w:r>
      <w:r>
        <w:rPr/>
        <w:t>月</w:t>
      </w:r>
      <w:r>
        <w:rPr>
          <w:spacing w:val="-46"/>
        </w:rPr>
        <w:t> </w:t>
      </w:r>
      <w:r>
        <w:rPr>
          <w:rFonts w:ascii="宋体" w:hAnsi="宋体" w:cs="宋体" w:eastAsia="宋体" w:hint="default"/>
        </w:rPr>
        <w:t>6</w:t>
      </w:r>
    </w:p>
    <w:p>
      <w:pPr>
        <w:pStyle w:val="BodyText"/>
        <w:spacing w:line="240" w:lineRule="auto" w:before="133"/>
        <w:ind w:left="137" w:right="234"/>
        <w:jc w:val="left"/>
        <w:rPr>
          <w:rFonts w:ascii="宋体" w:hAnsi="宋体" w:cs="宋体" w:eastAsia="宋体" w:hint="default"/>
        </w:rPr>
      </w:pPr>
      <w:r>
        <w:rPr/>
        <w:t>日公开发行普通股</w:t>
      </w:r>
      <w:r>
        <w:rPr>
          <w:rFonts w:ascii="宋体" w:hAnsi="宋体" w:cs="宋体" w:eastAsia="宋体" w:hint="default"/>
        </w:rPr>
        <w:t>(A</w:t>
      </w:r>
      <w:r>
        <w:rPr>
          <w:rFonts w:ascii="宋体" w:hAnsi="宋体" w:cs="宋体" w:eastAsia="宋体" w:hint="default"/>
          <w:spacing w:val="10"/>
        </w:rPr>
        <w:t> </w:t>
      </w:r>
      <w:r>
        <w:rPr/>
        <w:t>股</w:t>
      </w:r>
      <w:r>
        <w:rPr>
          <w:rFonts w:ascii="宋体" w:hAnsi="宋体" w:cs="宋体" w:eastAsia="宋体" w:hint="default"/>
        </w:rPr>
        <w:t>)5,600</w:t>
      </w:r>
      <w:r>
        <w:rPr>
          <w:rFonts w:ascii="宋体" w:hAnsi="宋体" w:cs="宋体" w:eastAsia="宋体" w:hint="default"/>
          <w:spacing w:val="-49"/>
        </w:rPr>
        <w:t> </w:t>
      </w:r>
      <w:r>
        <w:rPr>
          <w:spacing w:val="-5"/>
        </w:rPr>
        <w:t>万股，发行后总股本变更为人民币</w:t>
      </w:r>
      <w:r>
        <w:rPr>
          <w:spacing w:val="-47"/>
        </w:rPr>
        <w:t> </w:t>
      </w:r>
      <w:r>
        <w:rPr>
          <w:rFonts w:ascii="宋体" w:hAnsi="宋体" w:cs="宋体" w:eastAsia="宋体" w:hint="default"/>
        </w:rPr>
        <w:t>22,400</w:t>
      </w:r>
      <w:r>
        <w:rPr>
          <w:rFonts w:ascii="宋体" w:hAnsi="宋体" w:cs="宋体" w:eastAsia="宋体" w:hint="default"/>
          <w:spacing w:val="-47"/>
        </w:rPr>
        <w:t> </w:t>
      </w:r>
      <w:r>
        <w:rPr>
          <w:spacing w:val="-8"/>
        </w:rPr>
        <w:t>万元。公司股票于</w:t>
      </w:r>
      <w:r>
        <w:rPr>
          <w:spacing w:val="-46"/>
        </w:rPr>
        <w:t> </w:t>
      </w:r>
      <w:r>
        <w:rPr>
          <w:rFonts w:ascii="宋体" w:hAnsi="宋体" w:cs="宋体" w:eastAsia="宋体" w:hint="default"/>
        </w:rPr>
        <w:t>2012</w:t>
      </w:r>
    </w:p>
    <w:p>
      <w:pPr>
        <w:pStyle w:val="BodyText"/>
        <w:spacing w:line="240" w:lineRule="auto" w:before="133"/>
        <w:ind w:left="137" w:right="234"/>
        <w:jc w:val="left"/>
      </w:pP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16</w:t>
      </w:r>
      <w:r>
        <w:rPr>
          <w:rFonts w:ascii="宋体" w:hAnsi="宋体" w:cs="宋体" w:eastAsia="宋体" w:hint="default"/>
          <w:spacing w:val="-55"/>
        </w:rPr>
        <w:t> </w:t>
      </w:r>
      <w:r>
        <w:rPr/>
        <w:t>日在上海证券交易所挂牌交易。</w:t>
      </w:r>
    </w:p>
    <w:p>
      <w:pPr>
        <w:pStyle w:val="BodyText"/>
        <w:spacing w:line="240" w:lineRule="auto" w:before="133"/>
        <w:ind w:left="557" w:right="234"/>
        <w:jc w:val="left"/>
      </w:pPr>
      <w:r>
        <w:rPr>
          <w:rFonts w:ascii="宋体" w:hAnsi="宋体" w:cs="宋体" w:eastAsia="宋体" w:hint="default"/>
        </w:rPr>
        <w:t>1.2 </w:t>
      </w:r>
      <w:r>
        <w:rPr/>
        <w:t>重大资产出售、置换及发行股份购买资产</w:t>
      </w:r>
    </w:p>
    <w:p>
      <w:pPr>
        <w:pStyle w:val="BodyText"/>
        <w:tabs>
          <w:tab w:pos="1397" w:val="left" w:leader="none"/>
        </w:tabs>
        <w:spacing w:line="240" w:lineRule="auto" w:before="135"/>
        <w:ind w:left="557" w:right="234"/>
        <w:jc w:val="left"/>
      </w:pPr>
      <w:r>
        <w:rPr>
          <w:rFonts w:ascii="宋体" w:hAnsi="宋体" w:cs="宋体" w:eastAsia="宋体" w:hint="default"/>
        </w:rPr>
        <w:t>1.2.1</w:t>
        <w:tab/>
      </w:r>
      <w:r>
        <w:rPr/>
        <w:t>非公开发行股份收购股权方案</w:t>
      </w:r>
    </w:p>
    <w:p>
      <w:pPr>
        <w:pStyle w:val="BodyText"/>
        <w:spacing w:line="240" w:lineRule="auto" w:before="133"/>
        <w:ind w:left="557" w:right="234"/>
        <w:jc w:val="lef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2</w:t>
      </w:r>
      <w:r>
        <w:rPr>
          <w:rFonts w:ascii="宋体" w:hAnsi="宋体" w:cs="宋体" w:eastAsia="宋体" w:hint="default"/>
          <w:spacing w:val="-55"/>
        </w:rPr>
        <w:t> </w:t>
      </w:r>
      <w:r>
        <w:rPr/>
        <w:t>日，原江南嘉捷第四届董事会第十一次会议审议通过了《重大资产出售、置</w:t>
      </w:r>
    </w:p>
    <w:p>
      <w:pPr>
        <w:pStyle w:val="BodyText"/>
        <w:spacing w:line="355" w:lineRule="auto" w:before="133"/>
        <w:ind w:left="137" w:right="234"/>
        <w:jc w:val="left"/>
      </w:pPr>
      <w:r>
        <w:rPr/>
        <w:t>换及发行股份购买资产暨关联交易报告书</w:t>
      </w:r>
      <w:r>
        <w:rPr>
          <w:rFonts w:ascii="宋体" w:hAnsi="宋体" w:cs="宋体" w:eastAsia="宋体" w:hint="default"/>
        </w:rPr>
        <w:t>(</w:t>
      </w:r>
      <w:r>
        <w:rPr/>
        <w:t>草案</w:t>
      </w:r>
      <w:r>
        <w:rPr>
          <w:rFonts w:ascii="宋体" w:hAnsi="宋体" w:cs="宋体" w:eastAsia="宋体" w:hint="default"/>
        </w:rPr>
        <w:t>)</w:t>
      </w:r>
      <w:r>
        <w:rPr/>
        <w:t>》。</w:t>
      </w:r>
      <w:r>
        <w:rPr>
          <w:spacing w:val="-13"/>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20</w:t>
      </w:r>
      <w:r>
        <w:rPr>
          <w:rFonts w:ascii="宋体" w:hAnsi="宋体" w:cs="宋体" w:eastAsia="宋体" w:hint="default"/>
          <w:spacing w:val="-54"/>
        </w:rPr>
        <w:t> </w:t>
      </w:r>
      <w:r>
        <w:rPr>
          <w:spacing w:val="-4"/>
        </w:rPr>
        <w:t>日，原江南嘉捷</w:t>
      </w:r>
      <w:r>
        <w:rPr>
          <w:spacing w:val="-53"/>
        </w:rPr>
        <w:t> </w:t>
      </w:r>
      <w:r>
        <w:rPr>
          <w:rFonts w:ascii="宋体" w:hAnsi="宋体" w:cs="宋体" w:eastAsia="宋体" w:hint="default"/>
        </w:rPr>
        <w:t>2017</w:t>
      </w:r>
      <w:r>
        <w:rPr>
          <w:rFonts w:ascii="宋体" w:hAnsi="宋体" w:cs="宋体" w:eastAsia="宋体" w:hint="default"/>
          <w:spacing w:val="-56"/>
        </w:rPr>
        <w:t> </w:t>
      </w:r>
      <w:r>
        <w:rPr/>
        <w:t>年第</w:t>
      </w:r>
      <w:r>
        <w:rPr>
          <w:w w:val="100"/>
        </w:rPr>
        <w:t> </w:t>
      </w:r>
      <w:r>
        <w:rPr/>
        <w:t>三次临时股东大会审议通过上述议案。</w:t>
      </w:r>
    </w:p>
    <w:p>
      <w:pPr>
        <w:pStyle w:val="BodyText"/>
        <w:spacing w:line="357" w:lineRule="auto" w:before="32"/>
        <w:ind w:left="137" w:right="318" w:firstLine="420"/>
        <w:jc w:val="both"/>
      </w:pPr>
      <w:r>
        <w:rPr>
          <w:spacing w:val="-2"/>
        </w:rPr>
        <w:t>根据该方案，此次重大资产重组总体方案包括：</w:t>
      </w:r>
      <w:r>
        <w:rPr>
          <w:rFonts w:ascii="宋体" w:hAnsi="宋体" w:cs="宋体" w:eastAsia="宋体" w:hint="default"/>
          <w:spacing w:val="-2"/>
        </w:rPr>
        <w:t>(1)</w:t>
      </w:r>
      <w:r>
        <w:rPr>
          <w:spacing w:val="-2"/>
        </w:rPr>
        <w:t>重大资产出售；</w:t>
      </w:r>
      <w:r>
        <w:rPr>
          <w:rFonts w:ascii="宋体" w:hAnsi="宋体" w:cs="宋体" w:eastAsia="宋体" w:hint="default"/>
          <w:spacing w:val="-2"/>
        </w:rPr>
        <w:t>(2)</w:t>
      </w:r>
      <w:r>
        <w:rPr>
          <w:spacing w:val="-2"/>
        </w:rPr>
        <w:t>重大资产置换及发行</w:t>
      </w:r>
      <w:r>
        <w:rPr>
          <w:w w:val="100"/>
        </w:rPr>
        <w:t> </w:t>
      </w:r>
      <w:r>
        <w:rPr>
          <w:spacing w:val="-2"/>
        </w:rPr>
        <w:t>股份购买资产。其中，重大资产出售、置换与发行股份购买资产互为前提、互为条件，共同构成</w:t>
      </w:r>
      <w:r>
        <w:rPr>
          <w:spacing w:val="-25"/>
        </w:rPr>
        <w:t> </w:t>
      </w:r>
      <w:r>
        <w:rPr>
          <w:spacing w:val="-25"/>
        </w:rPr>
      </w:r>
      <w:r>
        <w:rPr>
          <w:spacing w:val="-2"/>
        </w:rPr>
        <w:t>本次交易方案不可分割的组成部分，其中任何一项因任何原因终止或不能实施，则本次交易将终</w:t>
      </w:r>
      <w:r>
        <w:rPr>
          <w:spacing w:val="-25"/>
        </w:rPr>
        <w:t> </w:t>
      </w:r>
      <w:r>
        <w:rPr>
          <w:spacing w:val="-25"/>
        </w:rPr>
      </w:r>
      <w:r>
        <w:rPr>
          <w:spacing w:val="-2"/>
        </w:rPr>
        <w:t>止实施。重组完成后，本公司的主营业务将变更为互联网安全技术的研发、互联网安全产品的设</w:t>
      </w:r>
      <w:r>
        <w:rPr>
          <w:spacing w:val="-25"/>
        </w:rPr>
        <w:t> </w:t>
      </w:r>
      <w:r>
        <w:rPr>
          <w:spacing w:val="-25"/>
        </w:rPr>
      </w:r>
      <w:r>
        <w:rPr>
          <w:spacing w:val="-2"/>
        </w:rPr>
        <w:t>计、研发、推广，以及基于互联网安全产品的互联网广告及服务业务、互联网增值业务、智能硬</w:t>
      </w:r>
      <w:r>
        <w:rPr>
          <w:spacing w:val="-25"/>
        </w:rPr>
        <w:t> </w:t>
      </w:r>
      <w:r>
        <w:rPr>
          <w:spacing w:val="-25"/>
        </w:rPr>
      </w:r>
      <w:r>
        <w:rPr/>
        <w:t>件业务等商业化服务，具体方案如下：</w:t>
      </w:r>
    </w:p>
    <w:p>
      <w:pPr>
        <w:pStyle w:val="BodyText"/>
        <w:spacing w:line="240" w:lineRule="auto" w:before="30"/>
        <w:ind w:left="557" w:right="234"/>
        <w:jc w:val="left"/>
      </w:pPr>
      <w:r>
        <w:rPr>
          <w:rFonts w:ascii="宋体" w:hAnsi="宋体" w:cs="宋体" w:eastAsia="宋体" w:hint="default"/>
        </w:rPr>
        <w:t>(1)</w:t>
      </w:r>
      <w:r>
        <w:rPr>
          <w:rFonts w:ascii="宋体" w:hAnsi="宋体" w:cs="宋体" w:eastAsia="宋体" w:hint="default"/>
          <w:spacing w:val="1"/>
        </w:rPr>
        <w:t> </w:t>
      </w:r>
      <w:r>
        <w:rPr/>
        <w:t>重大资产出售</w:t>
      </w:r>
    </w:p>
    <w:p>
      <w:pPr>
        <w:pStyle w:val="BodyText"/>
        <w:spacing w:line="357" w:lineRule="auto" w:before="133"/>
        <w:ind w:left="137" w:right="0" w:firstLine="420"/>
        <w:jc w:val="left"/>
      </w:pPr>
      <w:r>
        <w:rPr>
          <w:spacing w:val="-2"/>
          <w:w w:val="100"/>
        </w:rPr>
        <w:t>原江南嘉捷将截至</w:t>
      </w:r>
      <w:r>
        <w:rPr>
          <w:spacing w:val="-53"/>
          <w:w w:val="100"/>
        </w:rPr>
        <w:t> </w:t>
      </w:r>
      <w:r>
        <w:rPr>
          <w:rFonts w:ascii="宋体" w:hAnsi="宋体" w:cs="宋体" w:eastAsia="宋体" w:hint="default"/>
          <w:spacing w:val="-1"/>
          <w:w w:val="100"/>
        </w:rPr>
        <w:t>2017</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3</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31</w:t>
      </w:r>
      <w:r>
        <w:rPr>
          <w:rFonts w:ascii="宋体" w:hAnsi="宋体" w:cs="宋体" w:eastAsia="宋体" w:hint="default"/>
          <w:spacing w:val="-55"/>
          <w:w w:val="100"/>
        </w:rPr>
        <w:t> </w:t>
      </w:r>
      <w:r>
        <w:rPr>
          <w:spacing w:val="-5"/>
          <w:w w:val="100"/>
        </w:rPr>
        <w:t>日拥有的，除全资子公司苏州江南嘉捷电梯有限公司</w:t>
      </w:r>
      <w:r>
        <w:rPr>
          <w:rFonts w:ascii="宋体" w:hAnsi="宋体" w:cs="宋体" w:eastAsia="宋体" w:hint="default"/>
          <w:spacing w:val="-5"/>
          <w:w w:val="100"/>
        </w:rPr>
        <w:t>(</w:t>
      </w:r>
      <w:r>
        <w:rPr>
          <w:spacing w:val="-5"/>
          <w:w w:val="100"/>
        </w:rPr>
        <w:t>曾用</w:t>
      </w:r>
      <w:r>
        <w:rPr>
          <w:spacing w:val="-3"/>
          <w:w w:val="100"/>
        </w:rPr>
        <w:t> </w:t>
      </w:r>
      <w:r>
        <w:rPr>
          <w:spacing w:val="-4"/>
          <w:w w:val="100"/>
        </w:rPr>
        <w:t>名苏州江南嘉捷机电技术研究院有限公司，以下简称“苏州嘉捷电梯”)100%股权之外的全部资产、</w:t>
      </w:r>
      <w:r>
        <w:rPr>
          <w:spacing w:val="-76"/>
          <w:w w:val="100"/>
        </w:rPr>
        <w:t> </w:t>
      </w:r>
      <w:r>
        <w:rPr>
          <w:spacing w:val="-76"/>
          <w:w w:val="100"/>
        </w:rPr>
      </w:r>
      <w:r>
        <w:rPr/>
        <w:t>负债、业务、人员、合同、资质及其他一切权利与义务划转至苏州嘉捷电梯。在此划转重组的基</w:t>
      </w:r>
      <w:r>
        <w:rPr>
          <w:w w:val="100"/>
        </w:rPr>
        <w:t> </w:t>
      </w:r>
      <w:r>
        <w:rPr>
          <w:spacing w:val="-3"/>
        </w:rPr>
        <w:t>础上，原江南嘉捷分别将其持有的苏州嘉捷电梯 </w:t>
      </w:r>
      <w:r>
        <w:rPr>
          <w:rFonts w:ascii="宋体" w:hAnsi="宋体" w:cs="宋体" w:eastAsia="宋体" w:hint="default"/>
          <w:spacing w:val="-3"/>
        </w:rPr>
        <w:t>90.29%</w:t>
      </w:r>
      <w:r>
        <w:rPr>
          <w:spacing w:val="-3"/>
        </w:rPr>
        <w:t>的股权以现金方式转让给金志峰、金祖铭</w:t>
      </w:r>
      <w:r>
        <w:rPr>
          <w:spacing w:val="-72"/>
        </w:rPr>
        <w:t> </w:t>
      </w:r>
      <w:r>
        <w:rPr>
          <w:spacing w:val="-72"/>
        </w:rPr>
      </w:r>
      <w:r>
        <w:rPr/>
        <w:t>或其指定的第三方，交易作价为人民币</w:t>
      </w:r>
      <w:r>
        <w:rPr>
          <w:spacing w:val="-54"/>
        </w:rPr>
        <w:t> </w:t>
      </w:r>
      <w:r>
        <w:rPr>
          <w:rFonts w:ascii="宋体" w:hAnsi="宋体" w:cs="宋体" w:eastAsia="宋体" w:hint="default"/>
        </w:rPr>
        <w:t>169,000</w:t>
      </w:r>
      <w:r>
        <w:rPr>
          <w:rFonts w:ascii="宋体" w:hAnsi="宋体" w:cs="宋体" w:eastAsia="宋体" w:hint="default"/>
          <w:spacing w:val="-54"/>
        </w:rPr>
        <w:t> </w:t>
      </w:r>
      <w:r>
        <w:rPr/>
        <w:t>万元；将苏州嘉捷电梯</w:t>
      </w:r>
      <w:r>
        <w:rPr>
          <w:spacing w:val="-54"/>
        </w:rPr>
        <w:t> </w:t>
      </w:r>
      <w:r>
        <w:rPr>
          <w:rFonts w:ascii="宋体" w:hAnsi="宋体" w:cs="宋体" w:eastAsia="宋体" w:hint="default"/>
        </w:rPr>
        <w:t>9.71%</w:t>
      </w:r>
      <w:r>
        <w:rPr/>
        <w:t>的股权与三六零科</w:t>
      </w:r>
      <w:r>
        <w:rPr>
          <w:w w:val="100"/>
        </w:rPr>
        <w:t> </w:t>
      </w:r>
      <w:r>
        <w:rPr/>
        <w:t>技有限公司</w:t>
      </w:r>
      <w:r>
        <w:rPr>
          <w:rFonts w:ascii="宋体" w:hAnsi="宋体" w:cs="宋体" w:eastAsia="宋体" w:hint="default"/>
        </w:rPr>
        <w:t>(</w:t>
      </w:r>
      <w:r>
        <w:rPr/>
        <w:t>曾用名三六零科技股份有限公司，以下简称“三六零科技”)全体股东拥有的三六零</w:t>
      </w:r>
      <w:r>
        <w:rPr>
          <w:w w:val="100"/>
        </w:rPr>
        <w:t> </w:t>
      </w:r>
      <w:r>
        <w:rPr/>
        <w:t>科技</w:t>
      </w:r>
      <w:r>
        <w:rPr>
          <w:spacing w:val="-55"/>
        </w:rPr>
        <w:t> </w:t>
      </w:r>
      <w:r>
        <w:rPr>
          <w:rFonts w:ascii="宋体" w:hAnsi="宋体" w:cs="宋体" w:eastAsia="宋体" w:hint="default"/>
        </w:rPr>
        <w:t>100%</w:t>
      </w:r>
      <w:r>
        <w:rPr/>
        <w:t>股权的等值部分进行置换，三六零科技全体股东再将苏州嘉捷电梯</w:t>
      </w:r>
      <w:r>
        <w:rPr>
          <w:spacing w:val="-56"/>
        </w:rPr>
        <w:t> </w:t>
      </w:r>
      <w:r>
        <w:rPr>
          <w:rFonts w:ascii="宋体" w:hAnsi="宋体" w:cs="宋体" w:eastAsia="宋体" w:hint="default"/>
        </w:rPr>
        <w:t>9.71%</w:t>
      </w:r>
      <w:r>
        <w:rPr/>
        <w:t>股权转让给金</w:t>
      </w:r>
      <w:r>
        <w:rPr>
          <w:w w:val="100"/>
        </w:rPr>
        <w:t> </w:t>
      </w:r>
      <w:r>
        <w:rPr/>
        <w:t>志峰、金祖铭或其指定的第三方。</w:t>
      </w:r>
    </w:p>
    <w:p>
      <w:pPr>
        <w:pStyle w:val="BodyText"/>
        <w:spacing w:line="240" w:lineRule="auto" w:before="32"/>
        <w:ind w:left="557" w:right="234"/>
        <w:jc w:val="left"/>
        <w:rPr>
          <w:rFonts w:ascii="宋体" w:hAnsi="宋体" w:cs="宋体" w:eastAsia="宋体" w:hint="default"/>
        </w:rPr>
      </w:pPr>
      <w:r>
        <w:rPr/>
        <w:t>根据中联资产评估集团有限公司出具的中联评报字</w:t>
      </w:r>
      <w:r>
        <w:rPr>
          <w:rFonts w:ascii="宋体" w:hAnsi="宋体" w:cs="宋体" w:eastAsia="宋体" w:hint="default"/>
        </w:rPr>
        <w:t>[2017]</w:t>
      </w:r>
      <w:r>
        <w:rPr/>
        <w:t>第</w:t>
      </w:r>
      <w:r>
        <w:rPr>
          <w:spacing w:val="-54"/>
        </w:rPr>
        <w:t> </w:t>
      </w:r>
      <w:r>
        <w:rPr>
          <w:rFonts w:ascii="宋体" w:hAnsi="宋体" w:cs="宋体" w:eastAsia="宋体" w:hint="default"/>
        </w:rPr>
        <w:t>1518</w:t>
      </w:r>
      <w:r>
        <w:rPr>
          <w:rFonts w:ascii="宋体" w:hAnsi="宋体" w:cs="宋体" w:eastAsia="宋体" w:hint="default"/>
          <w:spacing w:val="-54"/>
        </w:rPr>
        <w:t> </w:t>
      </w:r>
      <w:r>
        <w:rPr/>
        <w:t>号评估报告，以</w:t>
      </w:r>
      <w:r>
        <w:rPr>
          <w:spacing w:val="-53"/>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3</w:t>
      </w:r>
    </w:p>
    <w:p>
      <w:pPr>
        <w:pStyle w:val="BodyText"/>
        <w:spacing w:line="240" w:lineRule="auto" w:before="133"/>
        <w:ind w:left="137" w:right="234"/>
        <w:jc w:val="left"/>
        <w:rPr>
          <w:rFonts w:ascii="宋体" w:hAnsi="宋体" w:cs="宋体" w:eastAsia="宋体" w:hint="default"/>
        </w:rPr>
      </w:pPr>
      <w:r>
        <w:rPr/>
        <w:t>月</w:t>
      </w:r>
      <w:r>
        <w:rPr>
          <w:spacing w:val="-27"/>
        </w:rPr>
        <w:t> </w:t>
      </w:r>
      <w:r>
        <w:rPr>
          <w:rFonts w:ascii="宋体" w:hAnsi="宋体" w:cs="宋体" w:eastAsia="宋体" w:hint="default"/>
        </w:rPr>
        <w:t>31</w:t>
      </w:r>
      <w:r>
        <w:rPr>
          <w:rFonts w:ascii="宋体" w:hAnsi="宋体" w:cs="宋体" w:eastAsia="宋体" w:hint="default"/>
          <w:spacing w:val="-30"/>
        </w:rPr>
        <w:t> </w:t>
      </w:r>
      <w:r>
        <w:rPr>
          <w:spacing w:val="-6"/>
        </w:rPr>
        <w:t>日为基准日，选用资产基础法评估结果作为最终评估结论，本次交易出售苏州嘉捷电梯</w:t>
      </w:r>
      <w:r>
        <w:rPr>
          <w:spacing w:val="-27"/>
        </w:rPr>
        <w:t> </w:t>
      </w:r>
      <w:r>
        <w:rPr>
          <w:rFonts w:ascii="宋体" w:hAnsi="宋体" w:cs="宋体" w:eastAsia="宋体" w:hint="default"/>
        </w:rPr>
        <w:t>100%</w:t>
      </w:r>
    </w:p>
    <w:p>
      <w:pPr>
        <w:spacing w:after="0" w:line="240" w:lineRule="auto"/>
        <w:jc w:val="left"/>
        <w:rPr>
          <w:rFonts w:ascii="宋体" w:hAnsi="宋体" w:cs="宋体" w:eastAsia="宋体" w:hint="default"/>
        </w:rPr>
        <w:sectPr>
          <w:headerReference w:type="default" r:id="rId55"/>
          <w:footerReference w:type="default" r:id="rId56"/>
          <w:pgSz w:w="11910" w:h="16840"/>
          <w:pgMar w:header="857" w:footer="1217" w:top="1320" w:bottom="1400" w:left="1140" w:right="1480"/>
          <w:pgNumType w:start="116"/>
        </w:sectPr>
      </w:pPr>
    </w:p>
    <w:p>
      <w:pPr>
        <w:pStyle w:val="BodyText"/>
        <w:spacing w:line="355" w:lineRule="auto" w:before="72"/>
        <w:ind w:left="137" w:right="0"/>
        <w:jc w:val="left"/>
      </w:pPr>
      <w:r>
        <w:rPr>
          <w:spacing w:val="-2"/>
          <w:w w:val="100"/>
        </w:rPr>
        <w:t>股权</w:t>
      </w:r>
      <w:r>
        <w:rPr>
          <w:rFonts w:ascii="宋体" w:hAnsi="宋体" w:cs="宋体" w:eastAsia="宋体" w:hint="default"/>
          <w:spacing w:val="-2"/>
          <w:w w:val="100"/>
        </w:rPr>
        <w:t>(</w:t>
      </w:r>
      <w:r>
        <w:rPr>
          <w:spacing w:val="-2"/>
          <w:w w:val="100"/>
        </w:rPr>
        <w:t>以下简称“拟出售资产”)的评估值为人民币</w:t>
      </w:r>
      <w:r>
        <w:rPr>
          <w:spacing w:val="-43"/>
          <w:w w:val="100"/>
        </w:rPr>
        <w:t> </w:t>
      </w:r>
      <w:r>
        <w:rPr>
          <w:rFonts w:ascii="宋体" w:hAnsi="宋体" w:cs="宋体" w:eastAsia="宋体" w:hint="default"/>
          <w:spacing w:val="-1"/>
          <w:w w:val="100"/>
        </w:rPr>
        <w:t>187,179.75</w:t>
      </w:r>
      <w:r>
        <w:rPr>
          <w:rFonts w:ascii="宋体" w:hAnsi="宋体" w:cs="宋体" w:eastAsia="宋体" w:hint="default"/>
          <w:spacing w:val="-43"/>
          <w:w w:val="100"/>
        </w:rPr>
        <w:t> </w:t>
      </w:r>
      <w:r>
        <w:rPr>
          <w:spacing w:val="-21"/>
          <w:w w:val="100"/>
        </w:rPr>
        <w:t>万元。根据《重大资产出售协议》，</w:t>
      </w:r>
      <w:r>
        <w:rPr>
          <w:spacing w:val="-101"/>
          <w:w w:val="100"/>
        </w:rPr>
        <w:t> </w:t>
      </w:r>
      <w:r>
        <w:rPr>
          <w:spacing w:val="-101"/>
          <w:w w:val="100"/>
        </w:rPr>
      </w:r>
      <w:r>
        <w:rPr/>
        <w:t>经交易各方友好协商，以拟出售资产评估值为基础，本次交易拟出售资产最终作价为人民币</w:t>
      </w:r>
      <w:r>
        <w:rPr>
          <w:w w:val="100"/>
        </w:rPr>
        <w:t> </w:t>
      </w:r>
      <w:r>
        <w:rPr>
          <w:rFonts w:ascii="宋体" w:hAnsi="宋体" w:cs="宋体" w:eastAsia="宋体" w:hint="default"/>
        </w:rPr>
        <w:t>187,179.75</w:t>
      </w:r>
      <w:r>
        <w:rPr>
          <w:rFonts w:ascii="宋体" w:hAnsi="宋体" w:cs="宋体" w:eastAsia="宋体" w:hint="default"/>
          <w:spacing w:val="-53"/>
        </w:rPr>
        <w:t> </w:t>
      </w:r>
      <w:r>
        <w:rPr/>
        <w:t>万元。</w:t>
      </w:r>
    </w:p>
    <w:p>
      <w:pPr>
        <w:pStyle w:val="BodyText"/>
        <w:spacing w:line="240" w:lineRule="auto" w:before="34"/>
        <w:ind w:left="557" w:right="0"/>
        <w:jc w:val="left"/>
      </w:pPr>
      <w:r>
        <w:rPr>
          <w:rFonts w:ascii="宋体" w:hAnsi="宋体" w:cs="宋体" w:eastAsia="宋体" w:hint="default"/>
        </w:rPr>
        <w:t>(2)</w:t>
      </w:r>
      <w:r>
        <w:rPr>
          <w:rFonts w:ascii="宋体" w:hAnsi="宋体" w:cs="宋体" w:eastAsia="宋体" w:hint="default"/>
          <w:spacing w:val="-1"/>
        </w:rPr>
        <w:t> </w:t>
      </w:r>
      <w:r>
        <w:rPr/>
        <w:t>重大资产置换及发行股份购买资产</w:t>
      </w:r>
    </w:p>
    <w:p>
      <w:pPr>
        <w:pStyle w:val="BodyText"/>
        <w:spacing w:line="355" w:lineRule="auto" w:before="133"/>
        <w:ind w:left="137" w:right="171" w:firstLine="420"/>
        <w:jc w:val="both"/>
      </w:pPr>
      <w:r>
        <w:rPr>
          <w:spacing w:val="-2"/>
        </w:rPr>
        <w:t>原江南嘉捷将苏州嘉捷电梯</w:t>
      </w:r>
      <w:r>
        <w:rPr>
          <w:spacing w:val="5"/>
        </w:rPr>
        <w:t> </w:t>
      </w:r>
      <w:r>
        <w:rPr>
          <w:rFonts w:ascii="宋体" w:hAnsi="宋体" w:cs="宋体" w:eastAsia="宋体" w:hint="default"/>
          <w:spacing w:val="-2"/>
        </w:rPr>
        <w:t>9.71%</w:t>
      </w:r>
      <w:r>
        <w:rPr>
          <w:spacing w:val="-2"/>
        </w:rPr>
        <w:t>股权转让给三六零科技全体股东，与其拥有的三六零科技</w:t>
      </w:r>
      <w:r>
        <w:rPr>
          <w:w w:val="100"/>
        </w:rPr>
        <w:t> </w:t>
      </w:r>
      <w:r>
        <w:rPr>
          <w:rFonts w:ascii="宋体" w:hAnsi="宋体" w:cs="宋体" w:eastAsia="宋体" w:hint="default"/>
          <w:spacing w:val="-2"/>
        </w:rPr>
        <w:t>100%</w:t>
      </w:r>
      <w:r>
        <w:rPr>
          <w:spacing w:val="-2"/>
        </w:rPr>
        <w:t>股权的等值部分进行置换。经交易各方协商一致，本次交易中拟出售资产</w:t>
      </w:r>
      <w:r>
        <w:rPr/>
        <w:t> </w:t>
      </w:r>
      <w:r>
        <w:rPr>
          <w:rFonts w:ascii="宋体" w:hAnsi="宋体" w:cs="宋体" w:eastAsia="宋体" w:hint="default"/>
          <w:spacing w:val="-1"/>
        </w:rPr>
        <w:t>9.71%</w:t>
      </w:r>
      <w:r>
        <w:rPr>
          <w:spacing w:val="-1"/>
        </w:rPr>
        <w:t>股权的最终</w:t>
      </w:r>
      <w:r>
        <w:rPr>
          <w:spacing w:val="-80"/>
        </w:rPr>
        <w:t> </w:t>
      </w:r>
      <w:r>
        <w:rPr>
          <w:spacing w:val="-80"/>
        </w:rPr>
      </w:r>
      <w:r>
        <w:rPr/>
        <w:t>作价为人民币</w:t>
      </w:r>
      <w:r>
        <w:rPr>
          <w:spacing w:val="-51"/>
        </w:rPr>
        <w:t> </w:t>
      </w:r>
      <w:r>
        <w:rPr>
          <w:rFonts w:ascii="宋体" w:hAnsi="宋体" w:cs="宋体" w:eastAsia="宋体" w:hint="default"/>
        </w:rPr>
        <w:t>18,179.75</w:t>
      </w:r>
      <w:r>
        <w:rPr>
          <w:rFonts w:ascii="宋体" w:hAnsi="宋体" w:cs="宋体" w:eastAsia="宋体" w:hint="default"/>
          <w:spacing w:val="-53"/>
        </w:rPr>
        <w:t> </w:t>
      </w:r>
      <w:r>
        <w:rPr/>
        <w:t>万元。</w:t>
      </w:r>
    </w:p>
    <w:p>
      <w:pPr>
        <w:pStyle w:val="BodyText"/>
        <w:spacing w:line="240" w:lineRule="auto" w:before="34"/>
        <w:ind w:left="557" w:right="0"/>
        <w:jc w:val="left"/>
        <w:rPr>
          <w:rFonts w:ascii="宋体" w:hAnsi="宋体" w:cs="宋体" w:eastAsia="宋体" w:hint="default"/>
        </w:rPr>
      </w:pPr>
      <w:r>
        <w:rPr/>
        <w:t>根据中联资产评估集团有限公司出具的中联评报字</w:t>
      </w:r>
      <w:r>
        <w:rPr>
          <w:rFonts w:ascii="宋体" w:hAnsi="宋体" w:cs="宋体" w:eastAsia="宋体" w:hint="default"/>
        </w:rPr>
        <w:t>[2017]</w:t>
      </w:r>
      <w:r>
        <w:rPr/>
        <w:t>第</w:t>
      </w:r>
      <w:r>
        <w:rPr>
          <w:spacing w:val="-54"/>
        </w:rPr>
        <w:t> </w:t>
      </w:r>
      <w:r>
        <w:rPr>
          <w:rFonts w:ascii="宋体" w:hAnsi="宋体" w:cs="宋体" w:eastAsia="宋体" w:hint="default"/>
        </w:rPr>
        <w:t>1517</w:t>
      </w:r>
      <w:r>
        <w:rPr>
          <w:rFonts w:ascii="宋体" w:hAnsi="宋体" w:cs="宋体" w:eastAsia="宋体" w:hint="default"/>
          <w:spacing w:val="-54"/>
        </w:rPr>
        <w:t> </w:t>
      </w:r>
      <w:r>
        <w:rPr/>
        <w:t>号评估报告，以</w:t>
      </w:r>
      <w:r>
        <w:rPr>
          <w:spacing w:val="-53"/>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3</w:t>
      </w:r>
    </w:p>
    <w:p>
      <w:pPr>
        <w:pStyle w:val="BodyText"/>
        <w:spacing w:line="240" w:lineRule="auto" w:before="133"/>
        <w:ind w:left="137" w:right="0"/>
        <w:jc w:val="both"/>
        <w:rPr>
          <w:rFonts w:ascii="宋体" w:hAnsi="宋体" w:cs="宋体" w:eastAsia="宋体" w:hint="default"/>
        </w:rPr>
      </w:pPr>
      <w:r>
        <w:rPr/>
        <w:t>月</w:t>
      </w:r>
      <w:r>
        <w:rPr>
          <w:spacing w:val="-27"/>
        </w:rPr>
        <w:t> </w:t>
      </w:r>
      <w:r>
        <w:rPr>
          <w:rFonts w:ascii="宋体" w:hAnsi="宋体" w:cs="宋体" w:eastAsia="宋体" w:hint="default"/>
        </w:rPr>
        <w:t>31</w:t>
      </w:r>
      <w:r>
        <w:rPr>
          <w:rFonts w:ascii="宋体" w:hAnsi="宋体" w:cs="宋体" w:eastAsia="宋体" w:hint="default"/>
          <w:spacing w:val="-30"/>
        </w:rPr>
        <w:t> </w:t>
      </w:r>
      <w:r>
        <w:rPr>
          <w:spacing w:val="-6"/>
        </w:rPr>
        <w:t>日为基准日，选用收益法评估结果作为最终评估结论，本次交易的置入资产三六零科技</w:t>
      </w:r>
      <w:r>
        <w:rPr>
          <w:spacing w:val="-27"/>
        </w:rPr>
        <w:t> </w:t>
      </w:r>
      <w:r>
        <w:rPr>
          <w:rFonts w:ascii="宋体" w:hAnsi="宋体" w:cs="宋体" w:eastAsia="宋体" w:hint="default"/>
        </w:rPr>
        <w:t>100%</w:t>
      </w:r>
    </w:p>
    <w:p>
      <w:pPr>
        <w:pStyle w:val="BodyText"/>
        <w:spacing w:line="355" w:lineRule="auto" w:before="133"/>
        <w:ind w:left="137" w:right="109"/>
        <w:jc w:val="both"/>
      </w:pPr>
      <w:r>
        <w:rPr/>
        <w:t>股权的评估值为人民币</w:t>
      </w:r>
      <w:r>
        <w:rPr>
          <w:spacing w:val="-33"/>
        </w:rPr>
        <w:t> </w:t>
      </w:r>
      <w:r>
        <w:rPr>
          <w:rFonts w:ascii="宋体" w:hAnsi="宋体" w:cs="宋体" w:eastAsia="宋体" w:hint="default"/>
        </w:rPr>
        <w:t>5,041,642.33</w:t>
      </w:r>
      <w:r>
        <w:rPr>
          <w:rFonts w:ascii="宋体" w:hAnsi="宋体" w:cs="宋体" w:eastAsia="宋体" w:hint="default"/>
          <w:spacing w:val="-32"/>
        </w:rPr>
        <w:t> </w:t>
      </w:r>
      <w:r>
        <w:rPr>
          <w:spacing w:val="-6"/>
        </w:rPr>
        <w:t>万元。根据《重大资产置换及发行股份购买资产协议》，经</w:t>
      </w:r>
      <w:r>
        <w:rPr>
          <w:spacing w:val="-96"/>
        </w:rPr>
        <w:t> </w:t>
      </w:r>
      <w:r>
        <w:rPr>
          <w:spacing w:val="-96"/>
        </w:rPr>
      </w:r>
      <w:r>
        <w:rPr>
          <w:spacing w:val="-3"/>
        </w:rPr>
        <w:t>交易各方友好协商，以置入资产评估值为基础，本次交易三六零科技</w:t>
      </w:r>
      <w:r>
        <w:rPr>
          <w:spacing w:val="-27"/>
        </w:rPr>
        <w:t> </w:t>
      </w:r>
      <w:r>
        <w:rPr>
          <w:rFonts w:ascii="宋体" w:hAnsi="宋体" w:cs="宋体" w:eastAsia="宋体" w:hint="default"/>
        </w:rPr>
        <w:t>100%</w:t>
      </w:r>
      <w:r>
        <w:rPr/>
        <w:t>股权的最终作价为人民</w:t>
      </w:r>
      <w:r>
        <w:rPr>
          <w:spacing w:val="-94"/>
        </w:rPr>
        <w:t> </w:t>
      </w:r>
      <w:r>
        <w:rPr>
          <w:spacing w:val="-94"/>
        </w:rPr>
      </w:r>
      <w:r>
        <w:rPr/>
        <w:t>币 </w:t>
      </w:r>
      <w:r>
        <w:rPr>
          <w:rFonts w:ascii="宋体" w:hAnsi="宋体" w:cs="宋体" w:eastAsia="宋体" w:hint="default"/>
        </w:rPr>
        <w:t>5,041,642.33</w:t>
      </w:r>
      <w:r>
        <w:rPr>
          <w:rFonts w:ascii="宋体" w:hAnsi="宋体" w:cs="宋体" w:eastAsia="宋体" w:hint="default"/>
          <w:spacing w:val="-32"/>
        </w:rPr>
        <w:t> </w:t>
      </w:r>
      <w:r>
        <w:rPr>
          <w:spacing w:val="-5"/>
        </w:rPr>
        <w:t>万元。通过重大资产置换与置入资产的价款等值部分抵消后，置入资产剩余差额</w:t>
      </w:r>
    </w:p>
    <w:p>
      <w:pPr>
        <w:pStyle w:val="BodyText"/>
        <w:spacing w:line="355" w:lineRule="auto" w:before="34"/>
        <w:ind w:left="137" w:right="109"/>
        <w:jc w:val="both"/>
      </w:pPr>
      <w:r>
        <w:rPr>
          <w:spacing w:val="-1"/>
          <w:w w:val="100"/>
        </w:rPr>
        <w:t>部分为人民币</w:t>
      </w:r>
      <w:r>
        <w:rPr>
          <w:spacing w:val="-47"/>
          <w:w w:val="100"/>
        </w:rPr>
        <w:t> </w:t>
      </w:r>
      <w:r>
        <w:rPr>
          <w:rFonts w:ascii="宋体" w:hAnsi="宋体" w:cs="宋体" w:eastAsia="宋体" w:hint="default"/>
          <w:spacing w:val="-1"/>
          <w:w w:val="100"/>
        </w:rPr>
        <w:t>5,023,462.58</w:t>
      </w:r>
      <w:r>
        <w:rPr>
          <w:rFonts w:ascii="宋体" w:hAnsi="宋体" w:cs="宋体" w:eastAsia="宋体" w:hint="default"/>
          <w:spacing w:val="-46"/>
          <w:w w:val="100"/>
        </w:rPr>
        <w:t> </w:t>
      </w:r>
      <w:r>
        <w:rPr>
          <w:spacing w:val="-5"/>
          <w:w w:val="100"/>
        </w:rPr>
        <w:t>万元，由原江南嘉捷向三六零科技全体股东以发行股份的方式支付该</w:t>
      </w:r>
      <w:r>
        <w:rPr>
          <w:spacing w:val="-103"/>
          <w:w w:val="100"/>
        </w:rPr>
        <w:t> </w:t>
      </w:r>
      <w:r>
        <w:rPr>
          <w:spacing w:val="-103"/>
          <w:w w:val="100"/>
        </w:rPr>
      </w:r>
      <w:r>
        <w:rPr/>
        <w:t>差额。</w:t>
      </w:r>
    </w:p>
    <w:p>
      <w:pPr>
        <w:pStyle w:val="BodyText"/>
        <w:spacing w:line="357" w:lineRule="auto" w:before="32"/>
        <w:ind w:left="137" w:right="109" w:firstLine="420"/>
        <w:jc w:val="both"/>
      </w:pPr>
      <w:r>
        <w:rPr>
          <w:spacing w:val="-2"/>
        </w:rPr>
        <w:t>本次发行股份购买资产所发行股份的定价基准日为原江南嘉捷第四届董事会第十一次会议决</w:t>
      </w:r>
      <w:r>
        <w:rPr>
          <w:w w:val="100"/>
        </w:rPr>
        <w:t> </w:t>
      </w:r>
      <w:r>
        <w:rPr>
          <w:spacing w:val="-4"/>
          <w:w w:val="100"/>
        </w:rPr>
        <w:t>议公告日，本次发行股份购买资产发行价格为经除权除息调整后的定价基准日前</w:t>
      </w:r>
      <w:r>
        <w:rPr>
          <w:spacing w:val="-53"/>
          <w:w w:val="100"/>
        </w:rPr>
        <w:t> </w:t>
      </w:r>
      <w:r>
        <w:rPr>
          <w:rFonts w:ascii="宋体" w:hAnsi="宋体" w:cs="宋体" w:eastAsia="宋体" w:hint="default"/>
          <w:w w:val="100"/>
        </w:rPr>
        <w:t>20</w:t>
      </w:r>
      <w:r>
        <w:rPr>
          <w:rFonts w:ascii="宋体" w:hAnsi="宋体" w:cs="宋体" w:eastAsia="宋体" w:hint="default"/>
          <w:spacing w:val="-55"/>
          <w:w w:val="100"/>
        </w:rPr>
        <w:t> </w:t>
      </w:r>
      <w:r>
        <w:rPr>
          <w:spacing w:val="-2"/>
          <w:w w:val="100"/>
        </w:rPr>
        <w:t>个交易日公司</w:t>
      </w:r>
      <w:r>
        <w:rPr>
          <w:w w:val="100"/>
        </w:rPr>
        <w:t> </w:t>
      </w:r>
      <w:r>
        <w:rPr/>
        <w:t>股票交易均价的</w:t>
      </w:r>
      <w:r>
        <w:rPr>
          <w:spacing w:val="-55"/>
        </w:rPr>
        <w:t> </w:t>
      </w:r>
      <w:r>
        <w:rPr>
          <w:rFonts w:ascii="宋体" w:hAnsi="宋体" w:cs="宋体" w:eastAsia="宋体" w:hint="default"/>
        </w:rPr>
        <w:t>90%</w:t>
      </w:r>
      <w:r>
        <w:rPr/>
        <w:t>，为人民币</w:t>
      </w:r>
      <w:r>
        <w:rPr>
          <w:spacing w:val="-54"/>
        </w:rPr>
        <w:t> </w:t>
      </w:r>
      <w:r>
        <w:rPr>
          <w:rFonts w:ascii="宋体" w:hAnsi="宋体" w:cs="宋体" w:eastAsia="宋体" w:hint="default"/>
        </w:rPr>
        <w:t>7.89</w:t>
      </w:r>
      <w:r>
        <w:rPr>
          <w:rFonts w:ascii="宋体" w:hAnsi="宋体" w:cs="宋体" w:eastAsia="宋体" w:hint="default"/>
          <w:spacing w:val="-55"/>
        </w:rPr>
        <w:t> </w:t>
      </w:r>
      <w:r>
        <w:rPr/>
        <w:t>元</w:t>
      </w:r>
      <w:r>
        <w:rPr>
          <w:rFonts w:ascii="宋体" w:hAnsi="宋体" w:cs="宋体" w:eastAsia="宋体" w:hint="default"/>
        </w:rPr>
        <w:t>/</w:t>
      </w:r>
      <w:r>
        <w:rPr/>
        <w:t>股。据此计算，原江南嘉捷向三六零科技全体股东发行</w:t>
      </w:r>
      <w:r>
        <w:rPr>
          <w:w w:val="100"/>
        </w:rPr>
        <w:t> </w:t>
      </w:r>
      <w:r>
        <w:rPr/>
        <w:t>股份的数量合计</w:t>
      </w:r>
      <w:r>
        <w:rPr>
          <w:spacing w:val="-53"/>
        </w:rPr>
        <w:t> </w:t>
      </w:r>
      <w:r>
        <w:rPr>
          <w:rFonts w:ascii="宋体" w:hAnsi="宋体" w:cs="宋体" w:eastAsia="宋体" w:hint="default"/>
        </w:rPr>
        <w:t>6,366,872,724</w:t>
      </w:r>
      <w:r>
        <w:rPr>
          <w:rFonts w:ascii="宋体" w:hAnsi="宋体" w:cs="宋体" w:eastAsia="宋体" w:hint="default"/>
          <w:spacing w:val="-55"/>
        </w:rPr>
        <w:t> </w:t>
      </w:r>
      <w:r>
        <w:rPr/>
        <w:t>股。</w:t>
      </w:r>
    </w:p>
    <w:p>
      <w:pPr>
        <w:pStyle w:val="BodyText"/>
        <w:tabs>
          <w:tab w:pos="1397" w:val="left" w:leader="none"/>
        </w:tabs>
        <w:spacing w:line="240" w:lineRule="auto" w:before="30"/>
        <w:ind w:left="557" w:right="0"/>
        <w:jc w:val="left"/>
      </w:pPr>
      <w:r>
        <w:rPr>
          <w:rFonts w:ascii="宋体" w:hAnsi="宋体" w:cs="宋体" w:eastAsia="宋体" w:hint="default"/>
        </w:rPr>
        <w:t>1.2.2</w:t>
        <w:tab/>
      </w:r>
      <w:r>
        <w:rPr/>
        <w:t>方案执行情况</w:t>
      </w:r>
    </w:p>
    <w:p>
      <w:pPr>
        <w:pStyle w:val="BodyText"/>
        <w:spacing w:line="357" w:lineRule="auto" w:before="133"/>
        <w:ind w:left="137" w:right="108" w:firstLine="420"/>
        <w:jc w:val="both"/>
      </w:pPr>
      <w:r>
        <w:rPr>
          <w:rFonts w:ascii="宋体" w:hAnsi="宋体" w:cs="宋体" w:eastAsia="宋体" w:hint="default"/>
        </w:rPr>
        <w:t>2018</w:t>
      </w:r>
      <w:r>
        <w:rPr>
          <w:rFonts w:ascii="宋体" w:hAnsi="宋体" w:cs="宋体" w:eastAsia="宋体" w:hint="default"/>
          <w:spacing w:val="-46"/>
        </w:rPr>
        <w:t> </w:t>
      </w:r>
      <w:r>
        <w:rPr/>
        <w:t>年</w:t>
      </w:r>
      <w:r>
        <w:rPr>
          <w:spacing w:val="-43"/>
        </w:rPr>
        <w:t> </w:t>
      </w:r>
      <w:r>
        <w:rPr>
          <w:rFonts w:ascii="宋体" w:hAnsi="宋体" w:cs="宋体" w:eastAsia="宋体" w:hint="default"/>
        </w:rPr>
        <w:t>1</w:t>
      </w:r>
      <w:r>
        <w:rPr>
          <w:rFonts w:ascii="宋体" w:hAnsi="宋体" w:cs="宋体" w:eastAsia="宋体" w:hint="default"/>
          <w:spacing w:val="-46"/>
        </w:rPr>
        <w:t> </w:t>
      </w:r>
      <w:r>
        <w:rPr/>
        <w:t>月</w:t>
      </w:r>
      <w:r>
        <w:rPr>
          <w:spacing w:val="-43"/>
        </w:rPr>
        <w:t> </w:t>
      </w:r>
      <w:r>
        <w:rPr>
          <w:rFonts w:ascii="宋体" w:hAnsi="宋体" w:cs="宋体" w:eastAsia="宋体" w:hint="default"/>
        </w:rPr>
        <w:t>26</w:t>
      </w:r>
      <w:r>
        <w:rPr>
          <w:rFonts w:ascii="宋体" w:hAnsi="宋体" w:cs="宋体" w:eastAsia="宋体" w:hint="default"/>
          <w:spacing w:val="-46"/>
        </w:rPr>
        <w:t> </w:t>
      </w:r>
      <w:r>
        <w:rPr/>
        <w:t>日，</w:t>
      </w:r>
      <w:r>
        <w:rPr>
          <w:spacing w:val="-2"/>
        </w:rPr>
        <w:t> </w:t>
      </w:r>
      <w:r>
        <w:rPr>
          <w:spacing w:val="-3"/>
        </w:rPr>
        <w:t>中国证券监督管理委员会核发了《关于核准江南嘉捷电梯股份有限公司</w:t>
      </w:r>
      <w:r>
        <w:rPr>
          <w:w w:val="100"/>
        </w:rPr>
        <w:t> </w:t>
      </w:r>
      <w:r>
        <w:rPr>
          <w:spacing w:val="-6"/>
        </w:rPr>
        <w:t>重大资产重组及向天津奇信志成科技有限公司等发行股份购买资产的批复》</w:t>
      </w:r>
      <w:r>
        <w:rPr>
          <w:rFonts w:ascii="宋体" w:hAnsi="宋体" w:cs="宋体" w:eastAsia="宋体" w:hint="default"/>
          <w:spacing w:val="-6"/>
        </w:rPr>
        <w:t>(</w:t>
      </w:r>
      <w:r>
        <w:rPr>
          <w:spacing w:val="-6"/>
        </w:rPr>
        <w:t>证监许可〔</w:t>
      </w:r>
      <w:r>
        <w:rPr>
          <w:rFonts w:ascii="宋体" w:hAnsi="宋体" w:cs="宋体" w:eastAsia="宋体" w:hint="default"/>
          <w:spacing w:val="-6"/>
        </w:rPr>
        <w:t>2018</w:t>
      </w:r>
      <w:r>
        <w:rPr>
          <w:spacing w:val="-6"/>
        </w:rPr>
        <w:t>〕</w:t>
      </w:r>
      <w:r>
        <w:rPr>
          <w:rFonts w:ascii="宋体" w:hAnsi="宋体" w:cs="宋体" w:eastAsia="宋体" w:hint="default"/>
          <w:spacing w:val="-6"/>
        </w:rPr>
        <w:t>214</w:t>
      </w:r>
      <w:r>
        <w:rPr>
          <w:rFonts w:ascii="宋体" w:hAnsi="宋体" w:cs="宋体" w:eastAsia="宋体" w:hint="default"/>
          <w:spacing w:val="-31"/>
        </w:rPr>
        <w:t> </w:t>
      </w:r>
      <w:r>
        <w:rPr>
          <w:rFonts w:ascii="宋体" w:hAnsi="宋体" w:cs="宋体" w:eastAsia="宋体" w:hint="default"/>
          <w:spacing w:val="-31"/>
        </w:rPr>
      </w:r>
      <w:r>
        <w:rPr>
          <w:spacing w:val="-4"/>
        </w:rPr>
        <w:t>号</w:t>
      </w:r>
      <w:r>
        <w:rPr>
          <w:rFonts w:ascii="宋体" w:hAnsi="宋体" w:cs="宋体" w:eastAsia="宋体" w:hint="default"/>
          <w:spacing w:val="-4"/>
        </w:rPr>
        <w:t>)</w:t>
      </w:r>
      <w:r>
        <w:rPr>
          <w:spacing w:val="-4"/>
        </w:rPr>
        <w:t>，批准原江南嘉捷与三六零科技的重大资产重组。截至</w:t>
      </w:r>
      <w:r>
        <w:rPr>
          <w:spacing w:val="-46"/>
        </w:rPr>
        <w:t> </w:t>
      </w:r>
      <w:r>
        <w:rPr>
          <w:rFonts w:ascii="宋体" w:hAnsi="宋体" w:cs="宋体" w:eastAsia="宋体" w:hint="default"/>
        </w:rPr>
        <w:t>2018</w:t>
      </w:r>
      <w:r>
        <w:rPr>
          <w:rFonts w:ascii="宋体" w:hAnsi="宋体" w:cs="宋体" w:eastAsia="宋体" w:hint="default"/>
          <w:spacing w:val="-46"/>
        </w:rPr>
        <w:t> </w:t>
      </w:r>
      <w:r>
        <w:rPr/>
        <w:t>年</w:t>
      </w:r>
      <w:r>
        <w:rPr>
          <w:spacing w:val="-43"/>
        </w:rPr>
        <w:t> </w:t>
      </w:r>
      <w:r>
        <w:rPr>
          <w:rFonts w:ascii="宋体" w:hAnsi="宋体" w:cs="宋体" w:eastAsia="宋体" w:hint="default"/>
        </w:rPr>
        <w:t>2</w:t>
      </w:r>
      <w:r>
        <w:rPr>
          <w:rFonts w:ascii="宋体" w:hAnsi="宋体" w:cs="宋体" w:eastAsia="宋体" w:hint="default"/>
          <w:spacing w:val="-46"/>
        </w:rPr>
        <w:t> </w:t>
      </w:r>
      <w:r>
        <w:rPr/>
        <w:t>月</w:t>
      </w:r>
      <w:r>
        <w:rPr>
          <w:spacing w:val="-43"/>
        </w:rPr>
        <w:t> </w:t>
      </w:r>
      <w:r>
        <w:rPr>
          <w:rFonts w:ascii="宋体" w:hAnsi="宋体" w:cs="宋体" w:eastAsia="宋体" w:hint="default"/>
        </w:rPr>
        <w:t>28</w:t>
      </w:r>
      <w:r>
        <w:rPr>
          <w:rFonts w:ascii="宋体" w:hAnsi="宋体" w:cs="宋体" w:eastAsia="宋体" w:hint="default"/>
          <w:spacing w:val="-43"/>
        </w:rPr>
        <w:t> </w:t>
      </w:r>
      <w:r>
        <w:rPr>
          <w:spacing w:val="-5"/>
        </w:rPr>
        <w:t>日，经江苏省工商行政</w:t>
      </w:r>
    </w:p>
    <w:p>
      <w:pPr>
        <w:pStyle w:val="BodyText"/>
        <w:spacing w:line="357" w:lineRule="auto" w:before="30"/>
        <w:ind w:left="137" w:right="111"/>
        <w:jc w:val="both"/>
      </w:pPr>
      <w:r>
        <w:rPr/>
        <w:t>管理局核准股东变更申请，本次重大资产重组向三六零科技全体股东发行的</w:t>
      </w:r>
      <w:r>
        <w:rPr>
          <w:spacing w:val="-55"/>
        </w:rPr>
        <w:t> </w:t>
      </w:r>
      <w:r>
        <w:rPr>
          <w:rFonts w:ascii="宋体" w:hAnsi="宋体" w:cs="宋体" w:eastAsia="宋体" w:hint="default"/>
        </w:rPr>
        <w:t>6,366,872,724</w:t>
      </w:r>
      <w:r>
        <w:rPr>
          <w:rFonts w:ascii="宋体" w:hAnsi="宋体" w:cs="宋体" w:eastAsia="宋体" w:hint="default"/>
          <w:spacing w:val="-55"/>
        </w:rPr>
        <w:t> </w:t>
      </w:r>
      <w:r>
        <w:rPr/>
        <w:t>股已</w:t>
      </w:r>
      <w:r>
        <w:rPr>
          <w:w w:val="100"/>
        </w:rPr>
        <w:t> </w:t>
      </w:r>
      <w:r>
        <w:rPr>
          <w:spacing w:val="-3"/>
        </w:rPr>
        <w:t>全部发行完毕，三六零科技 </w:t>
      </w:r>
      <w:r>
        <w:rPr>
          <w:rFonts w:ascii="宋体" w:hAnsi="宋体" w:cs="宋体" w:eastAsia="宋体" w:hint="default"/>
          <w:spacing w:val="-3"/>
        </w:rPr>
        <w:t>100%</w:t>
      </w:r>
      <w:r>
        <w:rPr>
          <w:spacing w:val="-3"/>
        </w:rPr>
        <w:t>股权已过户至本公司名下，成为本公司的全资子公司，本公司更</w:t>
      </w:r>
      <w:r>
        <w:rPr>
          <w:spacing w:val="-78"/>
        </w:rPr>
        <w:t> </w:t>
      </w:r>
      <w:r>
        <w:rPr>
          <w:spacing w:val="-78"/>
        </w:rPr>
      </w:r>
      <w:r>
        <w:rPr>
          <w:spacing w:val="-2"/>
        </w:rPr>
        <w:t>名为三六零安全科技股份有限公司，证券代码变更为</w:t>
      </w:r>
      <w:r>
        <w:rPr>
          <w:spacing w:val="-4"/>
        </w:rPr>
        <w:t> </w:t>
      </w:r>
      <w:r>
        <w:rPr>
          <w:rFonts w:ascii="宋体" w:hAnsi="宋体" w:cs="宋体" w:eastAsia="宋体" w:hint="default"/>
          <w:spacing w:val="-1"/>
        </w:rPr>
        <w:t>601360</w:t>
      </w:r>
      <w:r>
        <w:rPr>
          <w:spacing w:val="-1"/>
        </w:rPr>
        <w:t>。</w:t>
      </w:r>
    </w:p>
    <w:p>
      <w:pPr>
        <w:pStyle w:val="BodyText"/>
        <w:spacing w:line="357" w:lineRule="auto" w:before="30"/>
        <w:ind w:left="137" w:right="109" w:firstLine="420"/>
        <w:jc w:val="right"/>
      </w:pPr>
      <w:r>
        <w:rPr>
          <w:spacing w:val="-2"/>
        </w:rPr>
        <w:t>根据《重大资产出售协议》，相关方同意本次重大资产出售项下拟置出资产的交割日为发行</w:t>
      </w:r>
      <w:r>
        <w:rPr>
          <w:w w:val="100"/>
        </w:rPr>
        <w:t> </w:t>
      </w:r>
      <w:r>
        <w:rPr>
          <w:spacing w:val="-4"/>
        </w:rPr>
        <w:t>股份实施日次月的第一日，即</w:t>
      </w:r>
      <w:r>
        <w:rPr>
          <w:spacing w:val="-40"/>
        </w:rPr>
        <w:t> </w:t>
      </w:r>
      <w:r>
        <w:rPr>
          <w:rFonts w:ascii="宋体" w:hAnsi="宋体" w:cs="宋体" w:eastAsia="宋体" w:hint="default"/>
        </w:rPr>
        <w:t>2018</w:t>
      </w:r>
      <w:r>
        <w:rPr>
          <w:rFonts w:ascii="宋体" w:hAnsi="宋体" w:cs="宋体" w:eastAsia="宋体" w:hint="default"/>
          <w:spacing w:val="-44"/>
        </w:rPr>
        <w:t> </w:t>
      </w:r>
      <w:r>
        <w:rPr/>
        <w:t>年</w:t>
      </w:r>
      <w:r>
        <w:rPr>
          <w:spacing w:val="-42"/>
        </w:rPr>
        <w:t> </w:t>
      </w:r>
      <w:r>
        <w:rPr>
          <w:rFonts w:ascii="宋体" w:hAnsi="宋体" w:cs="宋体" w:eastAsia="宋体" w:hint="default"/>
        </w:rPr>
        <w:t>3</w:t>
      </w:r>
      <w:r>
        <w:rPr>
          <w:rFonts w:ascii="宋体" w:hAnsi="宋体" w:cs="宋体" w:eastAsia="宋体" w:hint="default"/>
          <w:spacing w:val="-44"/>
        </w:rPr>
        <w:t> </w:t>
      </w:r>
      <w:r>
        <w:rPr/>
        <w:t>月</w:t>
      </w:r>
      <w:r>
        <w:rPr>
          <w:spacing w:val="-42"/>
        </w:rPr>
        <w:t> </w:t>
      </w:r>
      <w:r>
        <w:rPr>
          <w:rFonts w:ascii="宋体" w:hAnsi="宋体" w:cs="宋体" w:eastAsia="宋体" w:hint="default"/>
        </w:rPr>
        <w:t>1</w:t>
      </w:r>
      <w:r>
        <w:rPr>
          <w:rFonts w:ascii="宋体" w:hAnsi="宋体" w:cs="宋体" w:eastAsia="宋体" w:hint="default"/>
          <w:spacing w:val="-42"/>
        </w:rPr>
        <w:t> </w:t>
      </w:r>
      <w:r>
        <w:rPr>
          <w:spacing w:val="-5"/>
        </w:rPr>
        <w:t>日。最晚于交割日起，原则上与拟出售资产有关的所</w:t>
      </w:r>
      <w:r>
        <w:rPr>
          <w:w w:val="100"/>
        </w:rPr>
        <w:t> </w:t>
      </w:r>
      <w:r>
        <w:rPr>
          <w:spacing w:val="-2"/>
        </w:rPr>
        <w:t>有权利和义务即转至苏州嘉捷电梯享有和承担；同时，原江南嘉捷应自交割日起十二个月内负责</w:t>
      </w:r>
      <w:r>
        <w:rPr>
          <w:spacing w:val="-52"/>
        </w:rPr>
        <w:t> </w:t>
      </w:r>
      <w:r>
        <w:rPr>
          <w:spacing w:val="-52"/>
        </w:rPr>
      </w:r>
      <w:r>
        <w:rPr>
          <w:spacing w:val="-2"/>
        </w:rPr>
        <w:t>办理将相关资产移交至苏州嘉捷电梯名下的相关手续，包括但不限于移交、过户、登记、备案。</w:t>
      </w:r>
      <w:r>
        <w:rPr>
          <w:spacing w:val="-52"/>
        </w:rPr>
        <w:t> </w:t>
      </w:r>
      <w:r>
        <w:rPr>
          <w:spacing w:val="-52"/>
        </w:rPr>
      </w:r>
      <w:r>
        <w:rPr>
          <w:rFonts w:ascii="宋体" w:hAnsi="宋体" w:cs="宋体" w:eastAsia="宋体" w:hint="default"/>
        </w:rPr>
        <w:t>2018</w:t>
      </w:r>
      <w:r>
        <w:rPr>
          <w:rFonts w:ascii="宋体" w:hAnsi="宋体" w:cs="宋体" w:eastAsia="宋体" w:hint="default"/>
          <w:spacing w:val="-43"/>
        </w:rPr>
        <w:t> </w:t>
      </w:r>
      <w:r>
        <w:rPr/>
        <w:t>年</w:t>
      </w:r>
      <w:r>
        <w:rPr>
          <w:spacing w:val="-41"/>
        </w:rPr>
        <w:t> </w:t>
      </w:r>
      <w:r>
        <w:rPr>
          <w:rFonts w:ascii="宋体" w:hAnsi="宋体" w:cs="宋体" w:eastAsia="宋体" w:hint="default"/>
        </w:rPr>
        <w:t>2</w:t>
      </w:r>
      <w:r>
        <w:rPr>
          <w:rFonts w:ascii="宋体" w:hAnsi="宋体" w:cs="宋体" w:eastAsia="宋体" w:hint="default"/>
          <w:spacing w:val="-43"/>
        </w:rPr>
        <w:t> </w:t>
      </w:r>
      <w:r>
        <w:rPr/>
        <w:t>月</w:t>
      </w:r>
      <w:r>
        <w:rPr>
          <w:spacing w:val="-41"/>
        </w:rPr>
        <w:t> </w:t>
      </w:r>
      <w:r>
        <w:rPr>
          <w:rFonts w:ascii="宋体" w:hAnsi="宋体" w:cs="宋体" w:eastAsia="宋体" w:hint="default"/>
        </w:rPr>
        <w:t>8</w:t>
      </w:r>
      <w:r>
        <w:rPr>
          <w:rFonts w:ascii="宋体" w:hAnsi="宋体" w:cs="宋体" w:eastAsia="宋体" w:hint="default"/>
          <w:spacing w:val="-43"/>
        </w:rPr>
        <w:t> </w:t>
      </w:r>
      <w:r>
        <w:rPr>
          <w:spacing w:val="-3"/>
        </w:rPr>
        <w:t>日，原江南嘉捷召开第四届董事会第十四次会议，审议通过了《江南嘉捷拟对</w:t>
      </w:r>
      <w:r>
        <w:rPr>
          <w:w w:val="100"/>
        </w:rPr>
        <w:t> </w:t>
      </w:r>
      <w:r>
        <w:rPr>
          <w:spacing w:val="-2"/>
        </w:rPr>
        <w:t>苏州江南嘉捷电梯有限公司实施资产划转方案的议案》，同意原江南嘉捷对苏州嘉捷电梯进行资</w:t>
      </w:r>
    </w:p>
    <w:p>
      <w:pPr>
        <w:pStyle w:val="BodyText"/>
        <w:spacing w:line="240" w:lineRule="auto" w:before="32"/>
        <w:ind w:left="137" w:right="0"/>
        <w:jc w:val="both"/>
      </w:pPr>
      <w:r>
        <w:rPr/>
        <w:t>产划转。</w:t>
      </w:r>
    </w:p>
    <w:p>
      <w:pPr>
        <w:pStyle w:val="BodyText"/>
        <w:spacing w:line="355" w:lineRule="auto" w:before="133"/>
        <w:ind w:left="137" w:right="171" w:firstLine="420"/>
        <w:jc w:val="both"/>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12</w:t>
      </w:r>
      <w:r>
        <w:rPr>
          <w:rFonts w:ascii="宋体" w:hAnsi="宋体" w:cs="宋体" w:eastAsia="宋体" w:hint="default"/>
          <w:spacing w:val="-55"/>
        </w:rPr>
        <w:t> </w:t>
      </w:r>
      <w:r>
        <w:rPr/>
        <w:t>日，金志峰和金祖铭在苏州设立了苏州工业园区江南嘉捷机电科技有限公司</w:t>
      </w:r>
      <w:r>
        <w:rPr>
          <w:w w:val="100"/>
        </w:rPr>
        <w:t> </w:t>
      </w:r>
      <w:r>
        <w:rPr>
          <w:rFonts w:ascii="宋体" w:hAnsi="宋体" w:cs="宋体" w:eastAsia="宋体" w:hint="default"/>
        </w:rPr>
        <w:t>(</w:t>
      </w:r>
      <w:r>
        <w:rPr/>
        <w:t>以下简称“嘉捷机电科技”)。</w:t>
      </w:r>
    </w:p>
    <w:p>
      <w:pPr>
        <w:spacing w:after="0" w:line="355" w:lineRule="auto"/>
        <w:jc w:val="both"/>
        <w:sectPr>
          <w:pgSz w:w="11910" w:h="16840"/>
          <w:pgMar w:header="857" w:footer="1217" w:top="1320" w:bottom="1400" w:left="1140" w:right="1680"/>
        </w:sectPr>
      </w:pPr>
    </w:p>
    <w:p>
      <w:pPr>
        <w:pStyle w:val="BodyText"/>
        <w:spacing w:line="240" w:lineRule="auto" w:before="72"/>
        <w:ind w:left="557" w:right="0"/>
        <w:jc w:val="left"/>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22</w:t>
      </w:r>
      <w:r>
        <w:rPr>
          <w:rFonts w:ascii="宋体" w:hAnsi="宋体" w:cs="宋体" w:eastAsia="宋体" w:hint="default"/>
          <w:spacing w:val="-55"/>
        </w:rPr>
        <w:t> </w:t>
      </w:r>
      <w:r>
        <w:rPr/>
        <w:t>日，江南嘉捷、金志峰、金祖铭、苏州嘉捷电梯和嘉捷机电科技签署了《拟</w:t>
      </w:r>
    </w:p>
    <w:p>
      <w:pPr>
        <w:pStyle w:val="BodyText"/>
        <w:spacing w:line="240" w:lineRule="auto" w:before="133"/>
        <w:ind w:left="137" w:right="0"/>
        <w:jc w:val="both"/>
        <w:rPr>
          <w:rFonts w:ascii="宋体" w:hAnsi="宋体" w:cs="宋体" w:eastAsia="宋体" w:hint="default"/>
        </w:rPr>
      </w:pPr>
      <w:r>
        <w:rPr>
          <w:w w:val="100"/>
        </w:rPr>
        <w:t>出售</w:t>
      </w:r>
      <w:r>
        <w:rPr>
          <w:spacing w:val="-3"/>
          <w:w w:val="100"/>
        </w:rPr>
        <w:t>资</w:t>
      </w:r>
      <w:r>
        <w:rPr>
          <w:w w:val="100"/>
        </w:rPr>
        <w:t>产</w:t>
      </w:r>
      <w:r>
        <w:rPr>
          <w:spacing w:val="-3"/>
          <w:w w:val="100"/>
        </w:rPr>
        <w:t>置</w:t>
      </w:r>
      <w:r>
        <w:rPr>
          <w:w w:val="100"/>
        </w:rPr>
        <w:t>出</w:t>
      </w:r>
      <w:r>
        <w:rPr>
          <w:spacing w:val="-3"/>
          <w:w w:val="100"/>
        </w:rPr>
        <w:t>安</w:t>
      </w:r>
      <w:r>
        <w:rPr>
          <w:w w:val="100"/>
        </w:rPr>
        <w:t>排</w:t>
      </w:r>
      <w:r>
        <w:rPr>
          <w:spacing w:val="-3"/>
          <w:w w:val="100"/>
        </w:rPr>
        <w:t>确</w:t>
      </w:r>
      <w:r>
        <w:rPr>
          <w:w w:val="100"/>
        </w:rPr>
        <w:t>认</w:t>
      </w:r>
      <w:r>
        <w:rPr>
          <w:spacing w:val="-3"/>
          <w:w w:val="100"/>
        </w:rPr>
        <w:t>书</w:t>
      </w:r>
      <w:r>
        <w:rPr>
          <w:spacing w:val="-87"/>
          <w:w w:val="100"/>
        </w:rPr>
        <w:t>》</w:t>
      </w:r>
      <w:r>
        <w:rPr>
          <w:spacing w:val="-85"/>
          <w:w w:val="100"/>
        </w:rPr>
        <w:t>，</w:t>
      </w:r>
      <w:r>
        <w:rPr>
          <w:w w:val="100"/>
        </w:rPr>
        <w:t>各</w:t>
      </w:r>
      <w:r>
        <w:rPr>
          <w:spacing w:val="-3"/>
          <w:w w:val="100"/>
        </w:rPr>
        <w:t>方</w:t>
      </w:r>
      <w:r>
        <w:rPr>
          <w:w w:val="100"/>
        </w:rPr>
        <w:t>对</w:t>
      </w:r>
      <w:r>
        <w:rPr>
          <w:spacing w:val="-3"/>
          <w:w w:val="100"/>
        </w:rPr>
        <w:t>拟</w:t>
      </w:r>
      <w:r>
        <w:rPr>
          <w:w w:val="100"/>
        </w:rPr>
        <w:t>出</w:t>
      </w:r>
      <w:r>
        <w:rPr>
          <w:spacing w:val="-3"/>
          <w:w w:val="100"/>
        </w:rPr>
        <w:t>售</w:t>
      </w:r>
      <w:r>
        <w:rPr>
          <w:w w:val="100"/>
        </w:rPr>
        <w:t>资</w:t>
      </w:r>
      <w:r>
        <w:rPr>
          <w:spacing w:val="-3"/>
          <w:w w:val="100"/>
        </w:rPr>
        <w:t>产</w:t>
      </w:r>
      <w:r>
        <w:rPr>
          <w:w w:val="100"/>
        </w:rPr>
        <w:t>交</w:t>
      </w:r>
      <w:r>
        <w:rPr>
          <w:spacing w:val="-3"/>
          <w:w w:val="100"/>
        </w:rPr>
        <w:t>割进</w:t>
      </w:r>
      <w:r>
        <w:rPr>
          <w:w w:val="100"/>
        </w:rPr>
        <w:t>行确</w:t>
      </w:r>
      <w:r>
        <w:rPr>
          <w:spacing w:val="-3"/>
          <w:w w:val="100"/>
        </w:rPr>
        <w:t>认</w:t>
      </w:r>
      <w:r>
        <w:rPr>
          <w:w w:val="100"/>
        </w:rPr>
        <w:t>并</w:t>
      </w:r>
      <w:r>
        <w:rPr>
          <w:spacing w:val="-3"/>
          <w:w w:val="100"/>
        </w:rPr>
        <w:t>明</w:t>
      </w:r>
      <w:r>
        <w:rPr>
          <w:w w:val="100"/>
        </w:rPr>
        <w:t>确</w:t>
      </w:r>
      <w:r>
        <w:rPr>
          <w:spacing w:val="-3"/>
          <w:w w:val="100"/>
        </w:rPr>
        <w:t>交</w:t>
      </w:r>
      <w:r>
        <w:rPr>
          <w:w w:val="100"/>
        </w:rPr>
        <w:t>割</w:t>
      </w:r>
      <w:r>
        <w:rPr>
          <w:spacing w:val="-3"/>
          <w:w w:val="100"/>
        </w:rPr>
        <w:t>后</w:t>
      </w:r>
      <w:r>
        <w:rPr>
          <w:w w:val="100"/>
        </w:rPr>
        <w:t>相</w:t>
      </w:r>
      <w:r>
        <w:rPr>
          <w:spacing w:val="-3"/>
          <w:w w:val="100"/>
        </w:rPr>
        <w:t>关</w:t>
      </w:r>
      <w:r>
        <w:rPr>
          <w:w w:val="100"/>
        </w:rPr>
        <w:t>安排</w:t>
      </w:r>
      <w:r>
        <w:rPr>
          <w:spacing w:val="-87"/>
          <w:w w:val="100"/>
        </w:rPr>
        <w:t>，</w:t>
      </w:r>
      <w:r>
        <w:rPr>
          <w:w w:val="100"/>
        </w:rPr>
        <w:t>确</w:t>
      </w:r>
      <w:r>
        <w:rPr>
          <w:spacing w:val="-3"/>
          <w:w w:val="100"/>
        </w:rPr>
        <w:t>认</w:t>
      </w:r>
      <w:r>
        <w:rPr>
          <w:w w:val="100"/>
        </w:rPr>
        <w:t>以</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p>
    <w:p>
      <w:pPr>
        <w:pStyle w:val="BodyText"/>
        <w:spacing w:line="240" w:lineRule="auto" w:before="133"/>
        <w:ind w:left="137" w:right="0"/>
        <w:jc w:val="both"/>
      </w:pP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日为基准日将拟置出资产划转至嘉捷机电科技，并转移了拟置出资产的控制权。截至</w:t>
      </w:r>
    </w:p>
    <w:p>
      <w:pPr>
        <w:pStyle w:val="BodyText"/>
        <w:spacing w:line="355" w:lineRule="auto" w:before="135"/>
        <w:ind w:left="137" w:right="118"/>
        <w:jc w:val="both"/>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12</w:t>
      </w:r>
      <w:r>
        <w:rPr>
          <w:rFonts w:ascii="宋体" w:hAnsi="宋体" w:cs="宋体" w:eastAsia="宋体" w:hint="default"/>
          <w:spacing w:val="-55"/>
        </w:rPr>
        <w:t> </w:t>
      </w:r>
      <w:r>
        <w:rPr/>
        <w:t>日，公司已收到嘉捷机电科技代表金志峰及金祖铭支付的全部</w:t>
      </w:r>
      <w:r>
        <w:rPr>
          <w:spacing w:val="-53"/>
        </w:rPr>
        <w:t> </w:t>
      </w:r>
      <w:r>
        <w:rPr>
          <w:rFonts w:ascii="宋体" w:hAnsi="宋体" w:cs="宋体" w:eastAsia="宋体" w:hint="default"/>
        </w:rPr>
        <w:t>169,000</w:t>
      </w:r>
      <w:r>
        <w:rPr>
          <w:rFonts w:ascii="宋体" w:hAnsi="宋体" w:cs="宋体" w:eastAsia="宋体" w:hint="default"/>
          <w:spacing w:val="-55"/>
        </w:rPr>
        <w:t> </w:t>
      </w:r>
      <w:r>
        <w:rPr/>
        <w:t>万元股权</w:t>
      </w:r>
      <w:r>
        <w:rPr>
          <w:w w:val="100"/>
        </w:rPr>
        <w:t> </w:t>
      </w:r>
      <w:r>
        <w:rPr>
          <w:spacing w:val="-2"/>
        </w:rPr>
        <w:t>转让对价款。截至本报告日，拟出售资产权属转移涉及的过户登记手续、债权债务转移手续及员</w:t>
      </w:r>
      <w:r>
        <w:rPr>
          <w:spacing w:val="-25"/>
        </w:rPr>
        <w:t> </w:t>
      </w:r>
      <w:r>
        <w:rPr>
          <w:spacing w:val="-25"/>
        </w:rPr>
      </w:r>
      <w:r>
        <w:rPr/>
        <w:t>工安置手续等尚在办理中，不影响置出资产的交割。</w:t>
      </w:r>
    </w:p>
    <w:p>
      <w:pPr>
        <w:pStyle w:val="BodyText"/>
        <w:spacing w:line="240" w:lineRule="auto" w:before="32"/>
        <w:ind w:left="557" w:right="0"/>
        <w:jc w:val="left"/>
      </w:pPr>
      <w:r>
        <w:rPr/>
        <w:t>由于上述重大资产重组在 </w:t>
      </w:r>
      <w:r>
        <w:rPr>
          <w:rFonts w:ascii="宋体" w:hAnsi="宋体" w:cs="宋体" w:eastAsia="宋体" w:hint="default"/>
        </w:rPr>
        <w:t>2017</w:t>
      </w:r>
      <w:r>
        <w:rPr>
          <w:rFonts w:ascii="宋体" w:hAnsi="宋体" w:cs="宋体" w:eastAsia="宋体" w:hint="default"/>
          <w:spacing w:val="-72"/>
        </w:rPr>
        <w:t> </w:t>
      </w:r>
      <w:r>
        <w:rPr>
          <w:spacing w:val="-5"/>
        </w:rPr>
        <w:t>年度内尚未交割完毕，根据《公司法》及本公司章程等有关规</w:t>
      </w:r>
    </w:p>
    <w:p>
      <w:pPr>
        <w:pStyle w:val="BodyText"/>
        <w:spacing w:line="240" w:lineRule="auto" w:before="135"/>
        <w:ind w:left="137" w:right="0"/>
        <w:jc w:val="both"/>
      </w:pPr>
      <w:r>
        <w:rPr/>
        <w:t>定，本公司以经天衡会计师事务所</w:t>
      </w:r>
      <w:r>
        <w:rPr>
          <w:rFonts w:ascii="宋体" w:hAnsi="宋体" w:cs="宋体" w:eastAsia="宋体" w:hint="default"/>
        </w:rPr>
        <w:t>(</w:t>
      </w:r>
      <w:r>
        <w:rPr/>
        <w:t>特殊普通合伙</w:t>
      </w:r>
      <w:r>
        <w:rPr>
          <w:rFonts w:ascii="宋体" w:hAnsi="宋体" w:cs="宋体" w:eastAsia="宋体" w:hint="default"/>
        </w:rPr>
        <w:t>)</w:t>
      </w:r>
      <w:r>
        <w:rPr/>
        <w:t>审计的《江南嘉捷电梯股份有限公司 </w:t>
      </w:r>
      <w:r>
        <w:rPr>
          <w:rFonts w:ascii="宋体" w:hAnsi="宋体" w:cs="宋体" w:eastAsia="宋体" w:hint="default"/>
        </w:rPr>
        <w:t>2017</w:t>
      </w:r>
      <w:r>
        <w:rPr>
          <w:rFonts w:ascii="宋体" w:hAnsi="宋体" w:cs="宋体" w:eastAsia="宋体" w:hint="default"/>
          <w:spacing w:val="-58"/>
        </w:rPr>
        <w:t> </w:t>
      </w:r>
      <w:r>
        <w:rPr/>
        <w:t>年</w:t>
      </w:r>
    </w:p>
    <w:p>
      <w:pPr>
        <w:pStyle w:val="BodyText"/>
        <w:spacing w:line="240" w:lineRule="auto" w:before="133"/>
        <w:ind w:left="137" w:right="0"/>
        <w:jc w:val="both"/>
        <w:rPr>
          <w:rFonts w:ascii="宋体" w:hAnsi="宋体" w:cs="宋体" w:eastAsia="宋体" w:hint="default"/>
        </w:rPr>
      </w:pPr>
      <w:r>
        <w:rPr>
          <w:spacing w:val="-3"/>
        </w:rPr>
        <w:t>度财务报表审计报告》中原江南嘉捷</w:t>
      </w:r>
      <w:r>
        <w:rPr>
          <w:spacing w:val="-46"/>
        </w:rPr>
        <w:t> </w:t>
      </w:r>
      <w:r>
        <w:rPr>
          <w:rFonts w:ascii="宋体" w:hAnsi="宋体" w:cs="宋体" w:eastAsia="宋体" w:hint="default"/>
        </w:rPr>
        <w:t>2017</w:t>
      </w:r>
      <w:r>
        <w:rPr>
          <w:rFonts w:ascii="宋体" w:hAnsi="宋体" w:cs="宋体" w:eastAsia="宋体" w:hint="default"/>
          <w:spacing w:val="-46"/>
        </w:rPr>
        <w:t> </w:t>
      </w:r>
      <w:r>
        <w:rPr/>
        <w:t>年度净利润人民币</w:t>
      </w:r>
      <w:r>
        <w:rPr>
          <w:spacing w:val="-46"/>
        </w:rPr>
        <w:t> </w:t>
      </w:r>
      <w:r>
        <w:rPr>
          <w:rFonts w:ascii="宋体" w:hAnsi="宋体" w:cs="宋体" w:eastAsia="宋体" w:hint="default"/>
        </w:rPr>
        <w:t>3,978.18</w:t>
      </w:r>
      <w:r>
        <w:rPr>
          <w:rFonts w:ascii="宋体" w:hAnsi="宋体" w:cs="宋体" w:eastAsia="宋体" w:hint="default"/>
          <w:spacing w:val="-48"/>
        </w:rPr>
        <w:t> </w:t>
      </w:r>
      <w:r>
        <w:rPr>
          <w:spacing w:val="-4"/>
        </w:rPr>
        <w:t>万元为基础，拟订了</w:t>
      </w:r>
      <w:r>
        <w:rPr>
          <w:spacing w:val="-48"/>
        </w:rPr>
        <w:t> </w:t>
      </w:r>
      <w:r>
        <w:rPr>
          <w:rFonts w:ascii="宋体" w:hAnsi="宋体" w:cs="宋体" w:eastAsia="宋体" w:hint="default"/>
        </w:rPr>
        <w:t>2017</w:t>
      </w:r>
    </w:p>
    <w:p>
      <w:pPr>
        <w:pStyle w:val="BodyText"/>
        <w:spacing w:line="240" w:lineRule="auto" w:before="133"/>
        <w:ind w:left="137" w:right="0"/>
        <w:jc w:val="both"/>
      </w:pPr>
      <w:r>
        <w:rPr>
          <w:w w:val="100"/>
        </w:rPr>
        <w:t>年度</w:t>
      </w:r>
      <w:r>
        <w:rPr>
          <w:spacing w:val="-3"/>
          <w:w w:val="100"/>
        </w:rPr>
        <w:t>本</w:t>
      </w:r>
      <w:r>
        <w:rPr>
          <w:w w:val="100"/>
        </w:rPr>
        <w:t>公</w:t>
      </w:r>
      <w:r>
        <w:rPr>
          <w:spacing w:val="-3"/>
          <w:w w:val="100"/>
        </w:rPr>
        <w:t>司</w:t>
      </w:r>
      <w:r>
        <w:rPr>
          <w:w w:val="100"/>
        </w:rPr>
        <w:t>利</w:t>
      </w:r>
      <w:r>
        <w:rPr>
          <w:spacing w:val="-3"/>
          <w:w w:val="100"/>
        </w:rPr>
        <w:t>润</w:t>
      </w:r>
      <w:r>
        <w:rPr>
          <w:w w:val="100"/>
        </w:rPr>
        <w:t>分</w:t>
      </w:r>
      <w:r>
        <w:rPr>
          <w:spacing w:val="-3"/>
          <w:w w:val="100"/>
        </w:rPr>
        <w:t>配</w:t>
      </w:r>
      <w:r>
        <w:rPr>
          <w:w w:val="100"/>
        </w:rPr>
        <w:t>预</w:t>
      </w:r>
      <w:r>
        <w:rPr>
          <w:spacing w:val="-3"/>
          <w:w w:val="100"/>
        </w:rPr>
        <w:t>案</w:t>
      </w:r>
      <w:r>
        <w:rPr>
          <w:spacing w:val="-94"/>
          <w:w w:val="100"/>
        </w:rPr>
        <w:t>：</w:t>
      </w:r>
      <w:r>
        <w:rPr>
          <w:w w:val="100"/>
        </w:rPr>
        <w:t>本公</w:t>
      </w:r>
      <w:r>
        <w:rPr>
          <w:spacing w:val="-3"/>
          <w:w w:val="100"/>
        </w:rPr>
        <w:t>司拟</w:t>
      </w:r>
      <w:r>
        <w:rPr>
          <w:w w:val="100"/>
        </w:rPr>
        <w:t>以</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spacing w:val="-3"/>
          <w:w w:val="100"/>
        </w:rPr>
        <w:t>年</w:t>
      </w:r>
      <w:r>
        <w:rPr>
          <w:w w:val="100"/>
        </w:rPr>
        <w:t>度</w:t>
      </w:r>
      <w:r>
        <w:rPr>
          <w:spacing w:val="-3"/>
          <w:w w:val="100"/>
        </w:rPr>
        <w:t>利润</w:t>
      </w:r>
      <w:r>
        <w:rPr>
          <w:w w:val="100"/>
        </w:rPr>
        <w:t>分配</w:t>
      </w:r>
      <w:r>
        <w:rPr>
          <w:spacing w:val="-3"/>
          <w:w w:val="100"/>
        </w:rPr>
        <w:t>实</w:t>
      </w:r>
      <w:r>
        <w:rPr>
          <w:w w:val="100"/>
        </w:rPr>
        <w:t>施</w:t>
      </w:r>
      <w:r>
        <w:rPr>
          <w:spacing w:val="-3"/>
          <w:w w:val="100"/>
        </w:rPr>
        <w:t>公</w:t>
      </w:r>
      <w:r>
        <w:rPr>
          <w:w w:val="100"/>
        </w:rPr>
        <w:t>告</w:t>
      </w:r>
      <w:r>
        <w:rPr>
          <w:spacing w:val="-3"/>
          <w:w w:val="100"/>
        </w:rPr>
        <w:t>的</w:t>
      </w:r>
      <w:r>
        <w:rPr>
          <w:w w:val="100"/>
        </w:rPr>
        <w:t>股</w:t>
      </w:r>
      <w:r>
        <w:rPr>
          <w:spacing w:val="-3"/>
          <w:w w:val="100"/>
        </w:rPr>
        <w:t>权</w:t>
      </w:r>
      <w:r>
        <w:rPr>
          <w:w w:val="100"/>
        </w:rPr>
        <w:t>登</w:t>
      </w:r>
      <w:r>
        <w:rPr>
          <w:spacing w:val="-3"/>
          <w:w w:val="100"/>
        </w:rPr>
        <w:t>记</w:t>
      </w:r>
      <w:r>
        <w:rPr>
          <w:w w:val="100"/>
        </w:rPr>
        <w:t>日当</w:t>
      </w:r>
      <w:r>
        <w:rPr>
          <w:spacing w:val="-3"/>
          <w:w w:val="100"/>
        </w:rPr>
        <w:t>日</w:t>
      </w:r>
      <w:r>
        <w:rPr>
          <w:w w:val="100"/>
        </w:rPr>
        <w:t>的</w:t>
      </w:r>
      <w:r>
        <w:rPr>
          <w:spacing w:val="-3"/>
          <w:w w:val="100"/>
        </w:rPr>
        <w:t>总</w:t>
      </w:r>
      <w:r>
        <w:rPr>
          <w:w w:val="100"/>
        </w:rPr>
        <w:t>股</w:t>
      </w:r>
      <w:r>
        <w:rPr>
          <w:spacing w:val="-3"/>
          <w:w w:val="100"/>
        </w:rPr>
        <w:t>本</w:t>
      </w:r>
      <w:r>
        <w:rPr>
          <w:w w:val="100"/>
        </w:rPr>
        <w:t>为</w:t>
      </w:r>
    </w:p>
    <w:p>
      <w:pPr>
        <w:pStyle w:val="BodyText"/>
        <w:spacing w:line="355" w:lineRule="auto" w:before="133"/>
        <w:ind w:left="137" w:right="111"/>
        <w:jc w:val="both"/>
      </w:pPr>
      <w:r>
        <w:rPr>
          <w:spacing w:val="-4"/>
        </w:rPr>
        <w:t>基数，向全体股东每</w:t>
      </w:r>
      <w:r>
        <w:rPr>
          <w:spacing w:val="-49"/>
        </w:rPr>
        <w:t> </w:t>
      </w:r>
      <w:r>
        <w:rPr>
          <w:rFonts w:ascii="宋体" w:hAnsi="宋体" w:cs="宋体" w:eastAsia="宋体" w:hint="default"/>
        </w:rPr>
        <w:t>10</w:t>
      </w:r>
      <w:r>
        <w:rPr>
          <w:rFonts w:ascii="宋体" w:hAnsi="宋体" w:cs="宋体" w:eastAsia="宋体" w:hint="default"/>
          <w:spacing w:val="-51"/>
        </w:rPr>
        <w:t> </w:t>
      </w:r>
      <w:r>
        <w:rPr/>
        <w:t>股派发现金红利</w:t>
      </w:r>
      <w:r>
        <w:rPr>
          <w:spacing w:val="-48"/>
        </w:rPr>
        <w:t> </w:t>
      </w:r>
      <w:r>
        <w:rPr>
          <w:rFonts w:ascii="宋体" w:hAnsi="宋体" w:cs="宋体" w:eastAsia="宋体" w:hint="default"/>
        </w:rPr>
        <w:t>0.027</w:t>
      </w:r>
      <w:r>
        <w:rPr>
          <w:rFonts w:ascii="宋体" w:hAnsi="宋体" w:cs="宋体" w:eastAsia="宋体" w:hint="default"/>
          <w:spacing w:val="-51"/>
        </w:rPr>
        <w:t> </w:t>
      </w:r>
      <w:r>
        <w:rPr>
          <w:spacing w:val="-3"/>
        </w:rPr>
        <w:t>元</w:t>
      </w:r>
      <w:r>
        <w:rPr>
          <w:rFonts w:ascii="宋体" w:hAnsi="宋体" w:cs="宋体" w:eastAsia="宋体" w:hint="default"/>
          <w:spacing w:val="-3"/>
        </w:rPr>
        <w:t>(</w:t>
      </w:r>
      <w:r>
        <w:rPr>
          <w:spacing w:val="-3"/>
        </w:rPr>
        <w:t>含税</w:t>
      </w:r>
      <w:r>
        <w:rPr>
          <w:rFonts w:ascii="宋体" w:hAnsi="宋体" w:cs="宋体" w:eastAsia="宋体" w:hint="default"/>
          <w:spacing w:val="-3"/>
        </w:rPr>
        <w:t>)</w:t>
      </w:r>
      <w:r>
        <w:rPr>
          <w:spacing w:val="-3"/>
        </w:rPr>
        <w:t>。上述利润分配预案已于</w:t>
      </w:r>
      <w:r>
        <w:rPr>
          <w:spacing w:val="-49"/>
        </w:rPr>
        <w:t> </w:t>
      </w:r>
      <w:r>
        <w:rPr>
          <w:rFonts w:ascii="宋体" w:hAnsi="宋体" w:cs="宋体" w:eastAsia="宋体" w:hint="default"/>
        </w:rPr>
        <w:t>2018</w:t>
      </w:r>
      <w:r>
        <w:rPr>
          <w:rFonts w:ascii="宋体" w:hAnsi="宋体" w:cs="宋体" w:eastAsia="宋体" w:hint="default"/>
          <w:spacing w:val="-48"/>
        </w:rPr>
        <w:t> </w:t>
      </w:r>
      <w:r>
        <w:rPr/>
        <w:t>年</w:t>
      </w:r>
      <w:r>
        <w:rPr>
          <w:spacing w:val="-51"/>
        </w:rPr>
        <w:t> </w:t>
      </w:r>
      <w:r>
        <w:rPr>
          <w:rFonts w:ascii="宋体" w:hAnsi="宋体" w:cs="宋体" w:eastAsia="宋体" w:hint="default"/>
        </w:rPr>
        <w:t>4</w:t>
      </w:r>
      <w:r>
        <w:rPr>
          <w:rFonts w:ascii="宋体" w:hAnsi="宋体" w:cs="宋体" w:eastAsia="宋体" w:hint="default"/>
          <w:spacing w:val="-49"/>
        </w:rPr>
        <w:t> </w:t>
      </w:r>
      <w:r>
        <w:rPr/>
        <w:t>月</w:t>
      </w:r>
      <w:r>
        <w:rPr>
          <w:spacing w:val="-51"/>
        </w:rPr>
        <w:t> </w:t>
      </w:r>
      <w:r>
        <w:rPr>
          <w:rFonts w:ascii="宋体" w:hAnsi="宋体" w:cs="宋体" w:eastAsia="宋体" w:hint="default"/>
        </w:rPr>
        <w:t>25</w:t>
      </w:r>
      <w:r>
        <w:rPr>
          <w:rFonts w:ascii="宋体" w:hAnsi="宋体" w:cs="宋体" w:eastAsia="宋体" w:hint="default"/>
          <w:w w:val="100"/>
        </w:rPr>
        <w:t> </w:t>
      </w:r>
      <w:r>
        <w:rPr/>
        <w:t>日经本公司</w:t>
      </w:r>
    </w:p>
    <w:p>
      <w:pPr>
        <w:pStyle w:val="BodyText"/>
        <w:spacing w:line="240" w:lineRule="auto" w:before="34"/>
        <w:ind w:left="557" w:right="0"/>
        <w:jc w:val="left"/>
      </w:pPr>
      <w:r>
        <w:rPr>
          <w:w w:val="100"/>
        </w:rPr>
        <w:t>第五</w:t>
      </w:r>
      <w:r>
        <w:rPr>
          <w:spacing w:val="-3"/>
          <w:w w:val="100"/>
        </w:rPr>
        <w:t>届</w:t>
      </w:r>
      <w:r>
        <w:rPr>
          <w:w w:val="100"/>
        </w:rPr>
        <w:t>董</w:t>
      </w:r>
      <w:r>
        <w:rPr>
          <w:spacing w:val="-3"/>
          <w:w w:val="100"/>
        </w:rPr>
        <w:t>事</w:t>
      </w:r>
      <w:r>
        <w:rPr>
          <w:w w:val="100"/>
        </w:rPr>
        <w:t>会</w:t>
      </w:r>
      <w:r>
        <w:rPr>
          <w:spacing w:val="-3"/>
          <w:w w:val="100"/>
        </w:rPr>
        <w:t>第</w:t>
      </w:r>
      <w:r>
        <w:rPr>
          <w:w w:val="100"/>
        </w:rPr>
        <w:t>三</w:t>
      </w:r>
      <w:r>
        <w:rPr>
          <w:spacing w:val="-3"/>
          <w:w w:val="100"/>
        </w:rPr>
        <w:t>次</w:t>
      </w:r>
      <w:r>
        <w:rPr>
          <w:w w:val="100"/>
        </w:rPr>
        <w:t>会</w:t>
      </w:r>
      <w:r>
        <w:rPr>
          <w:spacing w:val="-3"/>
          <w:w w:val="100"/>
        </w:rPr>
        <w:t>议</w:t>
      </w:r>
      <w:r>
        <w:rPr>
          <w:w w:val="100"/>
        </w:rPr>
        <w:t>审议</w:t>
      </w:r>
      <w:r>
        <w:rPr>
          <w:spacing w:val="-3"/>
          <w:w w:val="100"/>
        </w:rPr>
        <w:t>通过</w:t>
      </w:r>
      <w:r>
        <w:rPr>
          <w:spacing w:val="-92"/>
          <w:w w:val="100"/>
        </w:rPr>
        <w:t>，</w:t>
      </w:r>
      <w:r>
        <w:rPr>
          <w:spacing w:val="-3"/>
          <w:w w:val="100"/>
        </w:rPr>
        <w:t>并</w:t>
      </w:r>
      <w:r>
        <w:rPr>
          <w:w w:val="100"/>
        </w:rPr>
        <w:t>于</w:t>
      </w:r>
      <w:r>
        <w:rPr>
          <w:spacing w:val="-5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18</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5</w:t>
      </w:r>
      <w:r>
        <w:rPr>
          <w:rFonts w:ascii="宋体" w:hAnsi="宋体" w:cs="宋体" w:eastAsia="宋体" w:hint="default"/>
          <w:spacing w:val="-55"/>
        </w:rPr>
        <w:t> </w:t>
      </w:r>
      <w:r>
        <w:rPr>
          <w:w w:val="100"/>
        </w:rPr>
        <w:t>月</w:t>
      </w:r>
      <w:r>
        <w:rPr>
          <w:spacing w:val="-52"/>
        </w:rPr>
        <w:t> </w:t>
      </w:r>
      <w:r>
        <w:rPr>
          <w:rFonts w:ascii="宋体" w:hAnsi="宋体" w:cs="宋体" w:eastAsia="宋体" w:hint="default"/>
          <w:w w:val="100"/>
        </w:rPr>
        <w:t>14</w:t>
      </w:r>
      <w:r>
        <w:rPr>
          <w:rFonts w:ascii="宋体" w:hAnsi="宋体" w:cs="宋体" w:eastAsia="宋体" w:hint="default"/>
          <w:spacing w:val="-55"/>
        </w:rPr>
        <w:t> </w:t>
      </w:r>
      <w:r>
        <w:rPr>
          <w:w w:val="100"/>
        </w:rPr>
        <w:t>日</w:t>
      </w:r>
      <w:r>
        <w:rPr>
          <w:spacing w:val="-3"/>
          <w:w w:val="100"/>
        </w:rPr>
        <w:t>经</w:t>
      </w:r>
      <w:r>
        <w:rPr>
          <w:w w:val="100"/>
        </w:rPr>
        <w:t>本</w:t>
      </w:r>
      <w:r>
        <w:rPr>
          <w:spacing w:val="-3"/>
          <w:w w:val="100"/>
        </w:rPr>
        <w:t>公</w:t>
      </w:r>
      <w:r>
        <w:rPr>
          <w:w w:val="100"/>
        </w:rPr>
        <w:t>司</w:t>
      </w:r>
      <w:r>
        <w:rPr>
          <w:spacing w:val="-5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18</w:t>
      </w:r>
      <w:r>
        <w:rPr>
          <w:rFonts w:ascii="宋体" w:hAnsi="宋体" w:cs="宋体" w:eastAsia="宋体" w:hint="default"/>
          <w:spacing w:val="-53"/>
        </w:rPr>
        <w:t> </w:t>
      </w:r>
      <w:r>
        <w:rPr>
          <w:spacing w:val="-3"/>
          <w:w w:val="100"/>
        </w:rPr>
        <w:t>年</w:t>
      </w:r>
      <w:r>
        <w:rPr>
          <w:w w:val="100"/>
        </w:rPr>
        <w:t>第一</w:t>
      </w:r>
      <w:r>
        <w:rPr>
          <w:spacing w:val="-3"/>
          <w:w w:val="100"/>
        </w:rPr>
        <w:t>次</w:t>
      </w:r>
      <w:r>
        <w:rPr>
          <w:w w:val="100"/>
        </w:rPr>
        <w:t>临</w:t>
      </w:r>
      <w:r>
        <w:rPr>
          <w:spacing w:val="-3"/>
          <w:w w:val="100"/>
        </w:rPr>
        <w:t>时股</w:t>
      </w:r>
      <w:r>
        <w:rPr>
          <w:w w:val="100"/>
        </w:rPr>
        <w:t>东</w:t>
      </w:r>
    </w:p>
    <w:p>
      <w:pPr>
        <w:pStyle w:val="BodyText"/>
        <w:spacing w:line="240" w:lineRule="auto" w:before="133"/>
        <w:ind w:left="137" w:right="0"/>
        <w:jc w:val="both"/>
      </w:pPr>
      <w:r>
        <w:rPr/>
        <w:t>大会审议通过。上述现金股利已于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spacing w:val="-55"/>
        </w:rPr>
        <w:t> </w:t>
      </w:r>
      <w:r>
        <w:rPr/>
        <w:t>日发放完毕。</w:t>
      </w:r>
    </w:p>
    <w:p>
      <w:pPr>
        <w:pStyle w:val="BodyText"/>
        <w:spacing w:line="355" w:lineRule="auto" w:before="133"/>
        <w:ind w:left="137" w:right="0" w:firstLine="420"/>
        <w:jc w:val="left"/>
      </w:pPr>
      <w:r>
        <w:rPr/>
        <w:t>截至</w:t>
      </w:r>
      <w:r>
        <w:rPr>
          <w:spacing w:val="-50"/>
        </w:rPr>
        <w:t> </w:t>
      </w:r>
      <w:r>
        <w:rPr>
          <w:rFonts w:ascii="宋体" w:hAnsi="宋体" w:cs="宋体" w:eastAsia="宋体" w:hint="default"/>
        </w:rPr>
        <w:t>2018</w:t>
      </w:r>
      <w:r>
        <w:rPr>
          <w:rFonts w:ascii="宋体" w:hAnsi="宋体" w:cs="宋体" w:eastAsia="宋体" w:hint="default"/>
          <w:spacing w:val="-53"/>
        </w:rPr>
        <w:t> </w:t>
      </w:r>
      <w:r>
        <w:rPr/>
        <w:t>年</w:t>
      </w:r>
      <w:r>
        <w:rPr>
          <w:spacing w:val="-50"/>
        </w:rPr>
        <w:t> </w:t>
      </w:r>
      <w:r>
        <w:rPr>
          <w:rFonts w:ascii="宋体" w:hAnsi="宋体" w:cs="宋体" w:eastAsia="宋体" w:hint="default"/>
        </w:rPr>
        <w:t>12</w:t>
      </w:r>
      <w:r>
        <w:rPr>
          <w:rFonts w:ascii="宋体" w:hAnsi="宋体" w:cs="宋体" w:eastAsia="宋体" w:hint="default"/>
          <w:spacing w:val="-53"/>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spacing w:val="-4"/>
        </w:rPr>
        <w:t>日，公司股本为人民币</w:t>
      </w:r>
      <w:r>
        <w:rPr>
          <w:spacing w:val="-49"/>
        </w:rPr>
        <w:t> </w:t>
      </w:r>
      <w:r>
        <w:rPr>
          <w:rFonts w:ascii="宋体" w:hAnsi="宋体" w:cs="宋体" w:eastAsia="宋体" w:hint="default"/>
        </w:rPr>
        <w:t>6,764,055,167</w:t>
      </w:r>
      <w:r>
        <w:rPr>
          <w:rFonts w:ascii="宋体" w:hAnsi="宋体" w:cs="宋体" w:eastAsia="宋体" w:hint="default"/>
          <w:spacing w:val="-50"/>
        </w:rPr>
        <w:t> </w:t>
      </w:r>
      <w:r>
        <w:rPr>
          <w:spacing w:val="-5"/>
        </w:rPr>
        <w:t>元，股份数量为</w:t>
      </w:r>
      <w:r>
        <w:rPr>
          <w:spacing w:val="-50"/>
        </w:rPr>
        <w:t> </w:t>
      </w:r>
      <w:r>
        <w:rPr>
          <w:rFonts w:ascii="宋体" w:hAnsi="宋体" w:cs="宋体" w:eastAsia="宋体" w:hint="default"/>
        </w:rPr>
        <w:t>6,764,055,167</w:t>
      </w:r>
      <w:r>
        <w:rPr>
          <w:rFonts w:ascii="宋体" w:hAnsi="宋体" w:cs="宋体" w:eastAsia="宋体" w:hint="default"/>
          <w:w w:val="100"/>
        </w:rPr>
        <w:t> </w:t>
      </w:r>
      <w:r>
        <w:rPr/>
        <w:t>股</w:t>
      </w:r>
      <w:r>
        <w:rPr>
          <w:rFonts w:ascii="宋体" w:hAnsi="宋体" w:cs="宋体" w:eastAsia="宋体" w:hint="default"/>
        </w:rPr>
        <w:t>(</w:t>
      </w:r>
      <w:r>
        <w:rPr/>
        <w:t>每股面值人民币</w:t>
      </w:r>
      <w:r>
        <w:rPr>
          <w:spacing w:val="-56"/>
        </w:rPr>
        <w:t> </w:t>
      </w:r>
      <w:r>
        <w:rPr>
          <w:rFonts w:ascii="宋体" w:hAnsi="宋体" w:cs="宋体" w:eastAsia="宋体" w:hint="default"/>
        </w:rPr>
        <w:t>1</w:t>
      </w:r>
      <w:r>
        <w:rPr>
          <w:rFonts w:ascii="宋体" w:hAnsi="宋体" w:cs="宋体" w:eastAsia="宋体" w:hint="default"/>
          <w:spacing w:val="-54"/>
        </w:rPr>
        <w:t> </w:t>
      </w:r>
      <w:r>
        <w:rPr/>
        <w:t>元</w:t>
      </w:r>
      <w:r>
        <w:rPr>
          <w:rFonts w:ascii="宋体" w:hAnsi="宋体" w:cs="宋体" w:eastAsia="宋体" w:hint="default"/>
        </w:rPr>
        <w:t>)</w:t>
      </w:r>
      <w:r>
        <w:rPr/>
        <w:t>。公司统一社会信用代码为</w:t>
      </w:r>
      <w:r>
        <w:rPr>
          <w:spacing w:val="-54"/>
        </w:rPr>
        <w:t> </w:t>
      </w:r>
      <w:r>
        <w:rPr>
          <w:rFonts w:ascii="宋体" w:hAnsi="宋体" w:cs="宋体" w:eastAsia="宋体" w:hint="default"/>
        </w:rPr>
        <w:t>913200001380174898</w:t>
      </w:r>
      <w:r>
        <w:rPr/>
        <w:t>。</w:t>
      </w:r>
    </w:p>
    <w:p>
      <w:pPr>
        <w:pStyle w:val="BodyText"/>
        <w:spacing w:line="240" w:lineRule="auto" w:before="32"/>
        <w:ind w:left="557" w:right="0"/>
        <w:jc w:val="left"/>
      </w:pPr>
      <w:r>
        <w:rPr/>
        <w:t>本公司法定代表人：周鸿祎，本公司现注册地址：苏州工业园区澄湾路</w:t>
      </w:r>
      <w:r>
        <w:rPr>
          <w:spacing w:val="-56"/>
        </w:rPr>
        <w:t> </w:t>
      </w:r>
      <w:r>
        <w:rPr>
          <w:rFonts w:ascii="宋体" w:hAnsi="宋体" w:cs="宋体" w:eastAsia="宋体" w:hint="default"/>
        </w:rPr>
        <w:t>19</w:t>
      </w:r>
      <w:r>
        <w:rPr>
          <w:rFonts w:ascii="宋体" w:hAnsi="宋体" w:cs="宋体" w:eastAsia="宋体" w:hint="default"/>
          <w:spacing w:val="-57"/>
        </w:rPr>
        <w:t> </w:t>
      </w:r>
      <w:r>
        <w:rPr/>
        <w:t>号中新科技大厦</w:t>
      </w:r>
    </w:p>
    <w:p>
      <w:pPr>
        <w:pStyle w:val="BodyText"/>
        <w:spacing w:line="355" w:lineRule="auto" w:before="135"/>
        <w:ind w:left="557" w:right="0" w:hanging="420"/>
        <w:jc w:val="left"/>
      </w:pPr>
      <w:r>
        <w:rPr>
          <w:rFonts w:ascii="宋体" w:hAnsi="宋体" w:cs="宋体" w:eastAsia="宋体" w:hint="default"/>
        </w:rPr>
        <w:t>1107</w:t>
      </w:r>
      <w:r>
        <w:rPr>
          <w:rFonts w:ascii="宋体" w:hAnsi="宋体" w:cs="宋体" w:eastAsia="宋体" w:hint="default"/>
          <w:spacing w:val="-56"/>
        </w:rPr>
        <w:t> </w:t>
      </w:r>
      <w:r>
        <w:rPr/>
        <w:t>室，本公司主要经营地址：北京朝阳区酒仙桥路</w:t>
      </w:r>
      <w:r>
        <w:rPr>
          <w:spacing w:val="-54"/>
        </w:rPr>
        <w:t> </w:t>
      </w:r>
      <w:r>
        <w:rPr>
          <w:rFonts w:ascii="宋体" w:hAnsi="宋体" w:cs="宋体" w:eastAsia="宋体" w:hint="default"/>
        </w:rPr>
        <w:t>6</w:t>
      </w:r>
      <w:r>
        <w:rPr>
          <w:rFonts w:ascii="宋体" w:hAnsi="宋体" w:cs="宋体" w:eastAsia="宋体" w:hint="default"/>
          <w:spacing w:val="-53"/>
        </w:rPr>
        <w:t> </w:t>
      </w:r>
      <w:r>
        <w:rPr/>
        <w:t>号院</w:t>
      </w:r>
      <w:r>
        <w:rPr>
          <w:rFonts w:ascii="宋体" w:hAnsi="宋体" w:cs="宋体" w:eastAsia="宋体" w:hint="default"/>
        </w:rPr>
        <w:t>(</w:t>
      </w:r>
      <w:r>
        <w:rPr/>
        <w:t>电子城国际电子总部</w:t>
      </w:r>
      <w:r>
        <w:rPr>
          <w:rFonts w:ascii="宋体" w:hAnsi="宋体" w:cs="宋体" w:eastAsia="宋体" w:hint="default"/>
        </w:rPr>
        <w:t>)2</w:t>
      </w:r>
      <w:r>
        <w:rPr>
          <w:rFonts w:ascii="宋体" w:hAnsi="宋体" w:cs="宋体" w:eastAsia="宋体" w:hint="default"/>
          <w:spacing w:val="-53"/>
        </w:rPr>
        <w:t> </w:t>
      </w:r>
      <w:r>
        <w:rPr/>
        <w:t>号楼。</w:t>
      </w:r>
      <w:r>
        <w:rPr>
          <w:w w:val="100"/>
        </w:rPr>
        <w:t> </w:t>
      </w:r>
      <w:r>
        <w:rPr>
          <w:spacing w:val="-2"/>
        </w:rPr>
        <w:t>本公司主要经营范围为：互联网及软件相关技术咨询、技术转让、技术推广服务；研发、销</w:t>
      </w:r>
    </w:p>
    <w:p>
      <w:pPr>
        <w:pStyle w:val="BodyText"/>
        <w:spacing w:line="357" w:lineRule="auto" w:before="32"/>
        <w:ind w:left="137" w:right="118"/>
        <w:jc w:val="both"/>
      </w:pPr>
      <w:r>
        <w:rPr>
          <w:spacing w:val="-2"/>
        </w:rPr>
        <w:t>售：计算机软硬件及辅助设备；从事互联网文化活动；互联网信息服务；云计算和大数据服务；</w:t>
      </w:r>
      <w:r>
        <w:rPr>
          <w:spacing w:val="-25"/>
        </w:rPr>
        <w:t> </w:t>
      </w:r>
      <w:r>
        <w:rPr>
          <w:spacing w:val="-25"/>
        </w:rPr>
      </w:r>
      <w:r>
        <w:rPr/>
        <w:t>网络安全服务；设计、制作、推广、代理、发布国内各类广告；会议、会展服务</w:t>
      </w:r>
      <w:r>
        <w:rPr>
          <w:spacing w:val="-4"/>
        </w:rPr>
        <w:t> </w:t>
      </w:r>
      <w:r>
        <w:rPr>
          <w:rFonts w:ascii="宋体" w:hAnsi="宋体" w:cs="宋体" w:eastAsia="宋体" w:hint="default"/>
        </w:rPr>
        <w:t>(</w:t>
      </w:r>
      <w:r>
        <w:rPr/>
        <w:t>依法须经批准</w:t>
      </w:r>
      <w:r>
        <w:rPr>
          <w:w w:val="100"/>
        </w:rPr>
        <w:t> </w:t>
      </w:r>
      <w:r>
        <w:rPr/>
        <w:t>的项目，经相关部门批准后方可开展经营活动</w:t>
      </w:r>
      <w:r>
        <w:rPr>
          <w:rFonts w:ascii="宋体" w:hAnsi="宋体" w:cs="宋体" w:eastAsia="宋体" w:hint="default"/>
        </w:rPr>
        <w:t>)</w:t>
      </w:r>
      <w:r>
        <w:rPr/>
        <w:t>。</w:t>
      </w:r>
    </w:p>
    <w:p>
      <w:pPr>
        <w:pStyle w:val="BodyText"/>
        <w:spacing w:line="240" w:lineRule="auto" w:before="30"/>
        <w:ind w:left="557" w:right="0"/>
        <w:jc w:val="left"/>
      </w:pPr>
      <w:r>
        <w:rPr/>
        <w:t>本公司的合并及公司财务报表于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12</w:t>
      </w:r>
      <w:r>
        <w:rPr>
          <w:rFonts w:ascii="宋体" w:hAnsi="宋体" w:cs="宋体" w:eastAsia="宋体" w:hint="default"/>
          <w:spacing w:val="-53"/>
        </w:rPr>
        <w:t> </w:t>
      </w:r>
      <w:r>
        <w:rPr/>
        <w:t>日已经本公司董事会批准。</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5"/>
        <w:spacing w:line="240" w:lineRule="auto"/>
        <w:ind w:left="137" w:right="0"/>
        <w:jc w:val="both"/>
        <w:rPr>
          <w:b w:val="0"/>
          <w:bCs w:val="0"/>
        </w:rPr>
      </w:pPr>
      <w:r>
        <w:rPr>
          <w:rFonts w:ascii="宋体" w:hAnsi="宋体" w:cs="宋体" w:eastAsia="宋体" w:hint="default"/>
        </w:rPr>
        <w:t>2.</w:t>
      </w:r>
      <w:r>
        <w:rPr>
          <w:rFonts w:ascii="宋体" w:hAnsi="宋体" w:cs="宋体" w:eastAsia="宋体" w:hint="default"/>
          <w:spacing w:val="105"/>
        </w:rPr>
        <w:t> </w:t>
      </w:r>
      <w:r>
        <w:rPr/>
        <w:t>合并财务报表范围</w:t>
      </w:r>
      <w:r>
        <w:rPr>
          <w:b w:val="0"/>
          <w:bCs w:val="0"/>
        </w:rPr>
      </w:r>
    </w:p>
    <w:p>
      <w:pPr>
        <w:pStyle w:val="BodyText"/>
        <w:tabs>
          <w:tab w:pos="979" w:val="left" w:leader="none"/>
        </w:tabs>
        <w:spacing w:line="272" w:lineRule="exact" w:before="86"/>
        <w:ind w:left="557" w:right="118" w:hanging="420"/>
        <w:jc w:val="left"/>
      </w:pPr>
      <w:r>
        <w:rPr/>
        <w:t>√适用</w:t>
        <w:tab/>
        <w:t>□不适用</w:t>
      </w:r>
      <w:r>
        <w:rPr>
          <w:w w:val="100"/>
        </w:rPr>
        <w:t> </w:t>
      </w:r>
      <w:r>
        <w:rPr>
          <w:spacing w:val="-2"/>
        </w:rPr>
        <w:t>本公司纳入合并范围的重要子公司详见附注九“在其他主体中的权益”，合并范围变更详见</w:t>
      </w:r>
    </w:p>
    <w:p>
      <w:pPr>
        <w:pStyle w:val="BodyText"/>
        <w:spacing w:line="240" w:lineRule="auto" w:before="108"/>
        <w:ind w:left="137" w:right="0"/>
        <w:jc w:val="both"/>
      </w:pPr>
      <w:r>
        <w:rPr/>
        <w:t>附注八“合并范围的变更”。</w:t>
      </w:r>
    </w:p>
    <w:p>
      <w:pPr>
        <w:spacing w:line="240" w:lineRule="auto" w:before="12"/>
        <w:rPr>
          <w:rFonts w:ascii="宋体" w:hAnsi="宋体" w:cs="宋体" w:eastAsia="宋体" w:hint="default"/>
          <w:sz w:val="14"/>
          <w:szCs w:val="14"/>
        </w:rPr>
      </w:pPr>
    </w:p>
    <w:p>
      <w:pPr>
        <w:pStyle w:val="Heading5"/>
        <w:tabs>
          <w:tab w:pos="562" w:val="left" w:leader="none"/>
        </w:tabs>
        <w:spacing w:line="290" w:lineRule="auto"/>
        <w:ind w:left="137" w:right="6621"/>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357" w:lineRule="auto" w:before="12"/>
        <w:ind w:left="557" w:right="4741"/>
        <w:jc w:val="left"/>
      </w:pPr>
      <w:r>
        <w:rPr>
          <w:spacing w:val="-2"/>
        </w:rPr>
        <w:t>本公司财务报表以持续经营为编制基础。</w:t>
      </w:r>
      <w:r>
        <w:rPr>
          <w:spacing w:val="-69"/>
        </w:rPr>
        <w:t> </w:t>
      </w:r>
      <w:r>
        <w:rPr>
          <w:spacing w:val="-69"/>
        </w:rPr>
      </w:r>
      <w:r>
        <w:rPr>
          <w:rFonts w:ascii="宋体" w:hAnsi="宋体" w:cs="宋体" w:eastAsia="宋体" w:hint="default"/>
          <w:spacing w:val="-69"/>
        </w:rPr>
      </w:r>
      <w:r>
        <w:rPr>
          <w:rFonts w:ascii="宋体" w:hAnsi="宋体" w:cs="宋体" w:eastAsia="宋体" w:hint="default"/>
          <w:u w:val="single" w:color="000000"/>
        </w:rPr>
        <w:t>1.1</w:t>
      </w:r>
      <w:r>
        <w:rPr>
          <w:rFonts w:ascii="宋体" w:hAnsi="宋体" w:cs="宋体" w:eastAsia="宋体" w:hint="default"/>
          <w:spacing w:val="-53"/>
          <w:u w:val="single" w:color="000000"/>
        </w:rPr>
        <w:t> </w:t>
      </w:r>
      <w:r>
        <w:rPr>
          <w:u w:val="single" w:color="000000"/>
        </w:rPr>
        <w:t>编制基础</w:t>
      </w:r>
      <w:r>
        <w:rPr/>
      </w:r>
    </w:p>
    <w:p>
      <w:pPr>
        <w:pStyle w:val="BodyText"/>
        <w:spacing w:line="357" w:lineRule="auto" w:before="30"/>
        <w:ind w:left="137" w:right="0" w:firstLine="420"/>
        <w:jc w:val="left"/>
      </w:pPr>
      <w:r>
        <w:rPr>
          <w:spacing w:val="-2"/>
        </w:rPr>
        <w:t>本集团执行财政部颁布的企业会计准则及相关规定。此外，本集团还按照《公开发行证券的</w:t>
      </w:r>
      <w:r>
        <w:rPr>
          <w:w w:val="100"/>
        </w:rPr>
        <w:t> </w:t>
      </w:r>
      <w:r>
        <w:rPr/>
        <w:t>公司信息披露编报规则第</w:t>
      </w:r>
      <w:r>
        <w:rPr>
          <w:spacing w:val="-60"/>
        </w:rPr>
        <w:t> </w:t>
      </w:r>
      <w:r>
        <w:rPr>
          <w:rFonts w:ascii="宋体" w:hAnsi="宋体" w:cs="宋体" w:eastAsia="宋体" w:hint="default"/>
        </w:rPr>
        <w:t>15</w:t>
      </w:r>
      <w:r>
        <w:rPr>
          <w:rFonts w:ascii="宋体" w:hAnsi="宋体" w:cs="宋体" w:eastAsia="宋体" w:hint="default"/>
          <w:spacing w:val="-56"/>
        </w:rPr>
        <w:t> </w:t>
      </w:r>
      <w:r>
        <w:rPr/>
        <w:t>号—财务报告的一般规定</w:t>
      </w:r>
      <w:r>
        <w:rPr>
          <w:rFonts w:ascii="宋体" w:hAnsi="宋体" w:cs="宋体" w:eastAsia="宋体" w:hint="default"/>
        </w:rPr>
        <w:t>(2014</w:t>
      </w:r>
      <w:r>
        <w:rPr>
          <w:rFonts w:ascii="宋体" w:hAnsi="宋体" w:cs="宋体" w:eastAsia="宋体" w:hint="default"/>
          <w:spacing w:val="-56"/>
        </w:rPr>
        <w:t> </w:t>
      </w:r>
      <w:r>
        <w:rPr/>
        <w:t>年修订</w:t>
      </w:r>
      <w:r>
        <w:rPr>
          <w:rFonts w:ascii="宋体" w:hAnsi="宋体" w:cs="宋体" w:eastAsia="宋体" w:hint="default"/>
        </w:rPr>
        <w:t>)</w:t>
      </w:r>
      <w:r>
        <w:rPr/>
        <w:t>》披露有关财务信息。</w:t>
      </w:r>
    </w:p>
    <w:p>
      <w:pPr>
        <w:spacing w:after="0" w:line="357" w:lineRule="auto"/>
        <w:jc w:val="left"/>
        <w:sectPr>
          <w:pgSz w:w="11910" w:h="16840"/>
          <w:pgMar w:header="857" w:footer="1217" w:top="1320" w:bottom="1400" w:left="1140" w:right="1680"/>
        </w:sectPr>
      </w:pPr>
    </w:p>
    <w:p>
      <w:pPr>
        <w:pStyle w:val="BodyText"/>
        <w:spacing w:line="355" w:lineRule="auto" w:before="72"/>
        <w:ind w:left="137" w:right="108" w:firstLine="420"/>
        <w:jc w:val="both"/>
      </w:pPr>
      <w:r>
        <w:rPr/>
        <w:t>根据财政部《关于做好执行会计准则</w:t>
      </w:r>
      <w:r>
        <w:rPr>
          <w:spacing w:val="-56"/>
        </w:rPr>
        <w:t> </w:t>
      </w:r>
      <w:r>
        <w:rPr>
          <w:rFonts w:ascii="宋体" w:hAnsi="宋体" w:cs="宋体" w:eastAsia="宋体" w:hint="default"/>
        </w:rPr>
        <w:t>2008</w:t>
      </w:r>
      <w:r>
        <w:rPr>
          <w:rFonts w:ascii="宋体" w:hAnsi="宋体" w:cs="宋体" w:eastAsia="宋体" w:hint="default"/>
          <w:spacing w:val="-56"/>
        </w:rPr>
        <w:t> </w:t>
      </w:r>
      <w:r>
        <w:rPr/>
        <w:t>年年报工作的通知》</w:t>
      </w:r>
      <w:r>
        <w:rPr>
          <w:rFonts w:ascii="宋体" w:hAnsi="宋体" w:cs="宋体" w:eastAsia="宋体" w:hint="default"/>
        </w:rPr>
        <w:t>(</w:t>
      </w:r>
      <w:r>
        <w:rPr/>
        <w:t>财会函</w:t>
      </w:r>
      <w:r>
        <w:rPr>
          <w:rFonts w:ascii="宋体" w:hAnsi="宋体" w:cs="宋体" w:eastAsia="宋体" w:hint="default"/>
        </w:rPr>
        <w:t>[2008]60</w:t>
      </w:r>
      <w:r>
        <w:rPr>
          <w:rFonts w:ascii="宋体" w:hAnsi="宋体" w:cs="宋体" w:eastAsia="宋体" w:hint="default"/>
          <w:spacing w:val="-55"/>
        </w:rPr>
        <w:t> </w:t>
      </w:r>
      <w:r>
        <w:rPr/>
        <w:t>号</w:t>
      </w:r>
      <w:r>
        <w:rPr>
          <w:rFonts w:ascii="宋体" w:hAnsi="宋体" w:cs="宋体" w:eastAsia="宋体" w:hint="default"/>
        </w:rPr>
        <w:t>)</w:t>
      </w:r>
      <w:r>
        <w:rPr/>
        <w:t>及财政</w:t>
      </w:r>
      <w:r>
        <w:rPr>
          <w:w w:val="100"/>
        </w:rPr>
        <w:t> </w:t>
      </w:r>
      <w:r>
        <w:rPr>
          <w:spacing w:val="-3"/>
        </w:rPr>
        <w:t>部《关于非上市公司购买上市公司股权实现间接上市会计处理的复函》</w:t>
      </w:r>
      <w:r>
        <w:rPr>
          <w:rFonts w:ascii="宋体" w:hAnsi="宋体" w:cs="宋体" w:eastAsia="宋体" w:hint="default"/>
          <w:spacing w:val="-3"/>
        </w:rPr>
        <w:t>(</w:t>
      </w:r>
      <w:r>
        <w:rPr>
          <w:spacing w:val="-3"/>
        </w:rPr>
        <w:t>财会便</w:t>
      </w:r>
      <w:r>
        <w:rPr>
          <w:rFonts w:ascii="宋体" w:hAnsi="宋体" w:cs="宋体" w:eastAsia="宋体" w:hint="default"/>
          <w:spacing w:val="-3"/>
        </w:rPr>
        <w:t>[2009]17 </w:t>
      </w:r>
      <w:r>
        <w:rPr/>
        <w:t>号</w:t>
      </w:r>
      <w:r>
        <w:rPr>
          <w:rFonts w:ascii="宋体" w:hAnsi="宋体" w:cs="宋体" w:eastAsia="宋体" w:hint="default"/>
        </w:rPr>
        <w:t>)</w:t>
      </w:r>
      <w:r>
        <w:rPr/>
        <w:t>的规</w:t>
      </w:r>
      <w:r>
        <w:rPr>
          <w:spacing w:val="-75"/>
        </w:rPr>
        <w:t> </w:t>
      </w:r>
      <w:r>
        <w:rPr/>
        <w:t>定，由于原江南嘉捷本次重大资产重组前以</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5"/>
        </w:rPr>
        <w:t> </w:t>
      </w:r>
      <w:r>
        <w:rPr/>
        <w:t>日为基准日将拟置出资产划转至嘉捷</w:t>
      </w:r>
    </w:p>
    <w:p>
      <w:pPr>
        <w:pStyle w:val="BodyText"/>
        <w:spacing w:line="355" w:lineRule="auto" w:before="34"/>
        <w:ind w:left="137" w:right="108"/>
        <w:jc w:val="both"/>
      </w:pPr>
      <w:r>
        <w:rPr/>
        <w:t>机电科技，并转移了对拟置出资产的控制权，截止</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日，上市公司仅持有了货币资</w:t>
      </w:r>
      <w:r>
        <w:rPr>
          <w:w w:val="100"/>
        </w:rPr>
        <w:t> </w:t>
      </w:r>
      <w:r>
        <w:rPr>
          <w:spacing w:val="-4"/>
        </w:rPr>
        <w:t>金等不构成业务的资产或负债，因此属于不构成业务的反向购买</w:t>
      </w:r>
      <w:r>
        <w:rPr>
          <w:rFonts w:ascii="宋体" w:hAnsi="宋体" w:cs="宋体" w:eastAsia="宋体" w:hint="default"/>
          <w:spacing w:val="-4"/>
        </w:rPr>
        <w:t>(</w:t>
      </w:r>
      <w:r>
        <w:rPr>
          <w:spacing w:val="-4"/>
        </w:rPr>
        <w:t>具体情况详见附注八、</w:t>
      </w:r>
      <w:r>
        <w:rPr>
          <w:rFonts w:ascii="宋体" w:hAnsi="宋体" w:cs="宋体" w:eastAsia="宋体" w:hint="default"/>
          <w:spacing w:val="-4"/>
        </w:rPr>
        <w:t>3)</w:t>
      </w:r>
      <w:r>
        <w:rPr>
          <w:spacing w:val="-4"/>
        </w:rPr>
        <w:t>，按照</w:t>
      </w:r>
      <w:r>
        <w:rPr>
          <w:spacing w:val="-30"/>
        </w:rPr>
        <w:t> </w:t>
      </w:r>
      <w:r>
        <w:rPr>
          <w:spacing w:val="-30"/>
        </w:rPr>
      </w:r>
      <w:r>
        <w:rPr/>
        <w:t>权益性交易的原则进行处理。因此，本公司按以下原则编制本报告期的合并财务报表：</w:t>
      </w:r>
    </w:p>
    <w:p>
      <w:pPr>
        <w:pStyle w:val="BodyText"/>
        <w:spacing w:line="357" w:lineRule="auto" w:before="32"/>
        <w:ind w:left="137" w:right="123" w:firstLine="420"/>
        <w:jc w:val="both"/>
      </w:pPr>
      <w:r>
        <w:rPr>
          <w:rFonts w:ascii="宋体" w:hAnsi="宋体" w:cs="宋体" w:eastAsia="宋体" w:hint="default"/>
        </w:rPr>
        <w:t>(a)</w:t>
      </w:r>
      <w:r>
        <w:rPr>
          <w:rFonts w:ascii="宋体" w:hAnsi="宋体" w:cs="宋体" w:eastAsia="宋体" w:hint="default"/>
          <w:spacing w:val="-8"/>
        </w:rPr>
        <w:t> </w:t>
      </w:r>
      <w:r>
        <w:rPr/>
        <w:t>本集团合并财务报表，是会计上的购买方</w:t>
      </w:r>
      <w:r>
        <w:rPr>
          <w:rFonts w:ascii="宋体" w:hAnsi="宋体" w:cs="宋体" w:eastAsia="宋体" w:hint="default"/>
        </w:rPr>
        <w:t>(</w:t>
      </w:r>
      <w:r>
        <w:rPr/>
        <w:t>法律上的子公司</w:t>
      </w:r>
      <w:r>
        <w:rPr>
          <w:rFonts w:ascii="宋体" w:hAnsi="宋体" w:cs="宋体" w:eastAsia="宋体" w:hint="default"/>
        </w:rPr>
        <w:t>)</w:t>
      </w:r>
      <w:r>
        <w:rPr/>
        <w:t>，即三六零科技的合并财务</w:t>
      </w:r>
      <w:r>
        <w:rPr>
          <w:w w:val="100"/>
        </w:rPr>
        <w:t> </w:t>
      </w:r>
      <w:r>
        <w:rPr/>
        <w:t>报表的延续，有关可辨认资产、负债以其在本次重组前的账面价值进行确认和计量。</w:t>
      </w:r>
    </w:p>
    <w:p>
      <w:pPr>
        <w:pStyle w:val="BodyText"/>
        <w:spacing w:line="355" w:lineRule="auto" w:before="31"/>
        <w:ind w:left="137" w:right="118" w:firstLine="420"/>
        <w:jc w:val="both"/>
      </w:pPr>
      <w:r>
        <w:rPr>
          <w:rFonts w:ascii="宋体" w:hAnsi="宋体" w:cs="宋体" w:eastAsia="宋体" w:hint="default"/>
        </w:rPr>
        <w:t>(b)</w:t>
      </w:r>
      <w:r>
        <w:rPr>
          <w:rFonts w:ascii="宋体" w:hAnsi="宋体" w:cs="宋体" w:eastAsia="宋体" w:hint="default"/>
          <w:spacing w:val="-7"/>
        </w:rPr>
        <w:t> </w:t>
      </w:r>
      <w:r>
        <w:rPr/>
        <w:t>本公司</w:t>
      </w:r>
      <w:r>
        <w:rPr>
          <w:rFonts w:ascii="宋体" w:hAnsi="宋体" w:cs="宋体" w:eastAsia="宋体" w:hint="default"/>
        </w:rPr>
        <w:t>(</w:t>
      </w:r>
      <w:r>
        <w:rPr/>
        <w:t>法律上的母公司，即会计上的被购买方</w:t>
      </w:r>
      <w:r>
        <w:rPr>
          <w:rFonts w:ascii="宋体" w:hAnsi="宋体" w:cs="宋体" w:eastAsia="宋体" w:hint="default"/>
        </w:rPr>
        <w:t>)</w:t>
      </w:r>
      <w:r>
        <w:rPr/>
        <w:t>在资产出售、置换完成后保留的各项可</w:t>
      </w:r>
      <w:r>
        <w:rPr>
          <w:w w:val="100"/>
        </w:rPr>
        <w:t> </w:t>
      </w:r>
      <w:r>
        <w:rPr>
          <w:spacing w:val="-2"/>
        </w:rPr>
        <w:t>辨认资产、负债，按照重组日的公允价值(“可辨认净资产公允价值”)进行确认和计量，企业合</w:t>
      </w:r>
      <w:r>
        <w:rPr>
          <w:spacing w:val="-29"/>
        </w:rPr>
        <w:t> </w:t>
      </w:r>
      <w:r>
        <w:rPr>
          <w:spacing w:val="-29"/>
        </w:rPr>
      </w:r>
      <w:r>
        <w:rPr>
          <w:spacing w:val="-2"/>
        </w:rPr>
        <w:t>并成本与本公司可辨认净资产公允价值之间的差额调整本合并财务报表中的资本公积，不确认商</w:t>
      </w:r>
      <w:r>
        <w:rPr>
          <w:spacing w:val="-25"/>
        </w:rPr>
        <w:t> </w:t>
      </w:r>
      <w:r>
        <w:rPr>
          <w:spacing w:val="-25"/>
        </w:rPr>
      </w:r>
      <w:r>
        <w:rPr/>
        <w:t>誉或计入当期损益。</w:t>
      </w:r>
    </w:p>
    <w:p>
      <w:pPr>
        <w:pStyle w:val="BodyText"/>
        <w:spacing w:line="355" w:lineRule="auto" w:before="34"/>
        <w:ind w:left="137" w:right="118" w:firstLine="420"/>
        <w:jc w:val="both"/>
      </w:pPr>
      <w:r>
        <w:rPr>
          <w:rFonts w:ascii="宋体" w:hAnsi="宋体" w:cs="宋体" w:eastAsia="宋体" w:hint="default"/>
        </w:rPr>
        <w:t>(c)</w:t>
      </w:r>
      <w:r>
        <w:rPr>
          <w:rFonts w:ascii="宋体" w:hAnsi="宋体" w:cs="宋体" w:eastAsia="宋体" w:hint="default"/>
          <w:spacing w:val="-3"/>
        </w:rPr>
        <w:t> </w:t>
      </w:r>
      <w:r>
        <w:rPr/>
        <w:t>本集团合并财务报表中的年初及比较期间的股本，按照本次重组过程中为购买三六零科</w:t>
      </w:r>
      <w:r>
        <w:rPr>
          <w:w w:val="100"/>
        </w:rPr>
        <w:t> </w:t>
      </w:r>
      <w:r>
        <w:rPr/>
        <w:t>技而发行股份进行重述，其与三六零科技财务报表中股本的差额，调整资本公积。</w:t>
      </w:r>
    </w:p>
    <w:p>
      <w:pPr>
        <w:pStyle w:val="BodyText"/>
        <w:spacing w:line="355" w:lineRule="auto" w:before="32"/>
        <w:ind w:left="137" w:right="108" w:firstLine="420"/>
        <w:jc w:val="both"/>
      </w:pPr>
      <w:r>
        <w:rPr>
          <w:rFonts w:ascii="宋体" w:hAnsi="宋体" w:cs="宋体" w:eastAsia="宋体" w:hint="default"/>
          <w:w w:val="100"/>
        </w:rPr>
        <w:t>(d)</w:t>
      </w:r>
      <w:r>
        <w:rPr>
          <w:rFonts w:ascii="宋体" w:hAnsi="宋体" w:cs="宋体" w:eastAsia="宋体" w:hint="default"/>
          <w:spacing w:val="8"/>
          <w:w w:val="100"/>
        </w:rPr>
        <w:t> </w:t>
      </w:r>
      <w:r>
        <w:rPr>
          <w:spacing w:val="-4"/>
          <w:w w:val="100"/>
        </w:rPr>
        <w:t>除股本和资本公积按上述</w:t>
      </w:r>
      <w:r>
        <w:rPr>
          <w:rFonts w:ascii="宋体" w:hAnsi="宋体" w:cs="宋体" w:eastAsia="宋体" w:hint="default"/>
          <w:spacing w:val="-4"/>
          <w:w w:val="100"/>
        </w:rPr>
        <w:t>(c)</w:t>
      </w:r>
      <w:r>
        <w:rPr>
          <w:spacing w:val="-4"/>
          <w:w w:val="100"/>
        </w:rPr>
        <w:t>项处理进行了调整外，本集团合并财务报表比较信息是三六</w:t>
      </w:r>
      <w:r>
        <w:rPr>
          <w:w w:val="100"/>
        </w:rPr>
        <w:t> </w:t>
      </w:r>
      <w:r>
        <w:rPr/>
        <w:t>零科技及其子公司的比较信息，本公司财务报表以其历史账面价值确认和计量。</w:t>
      </w:r>
    </w:p>
    <w:p>
      <w:pPr>
        <w:pStyle w:val="BodyText"/>
        <w:spacing w:line="357" w:lineRule="auto" w:before="32"/>
        <w:ind w:left="557" w:right="0"/>
        <w:jc w:val="left"/>
      </w:pPr>
      <w:r>
        <w:rPr>
          <w:rFonts w:ascii="宋体" w:hAnsi="宋体" w:cs="宋体" w:eastAsia="宋体" w:hint="default"/>
          <w:w w:val="100"/>
        </w:rPr>
      </w:r>
      <w:r>
        <w:rPr>
          <w:rFonts w:ascii="宋体" w:hAnsi="宋体" w:cs="宋体" w:eastAsia="宋体" w:hint="default"/>
          <w:u w:val="single" w:color="000000"/>
        </w:rPr>
        <w:t>1.2</w:t>
      </w:r>
      <w:r>
        <w:rPr>
          <w:rFonts w:ascii="宋体" w:hAnsi="宋体" w:cs="宋体" w:eastAsia="宋体" w:hint="default"/>
          <w:spacing w:val="-53"/>
          <w:u w:val="single" w:color="000000"/>
        </w:rPr>
        <w:t> </w:t>
      </w:r>
      <w:r>
        <w:rPr>
          <w:u w:val="single" w:color="000000"/>
        </w:rPr>
        <w:t>记账基础和计价原则</w:t>
      </w:r>
      <w:r>
        <w:rPr>
          <w:w w:val="100"/>
        </w:rPr>
      </w:r>
      <w:r>
        <w:rPr>
          <w:w w:val="100"/>
        </w:rPr>
        <w:t> </w:t>
      </w:r>
      <w:r>
        <w:rPr>
          <w:spacing w:val="-2"/>
        </w:rPr>
        <w:t>本集团会计核算以权责发生制为记账基础。除某些金融工具以公允价值计量外，本财务报表</w:t>
      </w:r>
    </w:p>
    <w:p>
      <w:pPr>
        <w:pStyle w:val="BodyText"/>
        <w:spacing w:line="355" w:lineRule="auto" w:before="30"/>
        <w:ind w:left="557" w:right="0" w:hanging="420"/>
        <w:jc w:val="left"/>
      </w:pPr>
      <w:r>
        <w:rPr/>
        <w:t>以历史成本作为计量基础。资产如果发生减值，则按照相关规定计提相应的减值准备。</w:t>
      </w:r>
      <w:r>
        <w:rPr>
          <w:w w:val="100"/>
        </w:rPr>
        <w:t> </w:t>
      </w:r>
      <w:r>
        <w:rPr>
          <w:spacing w:val="-2"/>
        </w:rPr>
        <w:t>在历史成本计量下，资产按照购置时支付的现金或者现金等价物的金额或者所付出的对价的</w:t>
      </w:r>
    </w:p>
    <w:p>
      <w:pPr>
        <w:pStyle w:val="BodyText"/>
        <w:spacing w:line="357" w:lineRule="auto" w:before="32"/>
        <w:ind w:left="0" w:right="118"/>
        <w:jc w:val="right"/>
      </w:pPr>
      <w:r>
        <w:rPr>
          <w:spacing w:val="-2"/>
        </w:rPr>
        <w:t>公允价值计量。负债按照因承担现时义务而实际收到的款项或者资产的金额，或者承担现时义务</w:t>
      </w:r>
      <w:r>
        <w:rPr>
          <w:spacing w:val="-43"/>
        </w:rPr>
        <w:t> </w:t>
      </w:r>
      <w:r>
        <w:rPr>
          <w:spacing w:val="-43"/>
        </w:rPr>
      </w:r>
      <w:r>
        <w:rPr>
          <w:spacing w:val="-2"/>
        </w:rPr>
        <w:t>的合同金额，或者按照日常活动中为偿还负债预期需要支付的现金或者现金等价物的金额计量。</w:t>
      </w:r>
      <w:r>
        <w:rPr>
          <w:spacing w:val="-43"/>
        </w:rPr>
        <w:t> </w:t>
      </w:r>
      <w:r>
        <w:rPr>
          <w:spacing w:val="-43"/>
        </w:rPr>
      </w:r>
      <w:r>
        <w:rPr>
          <w:spacing w:val="-2"/>
        </w:rPr>
        <w:t>公允价值是市场参与者在计量日发生的有序交易中，出售一项资产所能收到或者转移一项负</w:t>
      </w:r>
      <w:r>
        <w:rPr>
          <w:w w:val="100"/>
        </w:rPr>
        <w:t> </w:t>
      </w:r>
      <w:r>
        <w:rPr>
          <w:spacing w:val="-2"/>
        </w:rPr>
        <w:t>债所需支付的价格。无论公允价值是可观察到的还是估值技术估计的，本财务报表中计量和披露</w:t>
      </w:r>
    </w:p>
    <w:p>
      <w:pPr>
        <w:pStyle w:val="BodyText"/>
        <w:spacing w:line="355" w:lineRule="auto" w:before="31"/>
        <w:ind w:left="557" w:right="0" w:hanging="420"/>
        <w:jc w:val="left"/>
      </w:pPr>
      <w:r>
        <w:rPr/>
        <w:t>的公允价值均在此基础上予以确定。</w:t>
      </w:r>
      <w:r>
        <w:rPr>
          <w:w w:val="100"/>
        </w:rPr>
        <w:t> </w:t>
      </w:r>
      <w:r>
        <w:rPr>
          <w:spacing w:val="-2"/>
        </w:rPr>
        <w:t>对于以交易对价作为初始确认时的公允价值，且在公允价值后续计量中使用了涉及不可观察</w:t>
      </w:r>
    </w:p>
    <w:p>
      <w:pPr>
        <w:pStyle w:val="BodyText"/>
        <w:spacing w:line="355" w:lineRule="auto" w:before="34"/>
        <w:ind w:left="137" w:right="118"/>
        <w:jc w:val="both"/>
      </w:pPr>
      <w:r>
        <w:rPr>
          <w:spacing w:val="-2"/>
        </w:rPr>
        <w:t>输入值的估值技术的金融资产，在估值过程中校正该估值技术，以使估值技术确定的初始确认结</w:t>
      </w:r>
      <w:r>
        <w:rPr>
          <w:spacing w:val="-25"/>
        </w:rPr>
        <w:t> </w:t>
      </w:r>
      <w:r>
        <w:rPr>
          <w:spacing w:val="-25"/>
        </w:rPr>
      </w:r>
      <w:r>
        <w:rPr/>
        <w:t>果与交易价格相等。</w:t>
      </w:r>
    </w:p>
    <w:p>
      <w:pPr>
        <w:pStyle w:val="BodyText"/>
        <w:spacing w:line="355" w:lineRule="auto" w:before="32"/>
        <w:ind w:left="137" w:right="118" w:firstLine="420"/>
        <w:jc w:val="both"/>
      </w:pPr>
      <w:r>
        <w:rPr>
          <w:spacing w:val="-2"/>
        </w:rPr>
        <w:t>公允价值计量基于公允价值的输入值的可观察程度以及该等输入值对公允价值计量整体的重</w:t>
      </w:r>
      <w:r>
        <w:rPr>
          <w:w w:val="100"/>
        </w:rPr>
        <w:t> </w:t>
      </w:r>
      <w:r>
        <w:rPr/>
        <w:t>要性，被划分为三个层次：</w:t>
      </w:r>
    </w:p>
    <w:p>
      <w:pPr>
        <w:pStyle w:val="BodyText"/>
        <w:tabs>
          <w:tab w:pos="977" w:val="left" w:leader="none"/>
        </w:tabs>
        <w:spacing w:line="240" w:lineRule="auto" w:before="32"/>
        <w:ind w:left="557" w:right="0"/>
        <w:jc w:val="left"/>
      </w:pPr>
      <w:r>
        <w:rPr/>
        <w:t>•</w:t>
        <w:tab/>
        <w:t>第一层次输入值是在计量日能够取得的相同资产或负债在活跃市场上未经调整的报价。</w:t>
      </w:r>
    </w:p>
    <w:p>
      <w:pPr>
        <w:pStyle w:val="BodyText"/>
        <w:tabs>
          <w:tab w:pos="977" w:val="left" w:leader="none"/>
        </w:tabs>
        <w:spacing w:line="240" w:lineRule="auto" w:before="135"/>
        <w:ind w:left="557" w:right="0"/>
        <w:jc w:val="left"/>
      </w:pPr>
      <w:r>
        <w:rPr/>
        <w:t>•</w:t>
        <w:tab/>
        <w:t>第二层次输入值是除第一层次输入值外相关资产或负债直接或间接可观察的输入值。</w:t>
      </w:r>
    </w:p>
    <w:p>
      <w:pPr>
        <w:pStyle w:val="BodyText"/>
        <w:tabs>
          <w:tab w:pos="977" w:val="left" w:leader="none"/>
        </w:tabs>
        <w:spacing w:line="240" w:lineRule="auto" w:before="133"/>
        <w:ind w:left="557" w:right="0"/>
        <w:jc w:val="left"/>
      </w:pPr>
      <w:r>
        <w:rPr/>
        <w:t>•</w:t>
        <w:tab/>
        <w:t>第三层次输入值是相关资产或负债的不可观察输入值。</w:t>
      </w:r>
    </w:p>
    <w:p>
      <w:pPr>
        <w:spacing w:after="0" w:line="240" w:lineRule="auto"/>
        <w:jc w:val="left"/>
        <w:sectPr>
          <w:pgSz w:w="11910" w:h="16840"/>
          <w:pgMar w:header="857" w:footer="1217" w:top="1320" w:bottom="1400" w:left="1140" w:right="1680"/>
        </w:sectPr>
      </w:pPr>
    </w:p>
    <w:p>
      <w:pPr>
        <w:pStyle w:val="Heading5"/>
        <w:tabs>
          <w:tab w:pos="562" w:val="left" w:leader="none"/>
        </w:tabs>
        <w:spacing w:line="240" w:lineRule="auto" w:before="72"/>
        <w:ind w:left="137" w:right="0"/>
        <w:jc w:val="left"/>
        <w:rPr>
          <w:b w:val="0"/>
          <w:bCs w:val="0"/>
        </w:rPr>
      </w:pPr>
      <w:r>
        <w:rPr>
          <w:rFonts w:ascii="宋体" w:hAnsi="宋体" w:cs="宋体" w:eastAsia="宋体" w:hint="default"/>
          <w:w w:val="95"/>
        </w:rPr>
        <w:t>2.</w:t>
        <w:tab/>
      </w:r>
      <w:r>
        <w:rPr/>
        <w:t>持续经营</w:t>
      </w:r>
      <w:r>
        <w:rPr>
          <w:b w:val="0"/>
          <w:bCs w:val="0"/>
        </w:rPr>
      </w:r>
    </w:p>
    <w:p>
      <w:pPr>
        <w:pStyle w:val="BodyText"/>
        <w:tabs>
          <w:tab w:pos="979" w:val="left" w:leader="none"/>
        </w:tabs>
        <w:spacing w:line="274" w:lineRule="exact" w:before="56"/>
        <w:ind w:left="137" w:right="0"/>
        <w:jc w:val="left"/>
      </w:pPr>
      <w:r>
        <w:rPr/>
        <w:t>√适用</w:t>
        <w:tab/>
        <w:t>□不适用</w:t>
      </w:r>
    </w:p>
    <w:p>
      <w:pPr>
        <w:pStyle w:val="BodyText"/>
        <w:spacing w:line="355" w:lineRule="auto"/>
        <w:ind w:left="137" w:right="220" w:firstLine="420"/>
        <w:jc w:val="left"/>
      </w:pPr>
      <w:r>
        <w:rPr/>
        <w:t>本集团对自</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日起</w:t>
      </w:r>
      <w:r>
        <w:rPr>
          <w:spacing w:val="-53"/>
        </w:rPr>
        <w:t> </w:t>
      </w:r>
      <w:r>
        <w:rPr>
          <w:rFonts w:ascii="宋体" w:hAnsi="宋体" w:cs="宋体" w:eastAsia="宋体" w:hint="default"/>
        </w:rPr>
        <w:t>12</w:t>
      </w:r>
      <w:r>
        <w:rPr>
          <w:rFonts w:ascii="宋体" w:hAnsi="宋体" w:cs="宋体" w:eastAsia="宋体" w:hint="default"/>
          <w:spacing w:val="-55"/>
        </w:rPr>
        <w:t> </w:t>
      </w:r>
      <w:r>
        <w:rPr/>
        <w:t>个月的持续经营能力进行了评价，未发现对持续经营能</w:t>
      </w:r>
      <w:r>
        <w:rPr>
          <w:w w:val="100"/>
        </w:rPr>
        <w:t> </w:t>
      </w:r>
      <w:r>
        <w:rPr/>
        <w:t>力产生重大怀疑的事项和情况。因此，本财务报表系在持续经营假设的基础上编制。</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line="290" w:lineRule="auto" w:before="0"/>
        <w:ind w:left="137" w:right="5211"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具体会计政策和会计估计提示：</w:t>
      </w:r>
    </w:p>
    <w:p>
      <w:pPr>
        <w:pStyle w:val="BodyText"/>
        <w:spacing w:line="228" w:lineRule="exact"/>
        <w:ind w:left="137" w:right="0"/>
        <w:jc w:val="left"/>
      </w:pPr>
      <w:r>
        <w:rPr/>
        <w:t>√适用 □不适用</w:t>
      </w:r>
    </w:p>
    <w:p>
      <w:pPr>
        <w:pStyle w:val="BodyText"/>
        <w:spacing w:line="237" w:lineRule="auto"/>
        <w:ind w:left="137" w:right="0" w:firstLine="480"/>
        <w:jc w:val="left"/>
      </w:pPr>
      <w:r>
        <w:rPr>
          <w:spacing w:val="-3"/>
        </w:rPr>
        <w:t>本公司根据实际生产经营特点，依据相关企业会计准则的规定，对应收款项坏账准备、收入</w:t>
      </w:r>
      <w:r>
        <w:rPr>
          <w:w w:val="100"/>
        </w:rPr>
        <w:t> </w:t>
      </w:r>
      <w:r>
        <w:rPr/>
        <w:t>确认等交易和事项制定了若干项具体会计政策和会计估计，详见本附注五、</w:t>
      </w:r>
      <w:r>
        <w:rPr>
          <w:rFonts w:ascii="宋体" w:hAnsi="宋体" w:cs="宋体" w:eastAsia="宋体" w:hint="default"/>
        </w:rPr>
        <w:t>11</w:t>
      </w:r>
      <w:r>
        <w:rPr>
          <w:rFonts w:ascii="宋体" w:hAnsi="宋体" w:cs="宋体" w:eastAsia="宋体" w:hint="default"/>
          <w:spacing w:val="-4"/>
        </w:rPr>
        <w:t> </w:t>
      </w:r>
      <w:r>
        <w:rPr/>
        <w:t>“应收款项”、</w:t>
      </w:r>
      <w:r>
        <w:rPr>
          <w:w w:val="100"/>
        </w:rPr>
        <w:t> </w:t>
      </w:r>
      <w:r>
        <w:rPr/>
        <w:t>28“收入”等各项描述。</w:t>
      </w:r>
    </w:p>
    <w:p>
      <w:pPr>
        <w:spacing w:line="240" w:lineRule="auto" w:before="2"/>
        <w:rPr>
          <w:rFonts w:ascii="宋体" w:hAnsi="宋体" w:cs="宋体" w:eastAsia="宋体" w:hint="default"/>
          <w:sz w:val="28"/>
          <w:szCs w:val="28"/>
        </w:rPr>
      </w:pPr>
    </w:p>
    <w:p>
      <w:pPr>
        <w:pStyle w:val="Heading5"/>
        <w:tabs>
          <w:tab w:pos="562" w:val="left" w:leader="none"/>
        </w:tabs>
        <w:spacing w:line="240" w:lineRule="auto"/>
        <w:ind w:left="137" w:right="0"/>
        <w:jc w:val="left"/>
        <w:rPr>
          <w:b w:val="0"/>
          <w:bCs w:val="0"/>
        </w:rPr>
      </w:pPr>
      <w:r>
        <w:rPr>
          <w:rFonts w:ascii="宋体" w:hAnsi="宋体" w:cs="宋体" w:eastAsia="宋体" w:hint="default"/>
          <w:w w:val="95"/>
        </w:rPr>
        <w:t>1.</w:t>
        <w:tab/>
      </w:r>
      <w:r>
        <w:rPr/>
        <w:t>遵循企业会计准则的声明</w:t>
      </w:r>
      <w:r>
        <w:rPr>
          <w:b w:val="0"/>
          <w:bCs w:val="0"/>
        </w:rPr>
      </w:r>
    </w:p>
    <w:p>
      <w:pPr>
        <w:pStyle w:val="BodyText"/>
        <w:spacing w:line="273" w:lineRule="exact" w:before="58"/>
        <w:ind w:left="617" w:right="0"/>
        <w:jc w:val="left"/>
        <w:rPr>
          <w:rFonts w:ascii="宋体" w:hAnsi="宋体" w:cs="宋体" w:eastAsia="宋体" w:hint="default"/>
        </w:rPr>
      </w:pPr>
      <w:r>
        <w:rPr/>
        <w:t>本公司编制的财务报表符合企业会计准则的要求，真实、完整地反映了本公司于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p>
    <w:p>
      <w:pPr>
        <w:pStyle w:val="BodyText"/>
        <w:spacing w:line="273" w:lineRule="exact"/>
        <w:ind w:left="137" w:right="0"/>
        <w:jc w:val="left"/>
      </w:pPr>
      <w:r>
        <w:rPr/>
        <w:t>月</w:t>
      </w:r>
      <w:r>
        <w:rPr>
          <w:spacing w:val="-54"/>
        </w:rPr>
        <w:t> </w:t>
      </w:r>
      <w:r>
        <w:rPr>
          <w:rFonts w:ascii="宋体" w:hAnsi="宋体" w:cs="宋体" w:eastAsia="宋体" w:hint="default"/>
        </w:rPr>
        <w:t>31</w:t>
      </w:r>
      <w:r>
        <w:rPr>
          <w:rFonts w:ascii="宋体" w:hAnsi="宋体" w:cs="宋体" w:eastAsia="宋体" w:hint="default"/>
          <w:spacing w:val="-56"/>
        </w:rPr>
        <w:t> </w:t>
      </w:r>
      <w:r>
        <w:rPr/>
        <w:t>日的合并及公司财务状况以及</w:t>
      </w:r>
      <w:r>
        <w:rPr>
          <w:spacing w:val="-54"/>
        </w:rPr>
        <w:t> </w:t>
      </w:r>
      <w:r>
        <w:rPr>
          <w:rFonts w:ascii="宋体" w:hAnsi="宋体" w:cs="宋体" w:eastAsia="宋体" w:hint="default"/>
        </w:rPr>
        <w:t>2018</w:t>
      </w:r>
      <w:r>
        <w:rPr>
          <w:rFonts w:ascii="宋体" w:hAnsi="宋体" w:cs="宋体" w:eastAsia="宋体" w:hint="default"/>
          <w:spacing w:val="-56"/>
        </w:rPr>
        <w:t> </w:t>
      </w:r>
      <w:r>
        <w:rPr/>
        <w:t>年度的合并及公司经营成果和合并及公司现金流量。</w:t>
      </w:r>
    </w:p>
    <w:p>
      <w:pPr>
        <w:spacing w:line="240" w:lineRule="auto" w:before="4"/>
        <w:rPr>
          <w:rFonts w:ascii="宋体" w:hAnsi="宋体" w:cs="宋体" w:eastAsia="宋体" w:hint="default"/>
          <w:sz w:val="28"/>
          <w:szCs w:val="28"/>
        </w:rPr>
      </w:pPr>
    </w:p>
    <w:p>
      <w:pPr>
        <w:pStyle w:val="Heading5"/>
        <w:tabs>
          <w:tab w:pos="562" w:val="left" w:leader="none"/>
        </w:tabs>
        <w:spacing w:line="240" w:lineRule="auto"/>
        <w:ind w:left="137" w:right="0"/>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6"/>
        <w:ind w:left="137" w:right="0"/>
        <w:jc w:val="left"/>
      </w:pPr>
      <w:r>
        <w:rPr/>
        <w:t>本公司会计年度自公历</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2"/>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2"/>
        <w:rPr>
          <w:rFonts w:ascii="宋体" w:hAnsi="宋体" w:cs="宋体" w:eastAsia="宋体" w:hint="default"/>
          <w:sz w:val="28"/>
          <w:szCs w:val="28"/>
        </w:rPr>
      </w:pPr>
    </w:p>
    <w:p>
      <w:pPr>
        <w:pStyle w:val="Heading5"/>
        <w:tabs>
          <w:tab w:pos="562" w:val="left" w:leader="none"/>
        </w:tabs>
        <w:spacing w:line="240" w:lineRule="auto"/>
        <w:ind w:left="137" w:right="0"/>
        <w:jc w:val="left"/>
        <w:rPr>
          <w:b w:val="0"/>
          <w:bCs w:val="0"/>
        </w:rPr>
      </w:pPr>
      <w:r>
        <w:rPr>
          <w:rFonts w:ascii="宋体" w:hAnsi="宋体" w:cs="宋体" w:eastAsia="宋体" w:hint="default"/>
          <w:w w:val="95"/>
        </w:rPr>
        <w:t>3.</w:t>
        <w:tab/>
      </w:r>
      <w:r>
        <w:rPr/>
        <w:t>营业周期</w:t>
      </w:r>
      <w:r>
        <w:rPr>
          <w:b w:val="0"/>
          <w:bCs w:val="0"/>
        </w:rPr>
      </w:r>
    </w:p>
    <w:p>
      <w:pPr>
        <w:pStyle w:val="BodyText"/>
        <w:tabs>
          <w:tab w:pos="979" w:val="left" w:leader="none"/>
        </w:tabs>
        <w:spacing w:line="272" w:lineRule="exact" w:before="87"/>
        <w:ind w:left="557" w:right="220" w:hanging="420"/>
        <w:jc w:val="left"/>
      </w:pPr>
      <w:r>
        <w:rPr/>
        <w:t>√适用</w:t>
        <w:tab/>
        <w:t>□不适用</w:t>
      </w:r>
      <w:r>
        <w:rPr>
          <w:w w:val="100"/>
        </w:rPr>
        <w:t> </w:t>
      </w:r>
      <w:r>
        <w:rPr>
          <w:spacing w:val="-2"/>
        </w:rPr>
        <w:t>营业周期是指企业从购买用于加工的资产起至实现现金或现金等价物的期间。本集团提供互</w:t>
      </w:r>
    </w:p>
    <w:p>
      <w:pPr>
        <w:pStyle w:val="BodyText"/>
        <w:spacing w:line="249" w:lineRule="exact"/>
        <w:ind w:left="137" w:right="0"/>
        <w:jc w:val="left"/>
      </w:pPr>
      <w:r>
        <w:rPr/>
        <w:t>联网及相关的产品或服务，营业周期为</w:t>
      </w:r>
      <w:r>
        <w:rPr>
          <w:spacing w:val="-54"/>
        </w:rPr>
        <w:t> </w:t>
      </w:r>
      <w:r>
        <w:rPr>
          <w:rFonts w:ascii="宋体" w:hAnsi="宋体" w:cs="宋体" w:eastAsia="宋体" w:hint="default"/>
        </w:rPr>
        <w:t>12</w:t>
      </w:r>
      <w:r>
        <w:rPr>
          <w:rFonts w:ascii="宋体" w:hAnsi="宋体" w:cs="宋体" w:eastAsia="宋体" w:hint="default"/>
          <w:spacing w:val="-54"/>
        </w:rPr>
        <w:t> </w:t>
      </w:r>
      <w:r>
        <w:rPr/>
        <w:t>个月。</w:t>
      </w:r>
    </w:p>
    <w:p>
      <w:pPr>
        <w:spacing w:line="240" w:lineRule="auto" w:before="2"/>
        <w:rPr>
          <w:rFonts w:ascii="宋体" w:hAnsi="宋体" w:cs="宋体" w:eastAsia="宋体" w:hint="default"/>
          <w:sz w:val="28"/>
          <w:szCs w:val="28"/>
        </w:rPr>
      </w:pPr>
    </w:p>
    <w:p>
      <w:pPr>
        <w:pStyle w:val="BodyText"/>
        <w:tabs>
          <w:tab w:pos="562" w:val="left" w:leader="none"/>
        </w:tabs>
        <w:spacing w:line="290" w:lineRule="auto"/>
        <w:ind w:left="557" w:right="220" w:hanging="420"/>
        <w:jc w:val="left"/>
      </w:pPr>
      <w:r>
        <w:rPr>
          <w:rFonts w:ascii="宋体" w:hAnsi="宋体" w:cs="宋体" w:eastAsia="宋体" w:hint="default"/>
          <w:b/>
          <w:bCs/>
          <w:w w:val="95"/>
        </w:rPr>
        <w:t>4.</w:t>
        <w:tab/>
        <w:tab/>
      </w:r>
      <w:r>
        <w:rPr>
          <w:rFonts w:ascii="宋体" w:hAnsi="宋体" w:cs="宋体" w:eastAsia="宋体" w:hint="default"/>
          <w:b/>
          <w:bCs/>
        </w:rPr>
        <w:t>记账本位币</w:t>
      </w:r>
      <w:r>
        <w:rPr>
          <w:rFonts w:ascii="宋体" w:hAnsi="宋体" w:cs="宋体" w:eastAsia="宋体" w:hint="default"/>
          <w:b/>
          <w:bCs/>
          <w:w w:val="100"/>
        </w:rPr>
        <w:t> </w:t>
      </w:r>
      <w:r>
        <w:rPr>
          <w:spacing w:val="-2"/>
        </w:rPr>
        <w:t>人民币为本公司及境内子公司经营所处的主要经济环境中的货币，本公司及境内子公司以人</w:t>
      </w:r>
    </w:p>
    <w:p>
      <w:pPr>
        <w:pStyle w:val="BodyText"/>
        <w:spacing w:line="228" w:lineRule="exact"/>
        <w:ind w:left="137" w:right="0"/>
        <w:jc w:val="left"/>
      </w:pPr>
      <w:r>
        <w:rPr/>
        <w:t>民币为记账本位币。本公司之境外子公司，根据其经营所处的主要经济环境中的货币确定其记账</w:t>
      </w:r>
    </w:p>
    <w:p>
      <w:pPr>
        <w:pStyle w:val="BodyText"/>
        <w:spacing w:line="273" w:lineRule="exact"/>
        <w:ind w:left="137" w:right="0"/>
        <w:jc w:val="left"/>
      </w:pPr>
      <w:r>
        <w:rPr/>
        <w:t>本位币。本公司编制本财务报表时所采用的货币为人民币。</w:t>
      </w:r>
    </w:p>
    <w:p>
      <w:pPr>
        <w:spacing w:line="240" w:lineRule="auto" w:before="2"/>
        <w:rPr>
          <w:rFonts w:ascii="宋体" w:hAnsi="宋体" w:cs="宋体" w:eastAsia="宋体" w:hint="default"/>
          <w:sz w:val="28"/>
          <w:szCs w:val="28"/>
        </w:rPr>
      </w:pPr>
    </w:p>
    <w:p>
      <w:pPr>
        <w:pStyle w:val="Heading5"/>
        <w:tabs>
          <w:tab w:pos="562" w:val="left" w:leader="none"/>
        </w:tabs>
        <w:spacing w:line="240" w:lineRule="auto"/>
        <w:ind w:left="137" w:right="0"/>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tabs>
          <w:tab w:pos="979" w:val="left" w:leader="none"/>
        </w:tabs>
        <w:spacing w:line="272" w:lineRule="exact" w:before="86"/>
        <w:ind w:left="557" w:right="2530" w:hanging="420"/>
        <w:jc w:val="left"/>
      </w:pPr>
      <w:r>
        <w:rPr/>
        <w:t>√适用</w:t>
        <w:tab/>
        <w:t>□不适用</w:t>
      </w:r>
      <w:r>
        <w:rPr>
          <w:w w:val="100"/>
        </w:rPr>
        <w:t> </w:t>
      </w:r>
      <w:r>
        <w:rPr>
          <w:spacing w:val="-2"/>
        </w:rPr>
        <w:t>企业合并分为同一控制下的企业合并和非同一控制下的企业合并。</w:t>
      </w:r>
    </w:p>
    <w:p>
      <w:pPr>
        <w:pStyle w:val="BodyText"/>
        <w:spacing w:line="355" w:lineRule="auto" w:before="110"/>
        <w:ind w:left="557" w:right="0" w:hanging="221"/>
        <w:jc w:val="left"/>
      </w:pPr>
      <w:r>
        <w:rPr>
          <w:rFonts w:ascii="宋体" w:hAnsi="宋体" w:cs="宋体" w:eastAsia="宋体" w:hint="default"/>
        </w:rPr>
        <w:t>5.1</w:t>
      </w:r>
      <w:r>
        <w:rPr>
          <w:rFonts w:ascii="宋体" w:hAnsi="宋体" w:cs="宋体" w:eastAsia="宋体" w:hint="default"/>
          <w:spacing w:val="-53"/>
        </w:rPr>
        <w:t> </w:t>
      </w:r>
      <w:r>
        <w:rPr/>
        <w:t>同一控制下企业合并</w:t>
      </w:r>
      <w:r>
        <w:rPr>
          <w:w w:val="100"/>
        </w:rPr>
        <w:t> </w:t>
      </w:r>
      <w:r>
        <w:rPr>
          <w:spacing w:val="-2"/>
        </w:rPr>
        <w:t>参与合并的企业在合并前后均受同一方或相同的多方最终控制，且该控制并非暂时性的，为</w:t>
      </w:r>
    </w:p>
    <w:p>
      <w:pPr>
        <w:pStyle w:val="BodyText"/>
        <w:spacing w:line="355" w:lineRule="auto" w:before="32"/>
        <w:ind w:left="557" w:right="0" w:hanging="420"/>
        <w:jc w:val="left"/>
      </w:pPr>
      <w:r>
        <w:rPr/>
        <w:t>同一控制下的企业合并。</w:t>
      </w:r>
      <w:r>
        <w:rPr>
          <w:w w:val="100"/>
        </w:rPr>
        <w:t> </w:t>
      </w:r>
      <w:r>
        <w:rPr>
          <w:spacing w:val="-2"/>
        </w:rPr>
        <w:t>在企业合并中取得的资产和负债，按合并日其在被合并方的账面价值计量。合并方取得的净</w:t>
      </w:r>
    </w:p>
    <w:p>
      <w:pPr>
        <w:pStyle w:val="BodyText"/>
        <w:spacing w:line="357" w:lineRule="auto" w:before="32"/>
        <w:ind w:left="137" w:right="0"/>
        <w:jc w:val="left"/>
      </w:pPr>
      <w:r>
        <w:rPr>
          <w:spacing w:val="-4"/>
          <w:w w:val="100"/>
        </w:rPr>
        <w:t>资产账面价值与支付的合并对价的账面价值</w:t>
      </w:r>
      <w:r>
        <w:rPr>
          <w:rFonts w:ascii="宋体" w:hAnsi="宋体" w:cs="宋体" w:eastAsia="宋体" w:hint="default"/>
          <w:spacing w:val="-4"/>
          <w:w w:val="100"/>
        </w:rPr>
        <w:t>/</w:t>
      </w:r>
      <w:r>
        <w:rPr>
          <w:spacing w:val="-4"/>
          <w:w w:val="100"/>
        </w:rPr>
        <w:t>发行股份面值总额的差额，调整资本公积中的资本溢</w:t>
      </w:r>
      <w:r>
        <w:rPr>
          <w:spacing w:val="-87"/>
          <w:w w:val="100"/>
        </w:rPr>
        <w:t> </w:t>
      </w:r>
      <w:r>
        <w:rPr>
          <w:spacing w:val="-87"/>
          <w:w w:val="100"/>
        </w:rPr>
      </w:r>
      <w:r>
        <w:rPr/>
        <w:t>价，资本溢价不足冲减的则调整留存收益。</w:t>
      </w:r>
    </w:p>
    <w:p>
      <w:pPr>
        <w:pStyle w:val="BodyText"/>
        <w:spacing w:line="357" w:lineRule="auto" w:before="30"/>
        <w:ind w:left="336" w:right="2530" w:firstLine="220"/>
        <w:jc w:val="left"/>
      </w:pPr>
      <w:r>
        <w:rPr>
          <w:spacing w:val="-2"/>
        </w:rPr>
        <w:t>为进行企业合并发生的各项直接费用，于发生时计入当期损益。</w:t>
      </w:r>
      <w:r>
        <w:rPr>
          <w:w w:val="100"/>
        </w:rPr>
        <w:t> </w:t>
      </w:r>
      <w:r>
        <w:rPr>
          <w:rFonts w:ascii="宋体" w:hAnsi="宋体" w:cs="宋体" w:eastAsia="宋体" w:hint="default"/>
        </w:rPr>
        <w:t>5.2</w:t>
      </w:r>
      <w:r>
        <w:rPr>
          <w:rFonts w:ascii="宋体" w:hAnsi="宋体" w:cs="宋体" w:eastAsia="宋体" w:hint="default"/>
          <w:spacing w:val="-55"/>
        </w:rPr>
        <w:t> </w:t>
      </w:r>
      <w:r>
        <w:rPr/>
        <w:t>非同一控制下企业合并</w:t>
      </w:r>
    </w:p>
    <w:p>
      <w:pPr>
        <w:pStyle w:val="BodyText"/>
        <w:spacing w:line="240" w:lineRule="auto" w:before="30"/>
        <w:ind w:left="557" w:right="0"/>
        <w:jc w:val="left"/>
      </w:pPr>
      <w:r>
        <w:rPr>
          <w:w w:val="100"/>
        </w:rPr>
        <w:t>参与</w:t>
      </w:r>
      <w:r>
        <w:rPr>
          <w:spacing w:val="-3"/>
          <w:w w:val="100"/>
        </w:rPr>
        <w:t>合</w:t>
      </w:r>
      <w:r>
        <w:rPr>
          <w:w w:val="100"/>
        </w:rPr>
        <w:t>并</w:t>
      </w:r>
      <w:r>
        <w:rPr>
          <w:spacing w:val="-3"/>
          <w:w w:val="100"/>
        </w:rPr>
        <w:t>的</w:t>
      </w:r>
      <w:r>
        <w:rPr>
          <w:w w:val="100"/>
        </w:rPr>
        <w:t>企</w:t>
      </w:r>
      <w:r>
        <w:rPr>
          <w:spacing w:val="-3"/>
          <w:w w:val="100"/>
        </w:rPr>
        <w:t>业</w:t>
      </w:r>
      <w:r>
        <w:rPr>
          <w:w w:val="100"/>
        </w:rPr>
        <w:t>在</w:t>
      </w:r>
      <w:r>
        <w:rPr>
          <w:spacing w:val="-3"/>
          <w:w w:val="100"/>
        </w:rPr>
        <w:t>合</w:t>
      </w:r>
      <w:r>
        <w:rPr>
          <w:w w:val="100"/>
        </w:rPr>
        <w:t>并</w:t>
      </w:r>
      <w:r>
        <w:rPr>
          <w:spacing w:val="-3"/>
          <w:w w:val="100"/>
        </w:rPr>
        <w:t>前</w:t>
      </w:r>
      <w:r>
        <w:rPr>
          <w:w w:val="100"/>
        </w:rPr>
        <w:t>后不</w:t>
      </w:r>
      <w:r>
        <w:rPr>
          <w:spacing w:val="-3"/>
          <w:w w:val="100"/>
        </w:rPr>
        <w:t>受</w:t>
      </w:r>
      <w:r>
        <w:rPr>
          <w:w w:val="100"/>
        </w:rPr>
        <w:t>同</w:t>
      </w:r>
      <w:r>
        <w:rPr>
          <w:spacing w:val="-3"/>
          <w:w w:val="100"/>
        </w:rPr>
        <w:t>一</w:t>
      </w:r>
      <w:r>
        <w:rPr>
          <w:w w:val="100"/>
        </w:rPr>
        <w:t>方</w:t>
      </w:r>
      <w:r>
        <w:rPr>
          <w:spacing w:val="-3"/>
          <w:w w:val="100"/>
        </w:rPr>
        <w:t>或</w:t>
      </w:r>
      <w:r>
        <w:rPr>
          <w:w w:val="100"/>
        </w:rPr>
        <w:t>相</w:t>
      </w:r>
      <w:r>
        <w:rPr>
          <w:spacing w:val="-3"/>
          <w:w w:val="100"/>
        </w:rPr>
        <w:t>同</w:t>
      </w:r>
      <w:r>
        <w:rPr>
          <w:w w:val="100"/>
        </w:rPr>
        <w:t>的</w:t>
      </w:r>
      <w:r>
        <w:rPr>
          <w:spacing w:val="-3"/>
          <w:w w:val="100"/>
        </w:rPr>
        <w:t>多</w:t>
      </w:r>
      <w:r>
        <w:rPr>
          <w:w w:val="100"/>
        </w:rPr>
        <w:t>方最</w:t>
      </w:r>
      <w:r>
        <w:rPr>
          <w:spacing w:val="-3"/>
          <w:w w:val="100"/>
        </w:rPr>
        <w:t>终</w:t>
      </w:r>
      <w:r>
        <w:rPr>
          <w:w w:val="100"/>
        </w:rPr>
        <w:t>控</w:t>
      </w:r>
      <w:r>
        <w:rPr>
          <w:spacing w:val="-3"/>
          <w:w w:val="100"/>
        </w:rPr>
        <w:t>制</w:t>
      </w:r>
      <w:r>
        <w:rPr>
          <w:spacing w:val="-94"/>
          <w:w w:val="100"/>
        </w:rPr>
        <w:t>，</w:t>
      </w:r>
      <w:r>
        <w:rPr>
          <w:w w:val="100"/>
        </w:rPr>
        <w:t>为</w:t>
      </w:r>
      <w:r>
        <w:rPr>
          <w:spacing w:val="-3"/>
          <w:w w:val="100"/>
        </w:rPr>
        <w:t>非</w:t>
      </w:r>
      <w:r>
        <w:rPr>
          <w:w w:val="100"/>
        </w:rPr>
        <w:t>同</w:t>
      </w:r>
      <w:r>
        <w:rPr>
          <w:spacing w:val="-3"/>
          <w:w w:val="100"/>
        </w:rPr>
        <w:t>一</w:t>
      </w:r>
      <w:r>
        <w:rPr>
          <w:w w:val="100"/>
        </w:rPr>
        <w:t>控</w:t>
      </w:r>
      <w:r>
        <w:rPr>
          <w:spacing w:val="-3"/>
          <w:w w:val="100"/>
        </w:rPr>
        <w:t>制</w:t>
      </w:r>
      <w:r>
        <w:rPr>
          <w:w w:val="100"/>
        </w:rPr>
        <w:t>下的</w:t>
      </w:r>
      <w:r>
        <w:rPr>
          <w:spacing w:val="-3"/>
          <w:w w:val="100"/>
        </w:rPr>
        <w:t>企业合并</w:t>
      </w:r>
      <w:r>
        <w:rPr>
          <w:w w:val="100"/>
        </w:rPr>
        <w:t>。</w:t>
      </w:r>
    </w:p>
    <w:p>
      <w:pPr>
        <w:spacing w:after="0" w:line="240" w:lineRule="auto"/>
        <w:jc w:val="left"/>
        <w:sectPr>
          <w:pgSz w:w="11910" w:h="16840"/>
          <w:pgMar w:header="857" w:footer="1217" w:top="1320" w:bottom="1400" w:left="1140" w:right="1580"/>
        </w:sectPr>
      </w:pPr>
    </w:p>
    <w:p>
      <w:pPr>
        <w:pStyle w:val="BodyText"/>
        <w:spacing w:line="357" w:lineRule="auto" w:before="72"/>
        <w:ind w:left="137" w:right="118" w:firstLine="420"/>
        <w:jc w:val="both"/>
      </w:pPr>
      <w:r>
        <w:rPr>
          <w:spacing w:val="-2"/>
        </w:rPr>
        <w:t>合并成本指购买方为取得被购买方的控制权而付出的资产、发生或承担的负债和发行的权益</w:t>
      </w:r>
      <w:r>
        <w:rPr>
          <w:w w:val="100"/>
        </w:rPr>
        <w:t> </w:t>
      </w:r>
      <w:r>
        <w:rPr>
          <w:spacing w:val="-2"/>
        </w:rPr>
        <w:t>性工具的公允价值。通过多次交易分步实现非同一控制下的企业合并的，合并成本为购买日支付</w:t>
      </w:r>
      <w:r>
        <w:rPr>
          <w:spacing w:val="-25"/>
        </w:rPr>
        <w:t> </w:t>
      </w:r>
      <w:r>
        <w:rPr>
          <w:spacing w:val="-25"/>
        </w:rPr>
      </w:r>
      <w:r>
        <w:rPr>
          <w:spacing w:val="-2"/>
        </w:rPr>
        <w:t>的对价与购买日之前已经持有的被购买方的股权在购买日的公允价值之和。购买方为企业合并发</w:t>
      </w:r>
      <w:r>
        <w:rPr>
          <w:spacing w:val="-25"/>
        </w:rPr>
        <w:t> </w:t>
      </w:r>
      <w:r>
        <w:rPr>
          <w:spacing w:val="-25"/>
        </w:rPr>
      </w:r>
      <w:r>
        <w:rPr/>
        <w:t>生的审计、法律服务、评估咨询等中介费用以及其他相关管理费用，于发生时计入当期损益。</w:t>
      </w:r>
    </w:p>
    <w:p>
      <w:pPr>
        <w:pStyle w:val="BodyText"/>
        <w:spacing w:line="355" w:lineRule="auto" w:before="30"/>
        <w:ind w:left="137" w:right="118" w:firstLine="420"/>
        <w:jc w:val="both"/>
      </w:pPr>
      <w:r>
        <w:rPr>
          <w:spacing w:val="-2"/>
        </w:rPr>
        <w:t>购买方在合并中所取得的被购买方符合确认条件的可辨认资产、负债及或有负债在购买日以</w:t>
      </w:r>
      <w:r>
        <w:rPr>
          <w:w w:val="100"/>
        </w:rPr>
        <w:t> </w:t>
      </w:r>
      <w:r>
        <w:rPr/>
        <w:t>公允价值计量。</w:t>
      </w:r>
    </w:p>
    <w:p>
      <w:pPr>
        <w:pStyle w:val="BodyText"/>
        <w:spacing w:line="357" w:lineRule="auto" w:before="32"/>
        <w:ind w:left="137" w:right="111" w:firstLine="420"/>
        <w:jc w:val="both"/>
      </w:pPr>
      <w:r>
        <w:rPr>
          <w:spacing w:val="-4"/>
        </w:rPr>
        <w:t>当合并协议中约定根据未来一项</w:t>
      </w:r>
      <w:r>
        <w:rPr>
          <w:rFonts w:ascii="宋体" w:hAnsi="宋体" w:cs="宋体" w:eastAsia="宋体" w:hint="default"/>
          <w:spacing w:val="-4"/>
        </w:rPr>
        <w:t>/</w:t>
      </w:r>
      <w:r>
        <w:rPr>
          <w:spacing w:val="-4"/>
        </w:rPr>
        <w:t>多项或有事项的发生，购买方需追加合并对价时，本集团将</w:t>
      </w:r>
      <w:r>
        <w:rPr>
          <w:w w:val="100"/>
        </w:rPr>
        <w:t> </w:t>
      </w:r>
      <w:r>
        <w:rPr>
          <w:spacing w:val="-2"/>
        </w:rPr>
        <w:t>合并协议约定的或有对价确认为一项负债，作为企业合并转移对价的一部分，按照其在购买日的</w:t>
      </w:r>
      <w:r>
        <w:rPr>
          <w:spacing w:val="-25"/>
        </w:rPr>
        <w:t> </w:t>
      </w:r>
      <w:r>
        <w:rPr>
          <w:spacing w:val="-25"/>
        </w:rPr>
      </w:r>
      <w:r>
        <w:rPr/>
        <w:t>公允价值计入企业合并成本。购买日后 </w:t>
      </w:r>
      <w:r>
        <w:rPr>
          <w:rFonts w:ascii="宋体" w:hAnsi="宋体" w:cs="宋体" w:eastAsia="宋体" w:hint="default"/>
        </w:rPr>
        <w:t>12</w:t>
      </w:r>
      <w:r>
        <w:rPr>
          <w:rFonts w:ascii="宋体" w:hAnsi="宋体" w:cs="宋体" w:eastAsia="宋体" w:hint="default"/>
          <w:spacing w:val="-57"/>
        </w:rPr>
        <w:t> </w:t>
      </w:r>
      <w:r>
        <w:rPr/>
        <w:t>个月内，若出现对购买日已存在情况的新的或者进一</w:t>
      </w:r>
      <w:r>
        <w:rPr>
          <w:w w:val="100"/>
        </w:rPr>
        <w:t> </w:t>
      </w:r>
      <w:r>
        <w:rPr>
          <w:spacing w:val="-2"/>
        </w:rPr>
        <w:t>步证据而需要调整或有对价的，将予以确认并对原计入商誉的金额进行调整。其他情况下发生的</w:t>
      </w:r>
      <w:r>
        <w:rPr>
          <w:spacing w:val="-25"/>
        </w:rPr>
        <w:t> </w:t>
      </w:r>
      <w:r>
        <w:rPr>
          <w:spacing w:val="-25"/>
        </w:rPr>
      </w:r>
      <w:r>
        <w:rPr/>
        <w:t>或有对价变化或调整，按照《企业会计准则第</w:t>
      </w:r>
      <w:r>
        <w:rPr>
          <w:spacing w:val="-56"/>
        </w:rPr>
        <w:t> </w:t>
      </w:r>
      <w:r>
        <w:rPr>
          <w:rFonts w:ascii="宋体" w:hAnsi="宋体" w:cs="宋体" w:eastAsia="宋体" w:hint="default"/>
        </w:rPr>
        <w:t>22</w:t>
      </w:r>
      <w:r>
        <w:rPr>
          <w:rFonts w:ascii="宋体" w:hAnsi="宋体" w:cs="宋体" w:eastAsia="宋体" w:hint="default"/>
          <w:spacing w:val="-58"/>
        </w:rPr>
        <w:t> </w:t>
      </w:r>
      <w:r>
        <w:rPr/>
        <w:t>号</w:t>
      </w:r>
      <w:r>
        <w:rPr>
          <w:rFonts w:ascii="宋体" w:hAnsi="宋体" w:cs="宋体" w:eastAsia="宋体" w:hint="default"/>
        </w:rPr>
        <w:t>-</w:t>
      </w:r>
      <w:r>
        <w:rPr/>
        <w:t>金融工具确认或计量》计量，发生的变化或</w:t>
      </w:r>
      <w:r>
        <w:rPr>
          <w:w w:val="100"/>
        </w:rPr>
        <w:t> </w:t>
      </w:r>
      <w:r>
        <w:rPr/>
        <w:t>调整计入当期损益。</w:t>
      </w:r>
    </w:p>
    <w:p>
      <w:pPr>
        <w:pStyle w:val="BodyText"/>
        <w:spacing w:line="357" w:lineRule="auto" w:before="32"/>
        <w:ind w:left="137" w:right="118" w:firstLine="420"/>
        <w:jc w:val="both"/>
      </w:pPr>
      <w:r>
        <w:rPr>
          <w:spacing w:val="-2"/>
        </w:rPr>
        <w:t>合并成本大于合并中取得的被购买方可辨认净资产公允价值份额的差额，作为一项资产确认</w:t>
      </w:r>
      <w:r>
        <w:rPr>
          <w:w w:val="100"/>
        </w:rPr>
        <w:t> </w:t>
      </w:r>
      <w:r>
        <w:rPr>
          <w:spacing w:val="-2"/>
        </w:rPr>
        <w:t>为商誉并按成本进行初始计量。合并成本小于合并中取得的被购买方可辨认净资产公允价值份额</w:t>
      </w:r>
      <w:r>
        <w:rPr>
          <w:spacing w:val="-25"/>
        </w:rPr>
        <w:t> </w:t>
      </w:r>
      <w:r>
        <w:rPr>
          <w:spacing w:val="-25"/>
        </w:rPr>
      </w:r>
      <w:r>
        <w:rPr>
          <w:spacing w:val="-2"/>
        </w:rPr>
        <w:t>的，首先对取得的被购买方各项可辨认资产、负债及或有负债的公允价值以及合并成本的计量进</w:t>
      </w:r>
      <w:r>
        <w:rPr>
          <w:spacing w:val="-25"/>
        </w:rPr>
        <w:t> </w:t>
      </w:r>
      <w:r>
        <w:rPr>
          <w:spacing w:val="-25"/>
        </w:rPr>
      </w:r>
      <w:r>
        <w:rPr>
          <w:spacing w:val="-2"/>
        </w:rPr>
        <w:t>行复核，复核后合并成本仍小于合并中取得的被购买方可辨认净资产公允价值份额的，计入当期</w:t>
      </w:r>
      <w:r>
        <w:rPr>
          <w:spacing w:val="-25"/>
        </w:rPr>
        <w:t> </w:t>
      </w:r>
      <w:r>
        <w:rPr>
          <w:spacing w:val="-25"/>
        </w:rPr>
      </w:r>
      <w:r>
        <w:rPr/>
        <w:t>损益。</w:t>
      </w:r>
    </w:p>
    <w:p>
      <w:pPr>
        <w:pStyle w:val="BodyText"/>
        <w:spacing w:line="355" w:lineRule="auto" w:before="32"/>
        <w:ind w:left="137" w:right="118" w:firstLine="420"/>
        <w:jc w:val="both"/>
      </w:pPr>
      <w:r>
        <w:rPr>
          <w:spacing w:val="-2"/>
        </w:rPr>
        <w:t>因企业合并形成的商誉在合并财务报表中单独列报，并按照成本扣除累计减值准备后的金额</w:t>
      </w:r>
      <w:r>
        <w:rPr>
          <w:w w:val="100"/>
        </w:rPr>
        <w:t> </w:t>
      </w:r>
      <w:r>
        <w:rPr/>
        <w:t>计量。</w:t>
      </w:r>
    </w:p>
    <w:p>
      <w:pPr>
        <w:spacing w:line="240" w:lineRule="auto" w:before="0"/>
        <w:rPr>
          <w:rFonts w:ascii="宋体" w:hAnsi="宋体" w:cs="宋体" w:eastAsia="宋体" w:hint="default"/>
          <w:sz w:val="20"/>
          <w:szCs w:val="20"/>
        </w:rPr>
      </w:pPr>
    </w:p>
    <w:p>
      <w:pPr>
        <w:pStyle w:val="Heading5"/>
        <w:spacing w:line="240" w:lineRule="auto" w:before="142"/>
        <w:ind w:left="137" w:right="0"/>
        <w:jc w:val="both"/>
        <w:rPr>
          <w:b w:val="0"/>
          <w:bCs w:val="0"/>
        </w:rPr>
      </w:pPr>
      <w:r>
        <w:rPr>
          <w:rFonts w:ascii="宋体" w:hAnsi="宋体" w:cs="宋体" w:eastAsia="宋体" w:hint="default"/>
        </w:rPr>
        <w:t>6. </w:t>
      </w:r>
      <w:r>
        <w:rPr>
          <w:rFonts w:ascii="宋体" w:hAnsi="宋体" w:cs="宋体" w:eastAsia="宋体" w:hint="default"/>
          <w:spacing w:val="1"/>
        </w:rPr>
        <w:t> </w:t>
      </w:r>
      <w:r>
        <w:rPr/>
        <w:t>合并财务报表的编制方法</w:t>
      </w:r>
      <w:r>
        <w:rPr>
          <w:b w:val="0"/>
          <w:bCs w:val="0"/>
        </w:rPr>
      </w:r>
    </w:p>
    <w:p>
      <w:pPr>
        <w:pStyle w:val="BodyText"/>
        <w:tabs>
          <w:tab w:pos="979" w:val="left" w:leader="none"/>
        </w:tabs>
        <w:spacing w:line="240" w:lineRule="auto" w:before="56"/>
        <w:ind w:left="557" w:right="118" w:hanging="420"/>
        <w:jc w:val="left"/>
      </w:pPr>
      <w:r>
        <w:rPr/>
        <w:t>√适用</w:t>
        <w:tab/>
        <w:t>□不适用</w:t>
      </w:r>
      <w:r>
        <w:rPr>
          <w:w w:val="100"/>
        </w:rPr>
        <w:t> </w:t>
      </w:r>
      <w:r>
        <w:rPr>
          <w:spacing w:val="-2"/>
        </w:rPr>
        <w:t>合并财务报表的合并范围以控制为基础予以确定。控制是指本集团拥有对被投资方的权力，</w:t>
      </w:r>
    </w:p>
    <w:p>
      <w:pPr>
        <w:pStyle w:val="BodyText"/>
        <w:spacing w:line="357" w:lineRule="auto" w:before="133"/>
        <w:ind w:left="137" w:right="118"/>
        <w:jc w:val="both"/>
      </w:pPr>
      <w:r>
        <w:rPr>
          <w:spacing w:val="-2"/>
        </w:rPr>
        <w:t>通过参与被投资方的相关活动而享有可变回报，并且有能力运用对被投资方的权力影响其回报金</w:t>
      </w:r>
      <w:r>
        <w:rPr>
          <w:spacing w:val="-25"/>
        </w:rPr>
        <w:t> </w:t>
      </w:r>
      <w:r>
        <w:rPr>
          <w:spacing w:val="-25"/>
        </w:rPr>
      </w:r>
      <w:r>
        <w:rPr>
          <w:spacing w:val="-2"/>
        </w:rPr>
        <w:t>额。一旦相关事实和情况的变化导致上述控制定义涉及的相关要素发生了变化，本集团将进行重</w:t>
      </w:r>
      <w:r>
        <w:rPr>
          <w:spacing w:val="-25"/>
        </w:rPr>
        <w:t> </w:t>
      </w:r>
      <w:r>
        <w:rPr>
          <w:spacing w:val="-25"/>
        </w:rPr>
      </w:r>
      <w:r>
        <w:rPr/>
        <w:t>新评估。</w:t>
      </w:r>
    </w:p>
    <w:p>
      <w:pPr>
        <w:pStyle w:val="BodyText"/>
        <w:spacing w:line="355" w:lineRule="auto" w:before="32"/>
        <w:ind w:left="137" w:right="118" w:firstLine="420"/>
        <w:jc w:val="both"/>
      </w:pPr>
      <w:r>
        <w:rPr>
          <w:spacing w:val="-2"/>
        </w:rPr>
        <w:t>子公司的合并起始于本集团获得对该子公司的控制权时，终止于本集团丧失对该子公司的控</w:t>
      </w:r>
      <w:r>
        <w:rPr>
          <w:w w:val="100"/>
        </w:rPr>
        <w:t> </w:t>
      </w:r>
      <w:r>
        <w:rPr/>
        <w:t>制权时。</w:t>
      </w:r>
    </w:p>
    <w:p>
      <w:pPr>
        <w:pStyle w:val="BodyText"/>
        <w:spacing w:line="355" w:lineRule="auto" w:before="32"/>
        <w:ind w:left="137" w:right="123" w:firstLine="420"/>
        <w:jc w:val="both"/>
      </w:pPr>
      <w:r>
        <w:rPr>
          <w:spacing w:val="-2"/>
        </w:rPr>
        <w:t>对于本集团处置的子公司，处置日</w:t>
      </w:r>
      <w:r>
        <w:rPr>
          <w:rFonts w:ascii="宋体" w:hAnsi="宋体" w:cs="宋体" w:eastAsia="宋体" w:hint="default"/>
          <w:spacing w:val="-2"/>
        </w:rPr>
        <w:t>(</w:t>
      </w:r>
      <w:r>
        <w:rPr>
          <w:spacing w:val="-2"/>
        </w:rPr>
        <w:t>丧失控制权的日期</w:t>
      </w:r>
      <w:r>
        <w:rPr>
          <w:rFonts w:ascii="宋体" w:hAnsi="宋体" w:cs="宋体" w:eastAsia="宋体" w:hint="default"/>
          <w:spacing w:val="-2"/>
        </w:rPr>
        <w:t>)</w:t>
      </w:r>
      <w:r>
        <w:rPr>
          <w:spacing w:val="-2"/>
        </w:rPr>
        <w:t>前的经营成果和现金流量已经适当地</w:t>
      </w:r>
      <w:r>
        <w:rPr>
          <w:w w:val="100"/>
        </w:rPr>
        <w:t> </w:t>
      </w:r>
      <w:r>
        <w:rPr/>
        <w:t>包括在合并利润表和合并现金流量表中。</w:t>
      </w:r>
    </w:p>
    <w:p>
      <w:pPr>
        <w:pStyle w:val="BodyText"/>
        <w:spacing w:line="357" w:lineRule="auto" w:before="32"/>
        <w:ind w:left="137" w:right="120" w:firstLine="420"/>
        <w:jc w:val="both"/>
      </w:pPr>
      <w:r>
        <w:rPr>
          <w:spacing w:val="-2"/>
        </w:rPr>
        <w:t>对于通过非同一控制下的企业合并取得的子公司，其自购买日</w:t>
      </w:r>
      <w:r>
        <w:rPr>
          <w:rFonts w:ascii="宋体" w:hAnsi="宋体" w:cs="宋体" w:eastAsia="宋体" w:hint="default"/>
          <w:spacing w:val="-2"/>
        </w:rPr>
        <w:t>(</w:t>
      </w:r>
      <w:r>
        <w:rPr>
          <w:spacing w:val="-2"/>
        </w:rPr>
        <w:t>取得控制权的日期</w:t>
      </w:r>
      <w:r>
        <w:rPr>
          <w:rFonts w:ascii="宋体" w:hAnsi="宋体" w:cs="宋体" w:eastAsia="宋体" w:hint="default"/>
          <w:spacing w:val="-2"/>
        </w:rPr>
        <w:t>)</w:t>
      </w:r>
      <w:r>
        <w:rPr>
          <w:spacing w:val="-2"/>
        </w:rPr>
        <w:t>起的经营</w:t>
      </w:r>
      <w:r>
        <w:rPr>
          <w:w w:val="100"/>
        </w:rPr>
        <w:t> </w:t>
      </w:r>
      <w:r>
        <w:rPr/>
        <w:t>成果及现金流量已经适当地包括在合并利润表和合并现金流量表中。</w:t>
      </w:r>
    </w:p>
    <w:p>
      <w:pPr>
        <w:spacing w:after="0" w:line="357" w:lineRule="auto"/>
        <w:jc w:val="both"/>
        <w:sectPr>
          <w:pgSz w:w="11910" w:h="16840"/>
          <w:pgMar w:header="857" w:footer="1217" w:top="1320" w:bottom="1400" w:left="1140" w:right="1680"/>
        </w:sectPr>
      </w:pPr>
    </w:p>
    <w:p>
      <w:pPr>
        <w:pStyle w:val="BodyText"/>
        <w:spacing w:line="355" w:lineRule="auto" w:before="72"/>
        <w:ind w:left="137" w:right="124" w:firstLine="420"/>
        <w:jc w:val="left"/>
      </w:pPr>
      <w:r>
        <w:rPr>
          <w:spacing w:val="-4"/>
          <w:w w:val="100"/>
        </w:rPr>
        <w:t>对于通过同一控制下的企业合并取得的子公司，无论该项企业合并发生在报告期的任一时点，</w:t>
      </w:r>
      <w:r>
        <w:rPr>
          <w:w w:val="100"/>
        </w:rPr>
        <w:t> </w:t>
      </w:r>
      <w:r>
        <w:rPr/>
        <w:t>视同该子公司同受最终控制方控制之日起纳入本集团的合并范围，其自报告期最早期间期初或同</w:t>
      </w:r>
      <w:r>
        <w:rPr>
          <w:w w:val="100"/>
        </w:rPr>
        <w:t> </w:t>
      </w:r>
      <w:r>
        <w:rPr>
          <w:spacing w:val="-2"/>
        </w:rPr>
        <w:t>受最终控制方控制之日起的经营成果和现金流量已适当地包括在合并利润表和合并现金流量表中。</w:t>
      </w:r>
    </w:p>
    <w:p>
      <w:pPr>
        <w:pStyle w:val="BodyText"/>
        <w:spacing w:line="355" w:lineRule="auto" w:before="34"/>
        <w:ind w:left="557" w:right="234"/>
        <w:jc w:val="left"/>
      </w:pPr>
      <w:r>
        <w:rPr/>
        <w:t>子公司采用的主要会计政策和会计期间按照本公司统一规定的会计政策和会计期间厘定。</w:t>
      </w:r>
      <w:r>
        <w:rPr>
          <w:w w:val="100"/>
        </w:rPr>
        <w:t> </w:t>
      </w:r>
      <w:r>
        <w:rPr/>
        <w:t>公司与子公司及子公司相互之间的内部交易对合并财务报表的影响于合并时抵销。</w:t>
      </w:r>
      <w:r>
        <w:rPr>
          <w:w w:val="100"/>
        </w:rPr>
        <w:t> </w:t>
      </w:r>
      <w:r>
        <w:rPr>
          <w:spacing w:val="-2"/>
        </w:rPr>
        <w:t>子公司所有者权益中不属于母公司的份额作为少数股东权益，在合并资产负债表中所有者权</w:t>
      </w:r>
    </w:p>
    <w:p>
      <w:pPr>
        <w:pStyle w:val="BodyText"/>
        <w:spacing w:line="357" w:lineRule="auto" w:before="32"/>
        <w:ind w:left="137" w:right="318"/>
        <w:jc w:val="both"/>
      </w:pPr>
      <w:r>
        <w:rPr>
          <w:spacing w:val="-2"/>
        </w:rPr>
        <w:t>益项目下以“少数股东权益”项目列示。子公司当期净损益中属于少数股东权益的份额，在合并</w:t>
      </w:r>
      <w:r>
        <w:rPr>
          <w:spacing w:val="-25"/>
        </w:rPr>
        <w:t> </w:t>
      </w:r>
      <w:r>
        <w:rPr>
          <w:spacing w:val="-25"/>
        </w:rPr>
      </w:r>
      <w:r>
        <w:rPr/>
        <w:t>利润表中净利润项目下以“少数股东损益”项目列示。</w:t>
      </w:r>
    </w:p>
    <w:p>
      <w:pPr>
        <w:pStyle w:val="BodyText"/>
        <w:spacing w:line="355" w:lineRule="auto" w:before="31"/>
        <w:ind w:left="137" w:right="234" w:firstLine="420"/>
        <w:jc w:val="left"/>
      </w:pPr>
      <w:r>
        <w:rPr>
          <w:spacing w:val="-2"/>
        </w:rPr>
        <w:t>少数股东分担的子公司的亏损超过了少数股东在该子公司期初所有者权益中所享有的份额，</w:t>
      </w:r>
      <w:r>
        <w:rPr>
          <w:w w:val="100"/>
        </w:rPr>
        <w:t> </w:t>
      </w:r>
      <w:r>
        <w:rPr/>
        <w:t>其余额仍应当冲减少数股东权益。</w:t>
      </w:r>
    </w:p>
    <w:p>
      <w:pPr>
        <w:pStyle w:val="BodyText"/>
        <w:spacing w:line="357" w:lineRule="auto" w:before="32"/>
        <w:ind w:left="137" w:right="234" w:firstLine="420"/>
        <w:jc w:val="left"/>
      </w:pPr>
      <w:r>
        <w:rPr/>
        <w:t>对于购买子公司少数股权或因处置部分股权投资但没有丧失对该子公司控制权的交易，作为</w:t>
      </w:r>
      <w:r>
        <w:rPr>
          <w:w w:val="100"/>
        </w:rPr>
        <w:t> </w:t>
      </w:r>
      <w:r>
        <w:rPr/>
        <w:t>权益性交易核算，调整归属于母公司所有者权益和少数股东权益的账面价值以反映其在子公司中</w:t>
      </w:r>
      <w:r>
        <w:rPr>
          <w:w w:val="100"/>
        </w:rPr>
        <w:t> </w:t>
      </w:r>
      <w:r>
        <w:rPr>
          <w:spacing w:val="-2"/>
        </w:rPr>
        <w:t>相关权益的变化。少数股东权益的调整额与支付</w:t>
      </w:r>
      <w:r>
        <w:rPr>
          <w:rFonts w:ascii="宋体" w:hAnsi="宋体" w:cs="宋体" w:eastAsia="宋体" w:hint="default"/>
          <w:spacing w:val="-2"/>
        </w:rPr>
        <w:t>/</w:t>
      </w:r>
      <w:r>
        <w:rPr>
          <w:spacing w:val="-2"/>
        </w:rPr>
        <w:t>收到对价的公允价值之间的差额调整资本公积，</w:t>
      </w:r>
      <w:r>
        <w:rPr>
          <w:spacing w:val="-19"/>
        </w:rPr>
        <w:t> </w:t>
      </w:r>
      <w:r>
        <w:rPr>
          <w:spacing w:val="-19"/>
        </w:rPr>
      </w:r>
      <w:r>
        <w:rPr/>
        <w:t>资本公积不足冲减的，调整留存收益。</w:t>
      </w:r>
    </w:p>
    <w:p>
      <w:pPr>
        <w:pStyle w:val="BodyText"/>
        <w:spacing w:line="357" w:lineRule="auto" w:before="30"/>
        <w:ind w:left="137" w:right="318" w:firstLine="420"/>
        <w:jc w:val="both"/>
      </w:pPr>
      <w:r>
        <w:rPr>
          <w:spacing w:val="-2"/>
        </w:rPr>
        <w:t>通过多次交易分步取得被购买方的股权，最终形成非同一控制下的企业合并的，分别是否属</w:t>
      </w:r>
      <w:r>
        <w:rPr>
          <w:w w:val="100"/>
        </w:rPr>
        <w:t> </w:t>
      </w:r>
      <w:r>
        <w:rPr>
          <w:spacing w:val="-2"/>
        </w:rPr>
        <w:t>于“一揽子交易”进行处理：属于“一揽子交易”的，将各项交易作为一项取得控制权的交易进</w:t>
      </w:r>
      <w:r>
        <w:rPr>
          <w:spacing w:val="-25"/>
        </w:rPr>
        <w:t> </w:t>
      </w:r>
      <w:r>
        <w:rPr>
          <w:spacing w:val="-25"/>
        </w:rPr>
      </w:r>
      <w:r>
        <w:rPr>
          <w:spacing w:val="-2"/>
        </w:rPr>
        <w:t>行会计处理。不属于“一揽子交易”的，在购买日作为取得控制权的交易进行会计处理，购买日</w:t>
      </w:r>
      <w:r>
        <w:rPr>
          <w:spacing w:val="-25"/>
        </w:rPr>
        <w:t> </w:t>
      </w:r>
      <w:r>
        <w:rPr>
          <w:spacing w:val="-25"/>
        </w:rPr>
      </w:r>
      <w:r>
        <w:rPr>
          <w:spacing w:val="-2"/>
        </w:rPr>
        <w:t>之前持有的被购买方的股权按该股权在购买日的公允价值进行重新计量，公允价值与账面价值之</w:t>
      </w:r>
      <w:r>
        <w:rPr>
          <w:spacing w:val="-25"/>
        </w:rPr>
        <w:t> </w:t>
      </w:r>
      <w:r>
        <w:rPr>
          <w:spacing w:val="-25"/>
        </w:rPr>
      </w:r>
      <w:r>
        <w:rPr>
          <w:spacing w:val="-2"/>
        </w:rPr>
        <w:t>间的差额计入当期损益；购买日前持有的被购买方的股权涉及权益法核算下的其他综合收益、其</w:t>
      </w:r>
      <w:r>
        <w:rPr>
          <w:spacing w:val="-25"/>
        </w:rPr>
        <w:t> </w:t>
      </w:r>
      <w:r>
        <w:rPr>
          <w:spacing w:val="-25"/>
        </w:rPr>
      </w:r>
      <w:r>
        <w:rPr/>
        <w:t>他所有者权益变动的，转为购买日所属当期收益。</w:t>
      </w:r>
    </w:p>
    <w:p>
      <w:pPr>
        <w:pStyle w:val="BodyText"/>
        <w:spacing w:line="357" w:lineRule="auto" w:before="30"/>
        <w:ind w:left="137" w:right="318" w:firstLine="420"/>
        <w:jc w:val="both"/>
      </w:pPr>
      <w:r>
        <w:rPr>
          <w:spacing w:val="-2"/>
        </w:rPr>
        <w:t>因处置部分股权投资或其他原因丧失了对原有子公司控制权的，剩余股权按照其在丧失控制</w:t>
      </w:r>
      <w:r>
        <w:rPr>
          <w:w w:val="100"/>
        </w:rPr>
        <w:t> </w:t>
      </w:r>
      <w:r>
        <w:rPr>
          <w:spacing w:val="-2"/>
        </w:rPr>
        <w:t>权日的公允价值进行重新计量。处置股权取得的对价与剩余股权公允价值之和，减去按原持股比</w:t>
      </w:r>
      <w:r>
        <w:rPr>
          <w:spacing w:val="-25"/>
        </w:rPr>
        <w:t> </w:t>
      </w:r>
      <w:r>
        <w:rPr>
          <w:spacing w:val="-25"/>
        </w:rPr>
      </w:r>
      <w:r>
        <w:rPr>
          <w:spacing w:val="-2"/>
        </w:rPr>
        <w:t>例计算应享有原子公司自购买日开始持续计算的净资产的份额之间的差额，计入丧失控制权当期</w:t>
      </w:r>
      <w:r>
        <w:rPr>
          <w:spacing w:val="-25"/>
        </w:rPr>
        <w:t> </w:t>
      </w:r>
      <w:r>
        <w:rPr>
          <w:spacing w:val="-25"/>
        </w:rPr>
      </w:r>
      <w:r>
        <w:rPr>
          <w:spacing w:val="-2"/>
        </w:rPr>
        <w:t>的投资收益。与原有子公司股权投资相关的其他综合收益，在丧失控制权时转为当期投资收益。</w:t>
      </w:r>
    </w:p>
    <w:p>
      <w:pPr>
        <w:spacing w:line="240" w:lineRule="auto" w:before="0"/>
        <w:rPr>
          <w:rFonts w:ascii="宋体" w:hAnsi="宋体" w:cs="宋体" w:eastAsia="宋体" w:hint="default"/>
          <w:sz w:val="20"/>
          <w:szCs w:val="20"/>
        </w:rPr>
      </w:pPr>
    </w:p>
    <w:p>
      <w:pPr>
        <w:pStyle w:val="Heading5"/>
        <w:spacing w:line="240" w:lineRule="auto" w:before="141"/>
        <w:ind w:left="137" w:right="0"/>
        <w:jc w:val="both"/>
        <w:rPr>
          <w:b w:val="0"/>
          <w:bCs w:val="0"/>
        </w:rPr>
      </w:pPr>
      <w:r>
        <w:rPr>
          <w:rFonts w:ascii="宋体" w:hAnsi="宋体" w:cs="宋体" w:eastAsia="宋体" w:hint="default"/>
        </w:rPr>
        <w:t>7.  </w:t>
      </w:r>
      <w:r>
        <w:rPr/>
        <w:t>合营安排分类及共同经营会计处理方法</w:t>
      </w:r>
      <w:r>
        <w:rPr>
          <w:b w:val="0"/>
          <w:bCs w:val="0"/>
        </w:rPr>
      </w:r>
    </w:p>
    <w:p>
      <w:pPr>
        <w:pStyle w:val="BodyText"/>
        <w:tabs>
          <w:tab w:pos="979" w:val="left" w:leader="none"/>
        </w:tabs>
        <w:spacing w:line="240" w:lineRule="auto" w:before="56"/>
        <w:ind w:left="557" w:right="345" w:hanging="420"/>
        <w:jc w:val="left"/>
      </w:pPr>
      <w:r>
        <w:rPr/>
        <w:t>√适用</w:t>
        <w:tab/>
        <w:t>□不适用</w:t>
      </w:r>
      <w:r>
        <w:rPr>
          <w:w w:val="100"/>
        </w:rPr>
        <w:t> </w:t>
      </w:r>
      <w:r>
        <w:rPr>
          <w:spacing w:val="-2"/>
        </w:rPr>
        <w:t>合营安排分为共同经营和合营企业，该分类通过考虑该安排的结构、法律形式以及合同条款</w:t>
      </w:r>
    </w:p>
    <w:p>
      <w:pPr>
        <w:pStyle w:val="BodyText"/>
        <w:spacing w:line="355" w:lineRule="auto" w:before="133"/>
        <w:ind w:left="137" w:right="318"/>
        <w:jc w:val="both"/>
      </w:pPr>
      <w:r>
        <w:rPr>
          <w:spacing w:val="-2"/>
        </w:rPr>
        <w:t>等因素根据合营方在合营安排中享有的权利和承担的义务确定。共同经营，是指合营方享有该安</w:t>
      </w:r>
      <w:r>
        <w:rPr>
          <w:spacing w:val="-25"/>
        </w:rPr>
        <w:t> </w:t>
      </w:r>
      <w:r>
        <w:rPr>
          <w:spacing w:val="-25"/>
        </w:rPr>
      </w:r>
      <w:r>
        <w:rPr>
          <w:spacing w:val="-2"/>
        </w:rPr>
        <w:t>排相关资产且承担该安排相关负债的合营安排。合营企业是指合营方仅对该安排的净资产享有权</w:t>
      </w:r>
      <w:r>
        <w:rPr>
          <w:spacing w:val="-25"/>
        </w:rPr>
        <w:t> </w:t>
      </w:r>
      <w:r>
        <w:rPr>
          <w:spacing w:val="-25"/>
        </w:rPr>
      </w:r>
      <w:r>
        <w:rPr/>
        <w:t>利的合营安排。</w:t>
      </w:r>
    </w:p>
    <w:p>
      <w:pPr>
        <w:pStyle w:val="BodyText"/>
        <w:spacing w:line="357" w:lineRule="auto" w:before="32"/>
        <w:ind w:left="137" w:right="234" w:firstLine="420"/>
        <w:jc w:val="left"/>
      </w:pPr>
      <w:r>
        <w:rPr>
          <w:spacing w:val="-2"/>
        </w:rPr>
        <w:t>本集团的合</w:t>
      </w:r>
      <w:r>
        <w:rPr>
          <w:spacing w:val="-2"/>
          <w:sz w:val="22"/>
          <w:szCs w:val="22"/>
        </w:rPr>
        <w:t>营</w:t>
      </w:r>
      <w:r>
        <w:rPr>
          <w:spacing w:val="-2"/>
        </w:rPr>
        <w:t>安排均为合营企业。对合营企业的投资采用权益法核算，具体参见附注</w:t>
      </w:r>
      <w:r>
        <w:rPr>
          <w:rFonts w:ascii="宋体" w:hAnsi="宋体" w:cs="宋体" w:eastAsia="宋体" w:hint="default"/>
          <w:spacing w:val="-2"/>
        </w:rPr>
        <w:t>(</w:t>
      </w:r>
      <w:r>
        <w:rPr>
          <w:spacing w:val="-2"/>
        </w:rPr>
        <w:t>五</w:t>
      </w:r>
      <w:r>
        <w:rPr>
          <w:rFonts w:ascii="宋体" w:hAnsi="宋体" w:cs="宋体" w:eastAsia="宋体" w:hint="default"/>
          <w:spacing w:val="-2"/>
        </w:rPr>
        <w:t>)</w:t>
      </w:r>
      <w:r>
        <w:rPr>
          <w:rFonts w:ascii="宋体" w:hAnsi="宋体" w:cs="宋体" w:eastAsia="宋体" w:hint="default"/>
          <w:w w:val="100"/>
        </w:rPr>
        <w:t> </w:t>
      </w:r>
      <w:r>
        <w:rPr/>
        <w:t>“1</w:t>
      </w:r>
      <w:r>
        <w:rPr>
          <w:rFonts w:ascii="宋体" w:hAnsi="宋体" w:cs="宋体" w:eastAsia="宋体" w:hint="default"/>
        </w:rPr>
        <w:t>4.3.2. </w:t>
      </w:r>
      <w:r>
        <w:rPr/>
        <w:t>按权益法核算的长期股权投资”。</w:t>
      </w:r>
    </w:p>
    <w:p>
      <w:pPr>
        <w:spacing w:after="0" w:line="357" w:lineRule="auto"/>
        <w:jc w:val="left"/>
        <w:sectPr>
          <w:pgSz w:w="11910" w:h="16840"/>
          <w:pgMar w:header="857" w:footer="1217" w:top="1320" w:bottom="1400" w:left="1140" w:right="1480"/>
        </w:sectPr>
      </w:pPr>
    </w:p>
    <w:p>
      <w:pPr>
        <w:tabs>
          <w:tab w:pos="562" w:val="left" w:leader="none"/>
        </w:tabs>
        <w:spacing w:line="290" w:lineRule="auto" w:before="72"/>
        <w:ind w:left="557" w:right="203"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现金是指企业库存现金以及可以随时用于支付的存款。现金等价物是指本集团持有的期限短、</w:t>
      </w:r>
    </w:p>
    <w:p>
      <w:pPr>
        <w:pStyle w:val="BodyText"/>
        <w:spacing w:line="240" w:lineRule="auto" w:before="91"/>
        <w:ind w:left="137" w:right="0"/>
        <w:jc w:val="both"/>
      </w:pPr>
      <w:r>
        <w:rPr/>
        <w:t>流动性强、易于转换为已知金额现金、价值变动风险很小的投资。</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5"/>
        <w:spacing w:line="240" w:lineRule="auto"/>
        <w:ind w:left="137" w:right="0"/>
        <w:jc w:val="both"/>
        <w:rPr>
          <w:b w:val="0"/>
          <w:bCs w:val="0"/>
        </w:rPr>
      </w:pPr>
      <w:r>
        <w:rPr>
          <w:rFonts w:ascii="宋体" w:hAnsi="宋体" w:cs="宋体" w:eastAsia="宋体" w:hint="default"/>
        </w:rPr>
        <w:t>9. </w:t>
      </w:r>
      <w:r>
        <w:rPr>
          <w:rFonts w:ascii="宋体" w:hAnsi="宋体" w:cs="宋体" w:eastAsia="宋体" w:hint="default"/>
          <w:spacing w:val="1"/>
        </w:rPr>
        <w:t> </w:t>
      </w:r>
      <w:r>
        <w:rPr/>
        <w:t>外币业务和外币报表折算</w:t>
      </w:r>
      <w:r>
        <w:rPr>
          <w:b w:val="0"/>
          <w:bCs w:val="0"/>
        </w:rPr>
      </w:r>
    </w:p>
    <w:p>
      <w:pPr>
        <w:pStyle w:val="BodyText"/>
        <w:tabs>
          <w:tab w:pos="979" w:val="left" w:leader="none"/>
        </w:tabs>
        <w:spacing w:line="240" w:lineRule="auto" w:before="56"/>
        <w:ind w:left="557" w:right="7464" w:hanging="420"/>
        <w:jc w:val="left"/>
      </w:pPr>
      <w:r>
        <w:rPr/>
        <w:t>√适用</w:t>
        <w:tab/>
      </w:r>
      <w:r>
        <w:rPr>
          <w:spacing w:val="-2"/>
        </w:rPr>
        <w:t>□不适用</w:t>
      </w:r>
      <w:r>
        <w:rPr>
          <w:spacing w:val="-99"/>
        </w:rPr>
        <w:t> </w:t>
      </w:r>
      <w:r>
        <w:rPr>
          <w:spacing w:val="-99"/>
        </w:rPr>
      </w:r>
      <w:r>
        <w:rPr>
          <w:rFonts w:ascii="宋体" w:hAnsi="宋体" w:cs="宋体" w:eastAsia="宋体" w:hint="default"/>
        </w:rPr>
        <w:t>9.1</w:t>
      </w:r>
      <w:r>
        <w:rPr>
          <w:rFonts w:ascii="宋体" w:hAnsi="宋体" w:cs="宋体" w:eastAsia="宋体" w:hint="default"/>
          <w:spacing w:val="-53"/>
        </w:rPr>
        <w:t> </w:t>
      </w:r>
      <w:r>
        <w:rPr/>
        <w:t>外币业务</w:t>
      </w:r>
    </w:p>
    <w:p>
      <w:pPr>
        <w:pStyle w:val="BodyText"/>
        <w:spacing w:line="355" w:lineRule="auto" w:before="133"/>
        <w:ind w:left="557" w:right="234"/>
        <w:jc w:val="left"/>
      </w:pPr>
      <w:r>
        <w:rPr/>
        <w:t>外币交易在初始确认时采用交易发生日的即期汇率折算。</w:t>
      </w:r>
      <w:r>
        <w:rPr>
          <w:w w:val="100"/>
        </w:rPr>
        <w:t> </w:t>
      </w:r>
      <w:r>
        <w:rPr>
          <w:spacing w:val="-2"/>
        </w:rPr>
        <w:t>于资产负债表日，外币货币性项目采用该日即期汇率折算为人民币，因该日的即期汇率与初</w:t>
      </w:r>
    </w:p>
    <w:p>
      <w:pPr>
        <w:pStyle w:val="BodyText"/>
        <w:spacing w:line="355" w:lineRule="auto" w:before="33"/>
        <w:ind w:left="557" w:right="0" w:hanging="420"/>
        <w:jc w:val="left"/>
      </w:pPr>
      <w:r>
        <w:rPr/>
        <w:t>始确认时或者前一资产负债表日即期汇率不同而产生的汇兑差额，计入当期损益。</w:t>
      </w:r>
      <w:r>
        <w:rPr>
          <w:w w:val="100"/>
        </w:rPr>
        <w:t> </w:t>
      </w:r>
      <w:r>
        <w:rPr>
          <w:spacing w:val="-1"/>
        </w:rPr>
        <w:t>以历史成本计量的外币非货币性项目仍以交易发生日的即期汇率折算的记账本位币金额计量。</w:t>
      </w:r>
    </w:p>
    <w:p>
      <w:pPr>
        <w:pStyle w:val="BodyText"/>
        <w:spacing w:line="355" w:lineRule="auto" w:before="34"/>
        <w:ind w:left="137" w:right="318"/>
        <w:jc w:val="both"/>
      </w:pPr>
      <w:r>
        <w:rPr>
          <w:spacing w:val="-2"/>
        </w:rPr>
        <w:t>以公允价值计量的外币非货币性项目，采用公允价值确定日的即期汇率折算，折算后的记账本位</w:t>
      </w:r>
      <w:r>
        <w:rPr>
          <w:spacing w:val="-25"/>
        </w:rPr>
        <w:t> </w:t>
      </w:r>
      <w:r>
        <w:rPr>
          <w:spacing w:val="-25"/>
        </w:rPr>
      </w:r>
      <w:r>
        <w:rPr>
          <w:spacing w:val="-2"/>
        </w:rPr>
        <w:t>币金额与原记账本位币金额的差额，作为公允价值变动</w:t>
      </w:r>
      <w:r>
        <w:rPr>
          <w:rFonts w:ascii="宋体" w:hAnsi="宋体" w:cs="宋体" w:eastAsia="宋体" w:hint="default"/>
          <w:spacing w:val="-2"/>
        </w:rPr>
        <w:t>(</w:t>
      </w:r>
      <w:r>
        <w:rPr>
          <w:spacing w:val="-2"/>
        </w:rPr>
        <w:t>含汇率变动</w:t>
      </w:r>
      <w:r>
        <w:rPr>
          <w:rFonts w:ascii="宋体" w:hAnsi="宋体" w:cs="宋体" w:eastAsia="宋体" w:hint="default"/>
          <w:spacing w:val="-2"/>
        </w:rPr>
        <w:t>)</w:t>
      </w:r>
      <w:r>
        <w:rPr>
          <w:spacing w:val="-2"/>
        </w:rPr>
        <w:t>处理，计入当期损益或确认</w:t>
      </w:r>
      <w:r>
        <w:rPr>
          <w:spacing w:val="-24"/>
        </w:rPr>
        <w:t> </w:t>
      </w:r>
      <w:r>
        <w:rPr>
          <w:spacing w:val="-24"/>
        </w:rPr>
      </w:r>
      <w:r>
        <w:rPr/>
        <w:t>为其他综合收益。</w:t>
      </w:r>
    </w:p>
    <w:p>
      <w:pPr>
        <w:pStyle w:val="BodyText"/>
        <w:spacing w:line="355" w:lineRule="auto" w:before="32"/>
        <w:ind w:left="557" w:right="234"/>
        <w:jc w:val="left"/>
      </w:pPr>
      <w:r>
        <w:rPr>
          <w:rFonts w:ascii="宋体" w:hAnsi="宋体" w:cs="宋体" w:eastAsia="宋体" w:hint="default"/>
        </w:rPr>
        <w:t>9.2</w:t>
      </w:r>
      <w:r>
        <w:rPr>
          <w:rFonts w:ascii="宋体" w:hAnsi="宋体" w:cs="宋体" w:eastAsia="宋体" w:hint="default"/>
          <w:spacing w:val="-53"/>
        </w:rPr>
        <w:t> </w:t>
      </w:r>
      <w:r>
        <w:rPr/>
        <w:t>外币财务报表折算</w:t>
      </w:r>
      <w:r>
        <w:rPr>
          <w:w w:val="100"/>
        </w:rPr>
        <w:t> </w:t>
      </w:r>
      <w:r>
        <w:rPr>
          <w:spacing w:val="-2"/>
        </w:rPr>
        <w:t>为编制合并财务报表，境外经营的外币财务报表按以下方法折算为人民币报表：资产负债表</w:t>
      </w:r>
    </w:p>
    <w:p>
      <w:pPr>
        <w:pStyle w:val="BodyText"/>
        <w:spacing w:line="357" w:lineRule="auto" w:before="34"/>
        <w:ind w:left="137" w:right="318"/>
        <w:jc w:val="both"/>
      </w:pPr>
      <w:r>
        <w:rPr>
          <w:spacing w:val="-2"/>
        </w:rPr>
        <w:t>中的所有资产、负债类项目按资产负债表日的即期汇率折算；股东权益项目按发生时的即期汇率</w:t>
      </w:r>
      <w:r>
        <w:rPr>
          <w:spacing w:val="-25"/>
        </w:rPr>
        <w:t> </w:t>
      </w:r>
      <w:r>
        <w:rPr>
          <w:spacing w:val="-25"/>
        </w:rPr>
      </w:r>
      <w:r>
        <w:rPr>
          <w:spacing w:val="-2"/>
        </w:rPr>
        <w:t>折算；利润表中的所有项目及反映利润分配发生额的项目按与交易发生日即期汇率近似的汇率折</w:t>
      </w:r>
      <w:r>
        <w:rPr>
          <w:spacing w:val="-25"/>
        </w:rPr>
        <w:t> </w:t>
      </w:r>
      <w:r>
        <w:rPr>
          <w:spacing w:val="-25"/>
        </w:rPr>
      </w:r>
      <w:r>
        <w:rPr>
          <w:spacing w:val="-2"/>
        </w:rPr>
        <w:t>算；年初未分配利润为上一年折算后的年末未分配利润；年末未分配利润按折算后的利润分配各</w:t>
      </w:r>
      <w:r>
        <w:rPr>
          <w:spacing w:val="-25"/>
        </w:rPr>
        <w:t> </w:t>
      </w:r>
      <w:r>
        <w:rPr>
          <w:spacing w:val="-25"/>
        </w:rPr>
      </w:r>
      <w:r>
        <w:rPr>
          <w:spacing w:val="-2"/>
        </w:rPr>
        <w:t>项目计算列示；折算后资产类项目与负债类项目和股东权益类项目合计数的差额确认为其他综合</w:t>
      </w:r>
      <w:r>
        <w:rPr>
          <w:spacing w:val="-25"/>
        </w:rPr>
        <w:t> </w:t>
      </w:r>
      <w:r>
        <w:rPr>
          <w:spacing w:val="-25"/>
        </w:rPr>
      </w:r>
      <w:r>
        <w:rPr/>
        <w:t>收益并计入所有者权益。</w:t>
      </w:r>
    </w:p>
    <w:p>
      <w:pPr>
        <w:pStyle w:val="BodyText"/>
        <w:spacing w:line="355" w:lineRule="auto" w:before="30"/>
        <w:ind w:left="137" w:right="124" w:firstLine="420"/>
        <w:jc w:val="left"/>
      </w:pPr>
      <w:r>
        <w:rPr>
          <w:spacing w:val="-4"/>
          <w:w w:val="100"/>
        </w:rPr>
        <w:t>外币现金流量以及境外子公司的现金流量，采用与现金流量发生日即期汇率近似的汇率折算，</w:t>
      </w:r>
      <w:r>
        <w:rPr>
          <w:w w:val="100"/>
        </w:rPr>
        <w:t> </w:t>
      </w:r>
      <w:r>
        <w:rPr/>
        <w:t>汇率变动对现金及现金等价物的影响额，作为调节项目，在现金流量表中以“汇率变动对现金及</w:t>
      </w:r>
      <w:r>
        <w:rPr>
          <w:w w:val="100"/>
        </w:rPr>
        <w:t> </w:t>
      </w:r>
      <w:r>
        <w:rPr/>
        <w:t>现金等价物的影响”单独列示。</w:t>
      </w:r>
    </w:p>
    <w:p>
      <w:pPr>
        <w:pStyle w:val="BodyText"/>
        <w:spacing w:line="240" w:lineRule="auto" w:before="32"/>
        <w:ind w:left="557" w:right="234"/>
        <w:jc w:val="left"/>
      </w:pPr>
      <w:r>
        <w:rPr/>
        <w:t>年初数和上年实际数按照上年财务报表折算后的数额列示。</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5"/>
        <w:spacing w:line="240" w:lineRule="auto"/>
        <w:ind w:left="137" w:right="0"/>
        <w:jc w:val="both"/>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tabs>
          <w:tab w:pos="979" w:val="left" w:leader="none"/>
        </w:tabs>
        <w:spacing w:line="272" w:lineRule="exact" w:before="86"/>
        <w:ind w:left="557" w:right="345" w:hanging="420"/>
        <w:jc w:val="left"/>
      </w:pPr>
      <w:r>
        <w:rPr/>
        <w:t>√适用</w:t>
        <w:tab/>
        <w:t>□不适用</w:t>
      </w:r>
      <w:r>
        <w:rPr>
          <w:w w:val="100"/>
        </w:rPr>
        <w:t> </w:t>
      </w:r>
      <w:r>
        <w:rPr>
          <w:spacing w:val="-2"/>
        </w:rPr>
        <w:t>在本集团成为金融工具合同的一方时确认相应的金融资产或金融负债。金融资产和金融负债</w:t>
      </w:r>
    </w:p>
    <w:p>
      <w:pPr>
        <w:pStyle w:val="BodyText"/>
        <w:spacing w:line="357" w:lineRule="auto" w:before="108"/>
        <w:ind w:left="137" w:right="318"/>
        <w:jc w:val="both"/>
      </w:pPr>
      <w:r>
        <w:rPr>
          <w:spacing w:val="-2"/>
        </w:rPr>
        <w:t>在初始确认时以公允价值计量。对于以公允价值计量且其变动计入当期损益的金融资产和金融负</w:t>
      </w:r>
      <w:r>
        <w:rPr>
          <w:spacing w:val="-25"/>
        </w:rPr>
        <w:t> </w:t>
      </w:r>
      <w:r>
        <w:rPr>
          <w:spacing w:val="-25"/>
        </w:rPr>
      </w:r>
      <w:r>
        <w:rPr>
          <w:spacing w:val="-2"/>
        </w:rPr>
        <w:t>债，相关的交易费用直接计入损益，对于其他类别的金融资产和金融负债，相关交易费用计入初</w:t>
      </w:r>
      <w:r>
        <w:rPr>
          <w:spacing w:val="-25"/>
        </w:rPr>
        <w:t> </w:t>
      </w:r>
      <w:r>
        <w:rPr>
          <w:spacing w:val="-25"/>
        </w:rPr>
      </w:r>
      <w:r>
        <w:rPr/>
        <w:t>始确认金额。</w:t>
      </w:r>
    </w:p>
    <w:p>
      <w:pPr>
        <w:pStyle w:val="BodyText"/>
        <w:spacing w:line="355" w:lineRule="auto" w:before="30"/>
        <w:ind w:left="137" w:right="234" w:firstLine="420"/>
        <w:jc w:val="left"/>
      </w:pPr>
      <w:r>
        <w:rPr>
          <w:spacing w:val="-2"/>
        </w:rPr>
        <w:t>对于常规方式购买或出售金融资产的，在交易日确认将收到的资产和为此将承担的负债，或</w:t>
      </w:r>
      <w:r>
        <w:rPr>
          <w:w w:val="100"/>
        </w:rPr>
        <w:t> </w:t>
      </w:r>
      <w:r>
        <w:rPr/>
        <w:t>者在交易日终止确认已出售的资产。</w:t>
      </w:r>
    </w:p>
    <w:p>
      <w:pPr>
        <w:pStyle w:val="BodyText"/>
        <w:spacing w:line="240" w:lineRule="auto" w:before="35"/>
        <w:ind w:left="557" w:right="234"/>
        <w:jc w:val="left"/>
      </w:pPr>
      <w:r>
        <w:rPr>
          <w:rFonts w:ascii="宋体" w:hAnsi="宋体" w:cs="宋体" w:eastAsia="宋体" w:hint="default"/>
        </w:rPr>
        <w:t>10.1</w:t>
      </w:r>
      <w:r>
        <w:rPr>
          <w:rFonts w:ascii="宋体" w:hAnsi="宋体" w:cs="宋体" w:eastAsia="宋体" w:hint="default"/>
          <w:spacing w:val="-53"/>
        </w:rPr>
        <w:t> </w:t>
      </w:r>
      <w:r>
        <w:rPr/>
        <w:t>实际利率法</w:t>
      </w:r>
    </w:p>
    <w:p>
      <w:pPr>
        <w:spacing w:after="0" w:line="240" w:lineRule="auto"/>
        <w:jc w:val="left"/>
        <w:sectPr>
          <w:pgSz w:w="11910" w:h="16840"/>
          <w:pgMar w:header="857" w:footer="1217" w:top="1320" w:bottom="1400" w:left="1140" w:right="1480"/>
        </w:sectPr>
      </w:pPr>
    </w:p>
    <w:p>
      <w:pPr>
        <w:pStyle w:val="BodyText"/>
        <w:spacing w:line="355" w:lineRule="auto" w:before="72"/>
        <w:ind w:left="137" w:right="218" w:firstLine="420"/>
        <w:jc w:val="both"/>
      </w:pPr>
      <w:r>
        <w:rPr>
          <w:spacing w:val="-2"/>
        </w:rPr>
        <w:t>实际利率法是指按照金融资产或金融负债</w:t>
      </w:r>
      <w:r>
        <w:rPr>
          <w:rFonts w:ascii="宋体" w:hAnsi="宋体" w:cs="宋体" w:eastAsia="宋体" w:hint="default"/>
          <w:spacing w:val="-2"/>
        </w:rPr>
        <w:t>(</w:t>
      </w:r>
      <w:r>
        <w:rPr>
          <w:spacing w:val="-2"/>
        </w:rPr>
        <w:t>含一组金融资产或金融负债</w:t>
      </w:r>
      <w:r>
        <w:rPr>
          <w:rFonts w:ascii="宋体" w:hAnsi="宋体" w:cs="宋体" w:eastAsia="宋体" w:hint="default"/>
          <w:spacing w:val="-2"/>
        </w:rPr>
        <w:t>)</w:t>
      </w:r>
      <w:r>
        <w:rPr>
          <w:spacing w:val="-2"/>
        </w:rPr>
        <w:t>的实际利率计算其摊</w:t>
      </w:r>
      <w:r>
        <w:rPr>
          <w:w w:val="100"/>
        </w:rPr>
        <w:t> </w:t>
      </w:r>
      <w:r>
        <w:rPr>
          <w:spacing w:val="-2"/>
        </w:rPr>
        <w:t>余成本及各期利息收入或支出的方法。实际利率是指将金融资产或金融负债在预期存续期间或适</w:t>
      </w:r>
      <w:r>
        <w:rPr>
          <w:spacing w:val="-25"/>
        </w:rPr>
        <w:t> </w:t>
      </w:r>
      <w:r>
        <w:rPr>
          <w:spacing w:val="-25"/>
        </w:rPr>
      </w:r>
      <w:r>
        <w:rPr/>
        <w:t>用的更短期间内的未来现金流量，折现为该金融资产或金融负债当前账面价值所使用的利率。</w:t>
      </w:r>
    </w:p>
    <w:p>
      <w:pPr>
        <w:pStyle w:val="BodyText"/>
        <w:spacing w:line="355" w:lineRule="auto" w:before="34"/>
        <w:ind w:left="137" w:right="218" w:firstLine="420"/>
        <w:jc w:val="both"/>
      </w:pPr>
      <w:r>
        <w:rPr>
          <w:spacing w:val="-2"/>
        </w:rPr>
        <w:t>在计算实际利率时，本集团在考虑金融资产或金融负债所有合同条款的基础上预计未来现金</w:t>
      </w:r>
      <w:r>
        <w:rPr>
          <w:w w:val="100"/>
        </w:rPr>
        <w:t> </w:t>
      </w:r>
      <w:r>
        <w:rPr>
          <w:spacing w:val="-2"/>
        </w:rPr>
        <w:t>流量</w:t>
      </w:r>
      <w:r>
        <w:rPr>
          <w:rFonts w:ascii="宋体" w:hAnsi="宋体" w:cs="宋体" w:eastAsia="宋体" w:hint="default"/>
          <w:spacing w:val="-2"/>
        </w:rPr>
        <w:t>(</w:t>
      </w:r>
      <w:r>
        <w:rPr>
          <w:spacing w:val="-2"/>
        </w:rPr>
        <w:t>不考虑未来的信用损失</w:t>
      </w:r>
      <w:r>
        <w:rPr>
          <w:rFonts w:ascii="宋体" w:hAnsi="宋体" w:cs="宋体" w:eastAsia="宋体" w:hint="default"/>
          <w:spacing w:val="-2"/>
        </w:rPr>
        <w:t>)</w:t>
      </w:r>
      <w:r>
        <w:rPr>
          <w:spacing w:val="-2"/>
        </w:rPr>
        <w:t>，同时还考虑金融资产或金融负债合同各方之间支付或收取的、属</w:t>
      </w:r>
      <w:r>
        <w:rPr>
          <w:spacing w:val="-29"/>
        </w:rPr>
        <w:t> </w:t>
      </w:r>
      <w:r>
        <w:rPr>
          <w:spacing w:val="-29"/>
        </w:rPr>
      </w:r>
      <w:r>
        <w:rPr/>
        <w:t>于实际利率组成部分的各项收费、交易费用及折价或溢价等。</w:t>
      </w:r>
    </w:p>
    <w:p>
      <w:pPr>
        <w:pStyle w:val="BodyText"/>
        <w:spacing w:line="357" w:lineRule="auto" w:before="32"/>
        <w:ind w:left="557" w:right="0"/>
        <w:jc w:val="left"/>
      </w:pPr>
      <w:r>
        <w:rPr>
          <w:rFonts w:ascii="宋体" w:hAnsi="宋体" w:cs="宋体" w:eastAsia="宋体" w:hint="default"/>
        </w:rPr>
        <w:t>10.2</w:t>
      </w:r>
      <w:r>
        <w:rPr>
          <w:rFonts w:ascii="宋体" w:hAnsi="宋体" w:cs="宋体" w:eastAsia="宋体" w:hint="default"/>
          <w:spacing w:val="-55"/>
        </w:rPr>
        <w:t> </w:t>
      </w:r>
      <w:r>
        <w:rPr/>
        <w:t>金融资产的分类、确认和计量</w:t>
      </w:r>
      <w:r>
        <w:rPr>
          <w:w w:val="100"/>
        </w:rPr>
        <w:t> </w:t>
      </w:r>
      <w:r>
        <w:rPr>
          <w:spacing w:val="-2"/>
        </w:rPr>
        <w:t>金融资产在初始确认时划分为以公允价值计量且其变动计入当期损益的金融资产、持有至到</w:t>
      </w:r>
    </w:p>
    <w:p>
      <w:pPr>
        <w:pStyle w:val="BodyText"/>
        <w:spacing w:line="355" w:lineRule="auto" w:before="31"/>
        <w:ind w:left="137" w:right="0"/>
        <w:jc w:val="left"/>
      </w:pPr>
      <w:r>
        <w:rPr>
          <w:spacing w:val="-2"/>
        </w:rPr>
        <w:t>期投资、贷款和应收款项以及可供出售金融资产。以常规方式买卖金融资产，按交易日会计进行</w:t>
      </w:r>
      <w:r>
        <w:rPr>
          <w:spacing w:val="-25"/>
        </w:rPr>
        <w:t> </w:t>
      </w:r>
      <w:r>
        <w:rPr>
          <w:spacing w:val="-25"/>
        </w:rPr>
      </w:r>
      <w:r>
        <w:rPr/>
        <w:t>确认和终止确认。本集团金融资产主要为贷款和应收款项以及可供出售金融资产。</w:t>
      </w:r>
    </w:p>
    <w:p>
      <w:pPr>
        <w:pStyle w:val="BodyText"/>
        <w:spacing w:line="355" w:lineRule="auto" w:before="32"/>
        <w:ind w:left="557" w:right="0"/>
        <w:jc w:val="left"/>
      </w:pPr>
      <w:r>
        <w:rPr>
          <w:rFonts w:ascii="宋体" w:hAnsi="宋体" w:cs="宋体" w:eastAsia="宋体" w:hint="default"/>
        </w:rPr>
        <w:t>10.2.1</w:t>
      </w:r>
      <w:r>
        <w:rPr>
          <w:rFonts w:ascii="宋体" w:hAnsi="宋体" w:cs="宋体" w:eastAsia="宋体" w:hint="default"/>
          <w:spacing w:val="-53"/>
        </w:rPr>
        <w:t> </w:t>
      </w:r>
      <w:r>
        <w:rPr/>
        <w:t>贷款和应收款项</w:t>
      </w:r>
      <w:r>
        <w:rPr>
          <w:w w:val="100"/>
        </w:rPr>
        <w:t> </w:t>
      </w:r>
      <w:r>
        <w:rPr>
          <w:spacing w:val="-2"/>
        </w:rPr>
        <w:t>贷款和应收款项是指在活跃市场中没有报价、回收金额固定或可确定的非衍生金融资产。本</w:t>
      </w:r>
    </w:p>
    <w:p>
      <w:pPr>
        <w:pStyle w:val="BodyText"/>
        <w:spacing w:line="355" w:lineRule="auto" w:before="34"/>
        <w:ind w:left="557" w:right="0" w:hanging="420"/>
        <w:jc w:val="left"/>
      </w:pPr>
      <w:r>
        <w:rPr/>
        <w:t>集团划分为贷款和应收款项的金融资产主要包括货币资金、应收账款及其他应收款等。</w:t>
      </w:r>
      <w:r>
        <w:rPr>
          <w:w w:val="100"/>
        </w:rPr>
        <w:t> </w:t>
      </w:r>
      <w:r>
        <w:rPr>
          <w:spacing w:val="-2"/>
        </w:rPr>
        <w:t>贷款和应收款项采用实际利率法，按摊余成本进行后续计量，在终止确认、发生减值或摊销</w:t>
      </w:r>
    </w:p>
    <w:p>
      <w:pPr>
        <w:pStyle w:val="BodyText"/>
        <w:spacing w:line="355" w:lineRule="auto" w:before="32"/>
        <w:ind w:left="557" w:right="5211" w:hanging="420"/>
        <w:jc w:val="left"/>
      </w:pPr>
      <w:r>
        <w:rPr>
          <w:spacing w:val="-2"/>
        </w:rPr>
        <w:t>时产生的利得或损失，计入当期损益。</w:t>
      </w:r>
      <w:r>
        <w:rPr>
          <w:spacing w:val="-72"/>
        </w:rPr>
        <w:t> </w:t>
      </w:r>
      <w:r>
        <w:rPr>
          <w:spacing w:val="-72"/>
        </w:rPr>
      </w:r>
      <w:r>
        <w:rPr>
          <w:rFonts w:ascii="宋体" w:hAnsi="宋体" w:cs="宋体" w:eastAsia="宋体" w:hint="default"/>
        </w:rPr>
        <w:t>10.2.2</w:t>
      </w:r>
      <w:r>
        <w:rPr>
          <w:rFonts w:ascii="宋体" w:hAnsi="宋体" w:cs="宋体" w:eastAsia="宋体" w:hint="default"/>
          <w:spacing w:val="-55"/>
        </w:rPr>
        <w:t> </w:t>
      </w:r>
      <w:r>
        <w:rPr/>
        <w:t>可供出售金融资产</w:t>
      </w:r>
    </w:p>
    <w:p>
      <w:pPr>
        <w:pStyle w:val="BodyText"/>
        <w:spacing w:line="357" w:lineRule="auto" w:before="32"/>
        <w:ind w:left="137" w:right="0" w:firstLine="420"/>
        <w:jc w:val="left"/>
      </w:pPr>
      <w:r>
        <w:rPr/>
        <w:t>可供出售金融资产包括初始确认时即被指定为可供出售的非衍生金融资产，以及除了以公允</w:t>
      </w:r>
      <w:r>
        <w:rPr>
          <w:w w:val="100"/>
        </w:rPr>
        <w:t> </w:t>
      </w:r>
      <w:r>
        <w:rPr>
          <w:spacing w:val="-4"/>
          <w:w w:val="100"/>
        </w:rPr>
        <w:t>价值计量且其变动计入当期损益的金融资产、贷款及应收款项或持有至到期投资以外的金融资产。</w:t>
      </w:r>
    </w:p>
    <w:p>
      <w:pPr>
        <w:pStyle w:val="BodyText"/>
        <w:spacing w:line="355" w:lineRule="auto" w:before="30"/>
        <w:ind w:left="137" w:right="218" w:firstLine="420"/>
        <w:jc w:val="both"/>
      </w:pPr>
      <w:r>
        <w:rPr>
          <w:spacing w:val="-2"/>
        </w:rPr>
        <w:t>可供出售金融资产采用公允价值进行后续计量，公允价值变动形成的利得或损失，除减值损</w:t>
      </w:r>
      <w:r>
        <w:rPr>
          <w:w w:val="100"/>
        </w:rPr>
        <w:t> </w:t>
      </w:r>
      <w:r>
        <w:rPr/>
        <w:t>失计入当期损益外，确认为其他综合收益，在该金融资产终止确认时转出，计入当期损益。</w:t>
      </w:r>
    </w:p>
    <w:p>
      <w:pPr>
        <w:pStyle w:val="BodyText"/>
        <w:spacing w:line="357" w:lineRule="auto" w:before="32"/>
        <w:ind w:left="557" w:right="0"/>
        <w:jc w:val="left"/>
      </w:pPr>
      <w:r>
        <w:rPr>
          <w:spacing w:val="-2"/>
        </w:rPr>
        <w:t>可供出售金融资产持有期间取得的利息及被投资单位宣告发放的现金股利，计入投资收益。</w:t>
      </w:r>
      <w:r>
        <w:rPr>
          <w:spacing w:val="-28"/>
        </w:rPr>
        <w:t> </w:t>
      </w:r>
      <w:r>
        <w:rPr>
          <w:spacing w:val="-28"/>
        </w:rPr>
      </w:r>
      <w:r>
        <w:rPr/>
        <w:t>在活跃市场中没有报价且其公允价值不能可靠计量的权益工具投资按照成本计量。</w:t>
      </w:r>
    </w:p>
    <w:p>
      <w:pPr>
        <w:pStyle w:val="BodyText"/>
        <w:spacing w:line="355" w:lineRule="auto" w:before="30"/>
        <w:ind w:left="557" w:right="0"/>
        <w:jc w:val="left"/>
      </w:pPr>
      <w:r>
        <w:rPr>
          <w:rFonts w:ascii="宋体" w:hAnsi="宋体" w:cs="宋体" w:eastAsia="宋体" w:hint="default"/>
        </w:rPr>
        <w:t>10.3</w:t>
      </w:r>
      <w:r>
        <w:rPr>
          <w:rFonts w:ascii="宋体" w:hAnsi="宋体" w:cs="宋体" w:eastAsia="宋体" w:hint="default"/>
          <w:spacing w:val="-55"/>
        </w:rPr>
        <w:t> </w:t>
      </w:r>
      <w:r>
        <w:rPr/>
        <w:t>金融资产减值</w:t>
      </w:r>
      <w:r>
        <w:rPr>
          <w:spacing w:val="-102"/>
        </w:rPr>
        <w:t> </w:t>
      </w:r>
      <w:r>
        <w:rPr>
          <w:spacing w:val="-102"/>
        </w:rPr>
      </w:r>
      <w:r>
        <w:rPr>
          <w:spacing w:val="-2"/>
        </w:rPr>
        <w:t>本集团在每个资产负债表日对金融资产的账面价值进行检查，有客观证据表明金融资产发生</w:t>
      </w:r>
    </w:p>
    <w:p>
      <w:pPr>
        <w:pStyle w:val="BodyText"/>
        <w:spacing w:line="355" w:lineRule="auto" w:before="33"/>
        <w:ind w:left="137" w:right="205"/>
        <w:jc w:val="left"/>
      </w:pPr>
      <w:r>
        <w:rPr>
          <w:spacing w:val="-6"/>
          <w:w w:val="100"/>
        </w:rPr>
        <w:t>减值的，计提减值准备。表明金融资产发生减值的客观证据是指金融资产初始确认后实际发生的、</w:t>
      </w:r>
      <w:r>
        <w:rPr>
          <w:w w:val="100"/>
        </w:rPr>
        <w:t> </w:t>
      </w:r>
      <w:r>
        <w:rPr/>
        <w:t>对该金融资产的预计未来现金流量有影响，且企业能够对该影响进行可靠计量的事项。</w:t>
      </w:r>
    </w:p>
    <w:p>
      <w:pPr>
        <w:pStyle w:val="BodyText"/>
        <w:spacing w:line="355" w:lineRule="auto" w:before="34"/>
        <w:ind w:left="557" w:right="2530"/>
        <w:jc w:val="left"/>
      </w:pPr>
      <w:r>
        <w:rPr>
          <w:spacing w:val="-2"/>
        </w:rPr>
        <w:t>金融资产发生减值的客观证据，包括下列可观察到的各项事项：</w:t>
      </w:r>
      <w:r>
        <w:rPr>
          <w:spacing w:val="-52"/>
        </w:rPr>
        <w:t> </w:t>
      </w:r>
      <w:r>
        <w:rPr>
          <w:spacing w:val="-52"/>
        </w:rPr>
      </w:r>
      <w:r>
        <w:rPr>
          <w:rFonts w:ascii="宋体" w:hAnsi="宋体" w:cs="宋体" w:eastAsia="宋体" w:hint="default"/>
        </w:rPr>
        <w:t>(1)</w:t>
      </w:r>
      <w:r>
        <w:rPr>
          <w:rFonts w:ascii="宋体" w:hAnsi="宋体" w:cs="宋体" w:eastAsia="宋体" w:hint="default"/>
          <w:spacing w:val="1"/>
        </w:rPr>
        <w:t> </w:t>
      </w:r>
      <w:r>
        <w:rPr/>
        <w:t>发行方或债务人发生严重财务困难；</w:t>
      </w:r>
    </w:p>
    <w:p>
      <w:pPr>
        <w:pStyle w:val="BodyText"/>
        <w:spacing w:line="240" w:lineRule="auto" w:before="32"/>
        <w:ind w:left="557" w:right="0"/>
        <w:jc w:val="left"/>
      </w:pPr>
      <w:r>
        <w:rPr>
          <w:rFonts w:ascii="宋体" w:hAnsi="宋体" w:cs="宋体" w:eastAsia="宋体" w:hint="default"/>
        </w:rPr>
        <w:t>(2)</w:t>
      </w:r>
      <w:r>
        <w:rPr>
          <w:rFonts w:ascii="宋体" w:hAnsi="宋体" w:cs="宋体" w:eastAsia="宋体" w:hint="default"/>
          <w:spacing w:val="-3"/>
        </w:rPr>
        <w:t> </w:t>
      </w:r>
      <w:r>
        <w:rPr/>
        <w:t>债务人违反了合同条款，如偿付利息或本金发生违约或逾期等；</w:t>
      </w:r>
    </w:p>
    <w:p>
      <w:pPr>
        <w:pStyle w:val="BodyText"/>
        <w:spacing w:line="240" w:lineRule="auto" w:before="133"/>
        <w:ind w:left="557" w:right="0"/>
        <w:jc w:val="left"/>
      </w:pPr>
      <w:r>
        <w:rPr>
          <w:rFonts w:ascii="宋体" w:hAnsi="宋体" w:cs="宋体" w:eastAsia="宋体" w:hint="default"/>
        </w:rPr>
        <w:t>(3)</w:t>
      </w:r>
      <w:r>
        <w:rPr>
          <w:rFonts w:ascii="宋体" w:hAnsi="宋体" w:cs="宋体" w:eastAsia="宋体" w:hint="default"/>
          <w:spacing w:val="-4"/>
        </w:rPr>
        <w:t> </w:t>
      </w:r>
      <w:r>
        <w:rPr/>
        <w:t>本集团出于经济或法律等方面因素的考虑，对发生财务困难的债务人作出让步；</w:t>
      </w:r>
    </w:p>
    <w:p>
      <w:pPr>
        <w:pStyle w:val="BodyText"/>
        <w:spacing w:line="240" w:lineRule="auto" w:before="133"/>
        <w:ind w:left="557" w:right="0"/>
        <w:jc w:val="left"/>
      </w:pPr>
      <w:r>
        <w:rPr>
          <w:rFonts w:ascii="宋体" w:hAnsi="宋体" w:cs="宋体" w:eastAsia="宋体" w:hint="default"/>
        </w:rPr>
        <w:t>(4)</w:t>
      </w:r>
      <w:r>
        <w:rPr>
          <w:rFonts w:ascii="宋体" w:hAnsi="宋体" w:cs="宋体" w:eastAsia="宋体" w:hint="default"/>
          <w:spacing w:val="-2"/>
        </w:rPr>
        <w:t> </w:t>
      </w:r>
      <w:r>
        <w:rPr/>
        <w:t>债务人很可能倒闭或者进行其他财务重组；</w:t>
      </w:r>
    </w:p>
    <w:p>
      <w:pPr>
        <w:pStyle w:val="BodyText"/>
        <w:spacing w:line="240" w:lineRule="auto" w:before="135"/>
        <w:ind w:left="557" w:right="0"/>
        <w:jc w:val="left"/>
      </w:pPr>
      <w:r>
        <w:rPr>
          <w:rFonts w:ascii="宋体" w:hAnsi="宋体" w:cs="宋体" w:eastAsia="宋体" w:hint="default"/>
        </w:rPr>
        <w:t>(5)</w:t>
      </w:r>
      <w:r>
        <w:rPr>
          <w:rFonts w:ascii="宋体" w:hAnsi="宋体" w:cs="宋体" w:eastAsia="宋体" w:hint="default"/>
          <w:spacing w:val="-2"/>
        </w:rPr>
        <w:t> </w:t>
      </w:r>
      <w:r>
        <w:rPr/>
        <w:t>因发行方发生重大财务困难，导致金融资产无法在活跃市场继续交易；</w:t>
      </w:r>
    </w:p>
    <w:p>
      <w:pPr>
        <w:spacing w:after="0" w:line="240" w:lineRule="auto"/>
        <w:jc w:val="left"/>
        <w:sectPr>
          <w:pgSz w:w="11910" w:h="16840"/>
          <w:pgMar w:header="857" w:footer="1217" w:top="1320" w:bottom="1400" w:left="1140" w:right="1580"/>
        </w:sectPr>
      </w:pPr>
    </w:p>
    <w:p>
      <w:pPr>
        <w:pStyle w:val="BodyText"/>
        <w:spacing w:line="355" w:lineRule="auto" w:before="72"/>
        <w:ind w:left="137" w:right="218" w:firstLine="420"/>
        <w:jc w:val="both"/>
      </w:pPr>
      <w:r>
        <w:rPr>
          <w:rFonts w:ascii="宋体" w:hAnsi="宋体" w:cs="宋体" w:eastAsia="宋体" w:hint="default"/>
        </w:rPr>
        <w:t>(6)</w:t>
      </w:r>
      <w:r>
        <w:rPr>
          <w:rFonts w:ascii="宋体" w:hAnsi="宋体" w:cs="宋体" w:eastAsia="宋体" w:hint="default"/>
          <w:spacing w:val="-3"/>
        </w:rPr>
        <w:t> </w:t>
      </w:r>
      <w:r>
        <w:rPr/>
        <w:t>无法辨认一组金融资产中的某项资产的现金流量是否已经减少，但根据公开的数据对其</w:t>
      </w:r>
      <w:r>
        <w:rPr>
          <w:w w:val="100"/>
        </w:rPr>
        <w:t> </w:t>
      </w:r>
      <w:r>
        <w:rPr>
          <w:spacing w:val="-2"/>
        </w:rPr>
        <w:t>进行总体评价后发现，该组金融资产自初始确认以来的预计未来现金流量确已减少且可计量，包</w:t>
      </w:r>
      <w:r>
        <w:rPr>
          <w:spacing w:val="-25"/>
        </w:rPr>
        <w:t> </w:t>
      </w:r>
      <w:r>
        <w:rPr>
          <w:spacing w:val="-25"/>
        </w:rPr>
      </w:r>
      <w:r>
        <w:rPr/>
        <w:t>括：</w:t>
      </w:r>
    </w:p>
    <w:p>
      <w:pPr>
        <w:pStyle w:val="BodyText"/>
        <w:spacing w:line="240" w:lineRule="auto" w:before="34"/>
        <w:ind w:left="557" w:right="0"/>
        <w:jc w:val="left"/>
      </w:pPr>
      <w:r>
        <w:rPr>
          <w:rFonts w:ascii="宋体" w:hAnsi="宋体" w:cs="宋体" w:eastAsia="宋体" w:hint="default"/>
        </w:rPr>
        <w:t>-</w:t>
      </w:r>
      <w:r>
        <w:rPr/>
        <w:t>该组金融资产的债务人支付能力逐步恶化；</w:t>
      </w:r>
    </w:p>
    <w:p>
      <w:pPr>
        <w:pStyle w:val="BodyText"/>
        <w:spacing w:line="240" w:lineRule="auto" w:before="133"/>
        <w:ind w:left="557" w:right="0"/>
        <w:jc w:val="left"/>
      </w:pPr>
      <w:r>
        <w:rPr>
          <w:rFonts w:ascii="宋体" w:hAnsi="宋体" w:cs="宋体" w:eastAsia="宋体" w:hint="default"/>
        </w:rPr>
        <w:t>-</w:t>
      </w:r>
      <w:r>
        <w:rPr/>
        <w:t>债务人所在国家或地区经济出现了可能导致该组金融资产无法支付的状况；</w:t>
      </w:r>
    </w:p>
    <w:p>
      <w:pPr>
        <w:pStyle w:val="BodyText"/>
        <w:spacing w:line="355" w:lineRule="auto" w:before="133"/>
        <w:ind w:left="137" w:right="218" w:firstLine="420"/>
        <w:jc w:val="both"/>
      </w:pPr>
      <w:r>
        <w:rPr>
          <w:rFonts w:ascii="宋体" w:hAnsi="宋体" w:cs="宋体" w:eastAsia="宋体" w:hint="default"/>
        </w:rPr>
        <w:t>(7)</w:t>
      </w:r>
      <w:r>
        <w:rPr>
          <w:rFonts w:ascii="宋体" w:hAnsi="宋体" w:cs="宋体" w:eastAsia="宋体" w:hint="default"/>
          <w:spacing w:val="-3"/>
        </w:rPr>
        <w:t> </w:t>
      </w:r>
      <w:r>
        <w:rPr/>
        <w:t>权益工具发行人经营所处的技术、市场、经济或法律环境等发生重大不利变化，使权益</w:t>
      </w:r>
      <w:r>
        <w:rPr>
          <w:w w:val="100"/>
        </w:rPr>
        <w:t> </w:t>
      </w:r>
      <w:r>
        <w:rPr/>
        <w:t>工具投资人可能无法收回投资成本；</w:t>
      </w:r>
    </w:p>
    <w:p>
      <w:pPr>
        <w:pStyle w:val="BodyText"/>
        <w:spacing w:line="357" w:lineRule="auto" w:before="34"/>
        <w:ind w:left="137" w:right="212" w:firstLine="420"/>
        <w:jc w:val="left"/>
      </w:pPr>
      <w:r>
        <w:rPr>
          <w:rFonts w:ascii="宋体" w:hAnsi="宋体" w:cs="宋体" w:eastAsia="宋体" w:hint="default"/>
        </w:rPr>
        <w:t>(8)</w:t>
      </w:r>
      <w:r>
        <w:rPr>
          <w:rFonts w:ascii="宋体" w:hAnsi="宋体" w:cs="宋体" w:eastAsia="宋体" w:hint="default"/>
          <w:spacing w:val="-3"/>
        </w:rPr>
        <w:t> </w:t>
      </w:r>
      <w:r>
        <w:rPr/>
        <w:t>权益工具投资的公允价值发生严重或非暂时性下跌，即于资产负债表日，若一项权益工</w:t>
      </w:r>
      <w:r>
        <w:rPr>
          <w:w w:val="100"/>
        </w:rPr>
        <w:t> </w:t>
      </w:r>
      <w:r>
        <w:rPr/>
        <w:t>具投资的公允价值低于其初始投资成本超过</w:t>
      </w:r>
      <w:r>
        <w:rPr>
          <w:spacing w:val="-55"/>
        </w:rPr>
        <w:t> </w:t>
      </w:r>
      <w:r>
        <w:rPr>
          <w:rFonts w:ascii="宋体" w:hAnsi="宋体" w:cs="宋体" w:eastAsia="宋体" w:hint="default"/>
        </w:rPr>
        <w:t>50%(</w:t>
      </w:r>
      <w:r>
        <w:rPr/>
        <w:t>含</w:t>
      </w:r>
      <w:r>
        <w:rPr>
          <w:spacing w:val="-56"/>
        </w:rPr>
        <w:t> </w:t>
      </w:r>
      <w:r>
        <w:rPr>
          <w:rFonts w:ascii="宋体" w:hAnsi="宋体" w:cs="宋体" w:eastAsia="宋体" w:hint="default"/>
        </w:rPr>
        <w:t>50%)</w:t>
      </w:r>
      <w:r>
        <w:rPr/>
        <w:t>，或低于其初始投资成本持续时间超过</w:t>
      </w:r>
      <w:r>
        <w:rPr>
          <w:w w:val="100"/>
        </w:rPr>
        <w:t> </w:t>
      </w:r>
      <w:r>
        <w:rPr>
          <w:rFonts w:ascii="宋体" w:hAnsi="宋体" w:cs="宋体" w:eastAsia="宋体" w:hint="default"/>
        </w:rPr>
        <w:t>12</w:t>
      </w:r>
      <w:r>
        <w:rPr>
          <w:rFonts w:ascii="宋体" w:hAnsi="宋体" w:cs="宋体" w:eastAsia="宋体" w:hint="default"/>
          <w:spacing w:val="-52"/>
        </w:rPr>
        <w:t> </w:t>
      </w:r>
      <w:r>
        <w:rPr/>
        <w:t>个月</w:t>
      </w:r>
      <w:r>
        <w:rPr>
          <w:rFonts w:ascii="宋体" w:hAnsi="宋体" w:cs="宋体" w:eastAsia="宋体" w:hint="default"/>
        </w:rPr>
        <w:t>(</w:t>
      </w:r>
      <w:r>
        <w:rPr/>
        <w:t>含</w:t>
      </w:r>
      <w:r>
        <w:rPr>
          <w:spacing w:val="-54"/>
        </w:rPr>
        <w:t> </w:t>
      </w:r>
      <w:r>
        <w:rPr>
          <w:rFonts w:ascii="宋体" w:hAnsi="宋体" w:cs="宋体" w:eastAsia="宋体" w:hint="default"/>
        </w:rPr>
        <w:t>12</w:t>
      </w:r>
      <w:r>
        <w:rPr>
          <w:rFonts w:ascii="宋体" w:hAnsi="宋体" w:cs="宋体" w:eastAsia="宋体" w:hint="default"/>
          <w:spacing w:val="-54"/>
        </w:rPr>
        <w:t> </w:t>
      </w:r>
      <w:r>
        <w:rPr/>
        <w:t>个月</w:t>
      </w:r>
      <w:r>
        <w:rPr>
          <w:rFonts w:ascii="宋体" w:hAnsi="宋体" w:cs="宋体" w:eastAsia="宋体" w:hint="default"/>
        </w:rPr>
        <w:t>)</w:t>
      </w:r>
      <w:r>
        <w:rPr/>
        <w:t>；</w:t>
      </w:r>
    </w:p>
    <w:p>
      <w:pPr>
        <w:pStyle w:val="BodyText"/>
        <w:spacing w:line="240" w:lineRule="auto" w:before="30"/>
        <w:ind w:left="557" w:right="0"/>
        <w:jc w:val="left"/>
      </w:pPr>
      <w:r>
        <w:rPr>
          <w:rFonts w:ascii="宋体" w:hAnsi="宋体" w:cs="宋体" w:eastAsia="宋体" w:hint="default"/>
        </w:rPr>
        <w:t>(9) </w:t>
      </w:r>
      <w:r>
        <w:rPr/>
        <w:t>其他表明金融资产发生减值的客观证据。</w:t>
      </w:r>
    </w:p>
    <w:p>
      <w:pPr>
        <w:pStyle w:val="BodyText"/>
        <w:spacing w:line="357" w:lineRule="auto" w:before="133"/>
        <w:ind w:left="557" w:right="0"/>
        <w:jc w:val="left"/>
      </w:pPr>
      <w:r>
        <w:rPr>
          <w:rFonts w:ascii="宋体" w:hAnsi="宋体" w:cs="宋体" w:eastAsia="宋体" w:hint="default"/>
        </w:rPr>
        <w:t>- </w:t>
      </w:r>
      <w:r>
        <w:rPr/>
        <w:t>以摊余成本计量的金融资产减值</w:t>
      </w:r>
      <w:r>
        <w:rPr>
          <w:w w:val="100"/>
        </w:rPr>
        <w:t> </w:t>
      </w:r>
      <w:r>
        <w:rPr>
          <w:spacing w:val="-2"/>
        </w:rPr>
        <w:t>以摊余成本计量的金融资产发生减值时，将其账面价值减记至按照该金融资产的原实际利率</w:t>
      </w:r>
    </w:p>
    <w:p>
      <w:pPr>
        <w:pStyle w:val="BodyText"/>
        <w:spacing w:line="357" w:lineRule="auto" w:before="30"/>
        <w:ind w:left="137" w:right="0"/>
        <w:jc w:val="left"/>
      </w:pPr>
      <w:r>
        <w:rPr>
          <w:spacing w:val="-4"/>
          <w:w w:val="100"/>
        </w:rPr>
        <w:t>折现确定的预计未来现金流量</w:t>
      </w:r>
      <w:r>
        <w:rPr>
          <w:rFonts w:ascii="宋体" w:hAnsi="宋体" w:cs="宋体" w:eastAsia="宋体" w:hint="default"/>
          <w:spacing w:val="-4"/>
          <w:w w:val="100"/>
        </w:rPr>
        <w:t>(</w:t>
      </w:r>
      <w:r>
        <w:rPr>
          <w:spacing w:val="-4"/>
          <w:w w:val="100"/>
        </w:rPr>
        <w:t>不包括尚未发生的未来信用损失</w:t>
      </w:r>
      <w:r>
        <w:rPr>
          <w:rFonts w:ascii="宋体" w:hAnsi="宋体" w:cs="宋体" w:eastAsia="宋体" w:hint="default"/>
          <w:spacing w:val="-4"/>
          <w:w w:val="100"/>
        </w:rPr>
        <w:t>)</w:t>
      </w:r>
      <w:r>
        <w:rPr>
          <w:spacing w:val="-4"/>
          <w:w w:val="100"/>
        </w:rPr>
        <w:t>现值，减记金额确认为减值损失，</w:t>
      </w:r>
      <w:r>
        <w:rPr>
          <w:spacing w:val="-82"/>
          <w:w w:val="100"/>
        </w:rPr>
        <w:t> </w:t>
      </w:r>
      <w:r>
        <w:rPr>
          <w:spacing w:val="-82"/>
          <w:w w:val="100"/>
        </w:rPr>
      </w:r>
      <w:r>
        <w:rPr/>
        <w:t>计入当期损益。金融资产确认减值损失后，如有客观证据表明该金融资产价值已恢复，且客观上</w:t>
      </w:r>
      <w:r>
        <w:rPr>
          <w:w w:val="100"/>
        </w:rPr>
        <w:t> </w:t>
      </w:r>
      <w:r>
        <w:rPr/>
        <w:t>与确认该损失后发生的事项有关，原确认的减值损失予以转回，但金融资产转回减值损失后的账</w:t>
      </w:r>
      <w:r>
        <w:rPr>
          <w:w w:val="100"/>
        </w:rPr>
        <w:t> </w:t>
      </w:r>
      <w:r>
        <w:rPr/>
        <w:t>面价值不超过假定不计提减值准备情况下该金融资产在转回日的摊余成本。</w:t>
      </w:r>
    </w:p>
    <w:p>
      <w:pPr>
        <w:pStyle w:val="BodyText"/>
        <w:spacing w:line="357" w:lineRule="auto" w:before="32"/>
        <w:ind w:left="137" w:right="218" w:firstLine="420"/>
        <w:jc w:val="both"/>
      </w:pPr>
      <w:r>
        <w:rPr>
          <w:spacing w:val="-2"/>
        </w:rPr>
        <w:t>本集团对单项金额重大的金融资产单独进行减值测试；对单项金额不重大的金融资产，单独</w:t>
      </w:r>
      <w:r>
        <w:rPr>
          <w:w w:val="100"/>
        </w:rPr>
        <w:t> </w:t>
      </w:r>
      <w:r>
        <w:rPr>
          <w:spacing w:val="-2"/>
        </w:rPr>
        <w:t>进行减值测试或包括在具有类似信用风险特征的金融资产组合中进行减值测试。单独测试未发生</w:t>
      </w:r>
      <w:r>
        <w:rPr>
          <w:spacing w:val="-25"/>
        </w:rPr>
        <w:t> </w:t>
      </w:r>
      <w:r>
        <w:rPr>
          <w:spacing w:val="-25"/>
        </w:rPr>
      </w:r>
      <w:r>
        <w:rPr>
          <w:spacing w:val="-2"/>
        </w:rPr>
        <w:t>减值的金融资产</w:t>
      </w:r>
      <w:r>
        <w:rPr>
          <w:rFonts w:ascii="宋体" w:hAnsi="宋体" w:cs="宋体" w:eastAsia="宋体" w:hint="default"/>
          <w:spacing w:val="-2"/>
        </w:rPr>
        <w:t>(</w:t>
      </w:r>
      <w:r>
        <w:rPr>
          <w:spacing w:val="-2"/>
        </w:rPr>
        <w:t>包括单项金额重大和不重大的金融资产</w:t>
      </w:r>
      <w:r>
        <w:rPr>
          <w:rFonts w:ascii="宋体" w:hAnsi="宋体" w:cs="宋体" w:eastAsia="宋体" w:hint="default"/>
          <w:spacing w:val="-2"/>
        </w:rPr>
        <w:t>)</w:t>
      </w:r>
      <w:r>
        <w:rPr>
          <w:spacing w:val="-2"/>
        </w:rPr>
        <w:t>，包括在具有类似信用风险特征的金融</w:t>
      </w:r>
      <w:r>
        <w:rPr>
          <w:spacing w:val="-29"/>
        </w:rPr>
        <w:t> </w:t>
      </w:r>
      <w:r>
        <w:rPr>
          <w:spacing w:val="-29"/>
        </w:rPr>
      </w:r>
      <w:r>
        <w:rPr>
          <w:spacing w:val="-2"/>
        </w:rPr>
        <w:t>资产组合中再进行减值测试。已单项确认减值损失的金融资产，不包括在具有类似信用风险特征</w:t>
      </w:r>
      <w:r>
        <w:rPr>
          <w:spacing w:val="-25"/>
        </w:rPr>
        <w:t> </w:t>
      </w:r>
      <w:r>
        <w:rPr>
          <w:spacing w:val="-25"/>
        </w:rPr>
      </w:r>
      <w:r>
        <w:rPr/>
        <w:t>的金融资产组合中进行减值测试。</w:t>
      </w:r>
    </w:p>
    <w:p>
      <w:pPr>
        <w:pStyle w:val="BodyText"/>
        <w:spacing w:line="355" w:lineRule="auto" w:before="30"/>
        <w:ind w:left="557" w:right="0"/>
        <w:jc w:val="left"/>
      </w:pPr>
      <w:r>
        <w:rPr>
          <w:rFonts w:ascii="宋体" w:hAnsi="宋体" w:cs="宋体" w:eastAsia="宋体" w:hint="default"/>
        </w:rPr>
        <w:t>- </w:t>
      </w:r>
      <w:r>
        <w:rPr/>
        <w:t>可供出售金融资产减值</w:t>
      </w:r>
      <w:r>
        <w:rPr>
          <w:w w:val="100"/>
        </w:rPr>
        <w:t> </w:t>
      </w:r>
      <w:r>
        <w:rPr>
          <w:spacing w:val="-2"/>
        </w:rPr>
        <w:t>可供出售金融资产发生减值时，将原计入其他综合收益的因公允价值下降形成的累计损失予</w:t>
      </w:r>
    </w:p>
    <w:p>
      <w:pPr>
        <w:pStyle w:val="BodyText"/>
        <w:spacing w:line="355" w:lineRule="auto" w:before="33"/>
        <w:ind w:left="137" w:right="0"/>
        <w:jc w:val="left"/>
      </w:pPr>
      <w:r>
        <w:rPr>
          <w:spacing w:val="-4"/>
          <w:w w:val="100"/>
        </w:rPr>
        <w:t>以转出并计入当期损益，该转出的累计损失为该资产初始取得成本扣除已收回本金和已摊销金额、</w:t>
      </w:r>
      <w:r>
        <w:rPr>
          <w:spacing w:val="-86"/>
          <w:w w:val="100"/>
        </w:rPr>
        <w:t> </w:t>
      </w:r>
      <w:r>
        <w:rPr>
          <w:spacing w:val="-86"/>
          <w:w w:val="100"/>
        </w:rPr>
      </w:r>
      <w:r>
        <w:rPr/>
        <w:t>当前公允价值和原已计入损益的减值损失后的余额。</w:t>
      </w:r>
    </w:p>
    <w:p>
      <w:pPr>
        <w:pStyle w:val="BodyText"/>
        <w:spacing w:line="355" w:lineRule="auto" w:before="34"/>
        <w:ind w:left="137" w:right="218" w:firstLine="420"/>
        <w:jc w:val="both"/>
      </w:pPr>
      <w:r>
        <w:rPr>
          <w:spacing w:val="-2"/>
        </w:rPr>
        <w:t>在确认减值损失后，期后如有客观证据表明该金融资产价值已恢复，且客观上与确认该损失</w:t>
      </w:r>
      <w:r>
        <w:rPr>
          <w:w w:val="100"/>
        </w:rPr>
        <w:t> </w:t>
      </w:r>
      <w:r>
        <w:rPr>
          <w:spacing w:val="-2"/>
        </w:rPr>
        <w:t>后发生的事项有关，原确认的减值损失予以转回，可供出售权益工具投资的减值损失转回确认为</w:t>
      </w:r>
      <w:r>
        <w:rPr>
          <w:spacing w:val="-25"/>
        </w:rPr>
        <w:t> </w:t>
      </w:r>
      <w:r>
        <w:rPr>
          <w:spacing w:val="-25"/>
        </w:rPr>
      </w:r>
      <w:r>
        <w:rPr/>
        <w:t>其他综合收益，可供出售债务工具投资的减值损失转回计入当期损益。</w:t>
      </w:r>
    </w:p>
    <w:p>
      <w:pPr>
        <w:pStyle w:val="BodyText"/>
        <w:spacing w:line="355" w:lineRule="auto" w:before="32"/>
        <w:ind w:left="557" w:right="0"/>
        <w:jc w:val="left"/>
      </w:pPr>
      <w:r>
        <w:rPr>
          <w:rFonts w:ascii="宋体" w:hAnsi="宋体" w:cs="宋体" w:eastAsia="宋体" w:hint="default"/>
        </w:rPr>
        <w:t>- </w:t>
      </w:r>
      <w:r>
        <w:rPr/>
        <w:t>以成本计量的金融资产减值</w:t>
      </w:r>
      <w:r>
        <w:rPr>
          <w:w w:val="100"/>
        </w:rPr>
        <w:t> </w:t>
      </w:r>
      <w:r>
        <w:rPr>
          <w:spacing w:val="-2"/>
        </w:rPr>
        <w:t>在活跃市场中没有报价且其公允价值不能可靠计量的权益工具投资发生减值时，将其账面价</w:t>
      </w:r>
    </w:p>
    <w:p>
      <w:pPr>
        <w:pStyle w:val="BodyText"/>
        <w:spacing w:line="357" w:lineRule="auto" w:before="34"/>
        <w:ind w:left="137" w:right="0"/>
        <w:jc w:val="left"/>
      </w:pPr>
      <w:r>
        <w:rPr>
          <w:spacing w:val="-2"/>
        </w:rPr>
        <w:t>值减记至与按照类似金融资产当时市场收益率对未来现金流量折现确定的现值，减记金额确认为</w:t>
      </w:r>
      <w:r>
        <w:rPr>
          <w:spacing w:val="-25"/>
        </w:rPr>
        <w:t> </w:t>
      </w:r>
      <w:r>
        <w:rPr>
          <w:spacing w:val="-25"/>
        </w:rPr>
      </w:r>
      <w:r>
        <w:rPr/>
        <w:t>减值损失，计入当期损益。此类金融资产的减值损失一经确认不予转回。</w:t>
      </w:r>
    </w:p>
    <w:p>
      <w:pPr>
        <w:pStyle w:val="BodyText"/>
        <w:spacing w:line="240" w:lineRule="auto" w:before="30"/>
        <w:ind w:left="557" w:right="0"/>
        <w:jc w:val="left"/>
      </w:pPr>
      <w:r>
        <w:rPr>
          <w:rFonts w:ascii="宋体" w:hAnsi="宋体" w:cs="宋体" w:eastAsia="宋体" w:hint="default"/>
        </w:rPr>
        <w:t>10.4</w:t>
      </w:r>
      <w:r>
        <w:rPr>
          <w:rFonts w:ascii="宋体" w:hAnsi="宋体" w:cs="宋体" w:eastAsia="宋体" w:hint="default"/>
          <w:spacing w:val="-54"/>
        </w:rPr>
        <w:t> </w:t>
      </w:r>
      <w:r>
        <w:rPr/>
        <w:t>金融资产的转移</w:t>
      </w:r>
    </w:p>
    <w:p>
      <w:pPr>
        <w:spacing w:after="0" w:line="240" w:lineRule="auto"/>
        <w:jc w:val="left"/>
        <w:sectPr>
          <w:pgSz w:w="11910" w:h="16840"/>
          <w:pgMar w:header="857" w:footer="1217" w:top="1320" w:bottom="1400" w:left="1140" w:right="1580"/>
        </w:sectPr>
      </w:pPr>
    </w:p>
    <w:p>
      <w:pPr>
        <w:pStyle w:val="BodyText"/>
        <w:spacing w:line="357" w:lineRule="auto" w:before="72"/>
        <w:ind w:left="137" w:right="102" w:firstLine="420"/>
        <w:jc w:val="left"/>
      </w:pPr>
      <w:r>
        <w:rPr>
          <w:spacing w:val="-6"/>
          <w:w w:val="100"/>
        </w:rPr>
        <w:t>满足下列条件之一的金融资产，予以终止确认：</w:t>
      </w:r>
      <w:r>
        <w:rPr>
          <w:rFonts w:ascii="宋体" w:hAnsi="宋体" w:cs="宋体" w:eastAsia="宋体" w:hint="default"/>
          <w:spacing w:val="-6"/>
          <w:w w:val="100"/>
        </w:rPr>
        <w:t>(1)</w:t>
      </w:r>
      <w:r>
        <w:rPr>
          <w:spacing w:val="-6"/>
          <w:w w:val="100"/>
        </w:rPr>
        <w:t>收取该金融资产现金流量的合同权利终止；</w:t>
      </w:r>
      <w:r>
        <w:rPr>
          <w:w w:val="100"/>
        </w:rPr>
        <w:t> </w:t>
      </w:r>
      <w:r>
        <w:rPr>
          <w:rFonts w:ascii="宋体" w:hAnsi="宋体" w:cs="宋体" w:eastAsia="宋体" w:hint="default"/>
        </w:rPr>
        <w:t>(2)</w:t>
      </w:r>
      <w:r>
        <w:rPr/>
        <w:t>该金融资产已转移，且将金融资产所有权上几乎所有的风险和报酬转移给转入方；</w:t>
      </w:r>
      <w:r>
        <w:rPr>
          <w:rFonts w:ascii="宋体" w:hAnsi="宋体" w:cs="宋体" w:eastAsia="宋体" w:hint="default"/>
        </w:rPr>
        <w:t>(3)</w:t>
      </w:r>
      <w:r>
        <w:rPr/>
        <w:t>该金融</w:t>
      </w:r>
      <w:r>
        <w:rPr>
          <w:w w:val="100"/>
        </w:rPr>
        <w:t> </w:t>
      </w:r>
      <w:r>
        <w:rPr/>
        <w:t>资产已转移，虽然企业既没有转移也没有保留金融资产所有权上几乎所有的风险和报酬，但是放</w:t>
      </w:r>
      <w:r>
        <w:rPr>
          <w:w w:val="100"/>
        </w:rPr>
        <w:t> </w:t>
      </w:r>
      <w:r>
        <w:rPr/>
        <w:t>弃了对该金融资产控制。</w:t>
      </w:r>
    </w:p>
    <w:p>
      <w:pPr>
        <w:pStyle w:val="BodyText"/>
        <w:spacing w:line="355" w:lineRule="auto" w:before="30"/>
        <w:ind w:left="137" w:right="218" w:firstLine="420"/>
        <w:jc w:val="both"/>
      </w:pPr>
      <w:r>
        <w:rPr>
          <w:spacing w:val="-2"/>
        </w:rPr>
        <w:t>金融资产整体转移满足终止确认条件的，将所转移金融资产的账面价值及因转移而收到的对</w:t>
      </w:r>
      <w:r>
        <w:rPr>
          <w:w w:val="100"/>
        </w:rPr>
        <w:t> </w:t>
      </w:r>
      <w:r>
        <w:rPr/>
        <w:t>价与原计入其他综合收益的公允价值变动累计额之和的差额计入当期损益。</w:t>
      </w:r>
    </w:p>
    <w:p>
      <w:pPr>
        <w:pStyle w:val="BodyText"/>
        <w:spacing w:line="357" w:lineRule="auto" w:before="32"/>
        <w:ind w:left="137" w:right="218" w:firstLine="420"/>
        <w:jc w:val="both"/>
      </w:pPr>
      <w:r>
        <w:rPr>
          <w:spacing w:val="-2"/>
        </w:rPr>
        <w:t>金融资产部分转移满足终止确认条件的，将所转移金融资产的账面价值在终止确认及未终止</w:t>
      </w:r>
      <w:r>
        <w:rPr>
          <w:w w:val="100"/>
        </w:rPr>
        <w:t> </w:t>
      </w:r>
      <w:r>
        <w:rPr>
          <w:spacing w:val="-2"/>
        </w:rPr>
        <w:t>确认部分之间按其相对的公允价值进行分摊，并将因转移而收到的对价与应分摊至终止确认部分</w:t>
      </w:r>
      <w:r>
        <w:rPr>
          <w:spacing w:val="-25"/>
        </w:rPr>
        <w:t> </w:t>
      </w:r>
      <w:r>
        <w:rPr>
          <w:spacing w:val="-25"/>
        </w:rPr>
      </w:r>
      <w:r>
        <w:rPr>
          <w:spacing w:val="-2"/>
        </w:rPr>
        <w:t>的原计入其他综合收益的公允价值变动累计额之和与分摊的前述账面金额之差额计入当期损益。</w:t>
      </w:r>
    </w:p>
    <w:p>
      <w:pPr>
        <w:pStyle w:val="BodyText"/>
        <w:spacing w:line="355" w:lineRule="auto" w:before="30"/>
        <w:ind w:left="557" w:right="0"/>
        <w:jc w:val="left"/>
      </w:pPr>
      <w:r>
        <w:rPr>
          <w:rFonts w:ascii="宋体" w:hAnsi="宋体" w:cs="宋体" w:eastAsia="宋体" w:hint="default"/>
        </w:rPr>
        <w:t>10.5</w:t>
      </w:r>
      <w:r>
        <w:rPr>
          <w:rFonts w:ascii="宋体" w:hAnsi="宋体" w:cs="宋体" w:eastAsia="宋体" w:hint="default"/>
          <w:spacing w:val="-55"/>
        </w:rPr>
        <w:t> </w:t>
      </w:r>
      <w:r>
        <w:rPr/>
        <w:t>金融负债的分类、确认及计量</w:t>
      </w:r>
      <w:r>
        <w:rPr>
          <w:w w:val="100"/>
        </w:rPr>
        <w:t> </w:t>
      </w:r>
      <w:r>
        <w:rPr>
          <w:spacing w:val="-2"/>
        </w:rPr>
        <w:t>本集团根据所发行金融工具的合同条款及其所反映的经济实质而非仅以法律形式，结合金融</w:t>
      </w:r>
    </w:p>
    <w:p>
      <w:pPr>
        <w:pStyle w:val="BodyText"/>
        <w:spacing w:line="357" w:lineRule="auto" w:before="32"/>
        <w:ind w:left="557" w:right="0" w:hanging="420"/>
        <w:jc w:val="left"/>
      </w:pPr>
      <w:r>
        <w:rPr>
          <w:spacing w:val="-2"/>
        </w:rPr>
        <w:t>负债和权益工具的定义，在初始确认时将该金融工具或其组成部分分类为金融负债或权益工具。</w:t>
      </w:r>
      <w:r>
        <w:rPr>
          <w:spacing w:val="-25"/>
        </w:rPr>
        <w:t> </w:t>
      </w:r>
      <w:r>
        <w:rPr>
          <w:spacing w:val="-25"/>
        </w:rPr>
      </w:r>
      <w:r>
        <w:rPr>
          <w:spacing w:val="-2"/>
        </w:rPr>
        <w:t>金融负债在初始确认时划分为以公允价值计量且其变动计入当期损益的金融负债和其他金融</w:t>
      </w:r>
    </w:p>
    <w:p>
      <w:pPr>
        <w:pStyle w:val="BodyText"/>
        <w:spacing w:line="355" w:lineRule="auto" w:before="30"/>
        <w:ind w:left="557" w:right="4841" w:hanging="420"/>
        <w:jc w:val="left"/>
      </w:pPr>
      <w:r>
        <w:rPr>
          <w:spacing w:val="-2"/>
        </w:rPr>
        <w:t>负债。本集团金融负债主要为其他金融负债。</w:t>
      </w:r>
      <w:r>
        <w:rPr>
          <w:spacing w:val="-65"/>
        </w:rPr>
        <w:t> </w:t>
      </w:r>
      <w:r>
        <w:rPr>
          <w:spacing w:val="-65"/>
        </w:rPr>
      </w:r>
      <w:r>
        <w:rPr>
          <w:rFonts w:ascii="宋体" w:hAnsi="宋体" w:cs="宋体" w:eastAsia="宋体" w:hint="default"/>
        </w:rPr>
        <w:t>10.5.1</w:t>
      </w:r>
      <w:r>
        <w:rPr>
          <w:rFonts w:ascii="宋体" w:hAnsi="宋体" w:cs="宋体" w:eastAsia="宋体" w:hint="default"/>
          <w:spacing w:val="-55"/>
        </w:rPr>
        <w:t> </w:t>
      </w:r>
      <w:r>
        <w:rPr/>
        <w:t>其他金融负债</w:t>
      </w:r>
    </w:p>
    <w:p>
      <w:pPr>
        <w:pStyle w:val="BodyText"/>
        <w:spacing w:line="357" w:lineRule="auto" w:before="32"/>
        <w:ind w:left="137" w:right="218" w:firstLine="420"/>
        <w:jc w:val="both"/>
      </w:pPr>
      <w:r>
        <w:rPr>
          <w:spacing w:val="-2"/>
        </w:rPr>
        <w:t>本集团其他金融负债主要包括应付账款及其他应付款等金融负债。除财务担保合同负债外的</w:t>
      </w:r>
      <w:r>
        <w:rPr>
          <w:w w:val="100"/>
        </w:rPr>
        <w:t> </w:t>
      </w:r>
      <w:r>
        <w:rPr>
          <w:spacing w:val="-2"/>
        </w:rPr>
        <w:t>其他金融负债采用实际利率法，按摊余成本进行后续计量，终止确认或摊销产生的利得或损失计</w:t>
      </w:r>
      <w:r>
        <w:rPr>
          <w:spacing w:val="-25"/>
        </w:rPr>
        <w:t> </w:t>
      </w:r>
      <w:r>
        <w:rPr>
          <w:spacing w:val="-25"/>
        </w:rPr>
      </w:r>
      <w:r>
        <w:rPr/>
        <w:t>入当期损益。</w:t>
      </w:r>
    </w:p>
    <w:p>
      <w:pPr>
        <w:pStyle w:val="BodyText"/>
        <w:spacing w:line="355" w:lineRule="auto" w:before="30"/>
        <w:ind w:left="557" w:right="0"/>
        <w:jc w:val="left"/>
      </w:pPr>
      <w:r>
        <w:rPr>
          <w:rFonts w:ascii="宋体" w:hAnsi="宋体" w:cs="宋体" w:eastAsia="宋体" w:hint="default"/>
        </w:rPr>
        <w:t>10.6</w:t>
      </w:r>
      <w:r>
        <w:rPr>
          <w:rFonts w:ascii="宋体" w:hAnsi="宋体" w:cs="宋体" w:eastAsia="宋体" w:hint="default"/>
          <w:spacing w:val="-55"/>
        </w:rPr>
        <w:t> </w:t>
      </w:r>
      <w:r>
        <w:rPr/>
        <w:t>金融负债的终止确认</w:t>
      </w:r>
      <w:r>
        <w:rPr>
          <w:w w:val="100"/>
        </w:rPr>
        <w:t> </w:t>
      </w:r>
      <w:r>
        <w:rPr>
          <w:spacing w:val="-4"/>
        </w:rPr>
        <w:t>金融负债的现时义务全部或部分已经解除的，终止确认该金融负债或其一部分。本集团</w:t>
      </w:r>
      <w:r>
        <w:rPr>
          <w:rFonts w:ascii="宋体" w:hAnsi="宋体" w:cs="宋体" w:eastAsia="宋体" w:hint="default"/>
          <w:spacing w:val="-4"/>
        </w:rPr>
        <w:t>(</w:t>
      </w:r>
      <w:r>
        <w:rPr>
          <w:spacing w:val="-4"/>
        </w:rPr>
        <w:t>债务</w:t>
      </w:r>
      <w:r>
        <w:rPr/>
      </w:r>
    </w:p>
    <w:p>
      <w:pPr>
        <w:pStyle w:val="BodyText"/>
        <w:spacing w:line="357" w:lineRule="auto" w:before="32"/>
        <w:ind w:left="137" w:right="211"/>
        <w:jc w:val="both"/>
      </w:pPr>
      <w:r>
        <w:rPr>
          <w:spacing w:val="-4"/>
        </w:rPr>
        <w:t>人</w:t>
      </w:r>
      <w:r>
        <w:rPr>
          <w:rFonts w:ascii="宋体" w:hAnsi="宋体" w:cs="宋体" w:eastAsia="宋体" w:hint="default"/>
          <w:spacing w:val="-4"/>
        </w:rPr>
        <w:t>)</w:t>
      </w:r>
      <w:r>
        <w:rPr>
          <w:spacing w:val="-4"/>
        </w:rPr>
        <w:t>与债权人之间签订协议，以承担新金融负债方式替换现存金融负债，且新金融负债与现存金融</w:t>
      </w:r>
      <w:r>
        <w:rPr>
          <w:spacing w:val="-37"/>
        </w:rPr>
        <w:t> </w:t>
      </w:r>
      <w:r>
        <w:rPr>
          <w:spacing w:val="-37"/>
        </w:rPr>
      </w:r>
      <w:r>
        <w:rPr/>
        <w:t>负债的合同条款实质上不同的，终止确认现存金融负债，并同时确认新金融负债。</w:t>
      </w:r>
    </w:p>
    <w:p>
      <w:pPr>
        <w:pStyle w:val="BodyText"/>
        <w:spacing w:line="355" w:lineRule="auto" w:before="30"/>
        <w:ind w:left="137" w:right="209" w:firstLine="420"/>
        <w:jc w:val="both"/>
      </w:pPr>
      <w:r>
        <w:rPr>
          <w:spacing w:val="-4"/>
          <w:w w:val="100"/>
        </w:rPr>
        <w:t>金融负债全部或部分终止确认的，将终止确认部分的账面价值与支付的对价</w:t>
      </w:r>
      <w:r>
        <w:rPr>
          <w:rFonts w:ascii="宋体" w:hAnsi="宋体" w:cs="宋体" w:eastAsia="宋体" w:hint="default"/>
          <w:spacing w:val="-4"/>
          <w:w w:val="100"/>
        </w:rPr>
        <w:t>(</w:t>
      </w:r>
      <w:r>
        <w:rPr>
          <w:spacing w:val="-4"/>
          <w:w w:val="100"/>
        </w:rPr>
        <w:t>包括转出的非现</w:t>
      </w:r>
      <w:r>
        <w:rPr>
          <w:w w:val="100"/>
        </w:rPr>
        <w:t> </w:t>
      </w:r>
      <w:r>
        <w:rPr/>
        <w:t>金资产或承担的新金融负债</w:t>
      </w:r>
      <w:r>
        <w:rPr>
          <w:rFonts w:ascii="宋体" w:hAnsi="宋体" w:cs="宋体" w:eastAsia="宋体" w:hint="default"/>
        </w:rPr>
        <w:t>)</w:t>
      </w:r>
      <w:r>
        <w:rPr/>
        <w:t>之间的差额，计入当期损益。</w:t>
      </w:r>
    </w:p>
    <w:p>
      <w:pPr>
        <w:pStyle w:val="BodyText"/>
        <w:spacing w:line="355" w:lineRule="auto" w:before="33"/>
        <w:ind w:left="557" w:right="0"/>
        <w:jc w:val="left"/>
      </w:pPr>
      <w:r>
        <w:rPr>
          <w:rFonts w:ascii="宋体" w:hAnsi="宋体" w:cs="宋体" w:eastAsia="宋体" w:hint="default"/>
        </w:rPr>
        <w:t>10.7</w:t>
      </w:r>
      <w:r>
        <w:rPr>
          <w:rFonts w:ascii="宋体" w:hAnsi="宋体" w:cs="宋体" w:eastAsia="宋体" w:hint="default"/>
          <w:spacing w:val="-55"/>
        </w:rPr>
        <w:t> </w:t>
      </w:r>
      <w:r>
        <w:rPr/>
        <w:t>金融资产与金融负债的抵销</w:t>
      </w:r>
      <w:r>
        <w:rPr>
          <w:w w:val="100"/>
        </w:rPr>
        <w:t> </w:t>
      </w:r>
      <w:r>
        <w:rPr>
          <w:spacing w:val="-2"/>
        </w:rPr>
        <w:t>当本集团具有抵销已确认金融资产和金融负债的法定权利，且目前可执行该种法定权利，同</w:t>
      </w:r>
    </w:p>
    <w:p>
      <w:pPr>
        <w:pStyle w:val="BodyText"/>
        <w:spacing w:line="355" w:lineRule="auto" w:before="34"/>
        <w:ind w:left="137" w:right="208"/>
        <w:jc w:val="both"/>
      </w:pPr>
      <w:r>
        <w:rPr>
          <w:spacing w:val="-2"/>
        </w:rPr>
        <w:t>时本集团计划以净额结算或同时变现该金融资产和清偿该金融负债时，金融资产和金融负债以相</w:t>
      </w:r>
      <w:r>
        <w:rPr>
          <w:spacing w:val="-25"/>
        </w:rPr>
        <w:t> </w:t>
      </w:r>
      <w:r>
        <w:rPr>
          <w:spacing w:val="-25"/>
        </w:rPr>
      </w:r>
      <w:r>
        <w:rPr>
          <w:spacing w:val="-6"/>
          <w:w w:val="100"/>
        </w:rPr>
        <w:t>互抵销后的金额在资产负债表内列示。除此以外，金融资产和金融负债在资产负债表内分别列示，</w:t>
      </w:r>
      <w:r>
        <w:rPr>
          <w:w w:val="100"/>
        </w:rPr>
        <w:t> </w:t>
      </w:r>
      <w:r>
        <w:rPr/>
        <w:t>不予相互抵销。</w:t>
      </w:r>
    </w:p>
    <w:p>
      <w:pPr>
        <w:pStyle w:val="BodyText"/>
        <w:spacing w:line="355" w:lineRule="auto" w:before="32"/>
        <w:ind w:left="557" w:right="0"/>
        <w:jc w:val="left"/>
      </w:pPr>
      <w:r>
        <w:rPr>
          <w:rFonts w:ascii="宋体" w:hAnsi="宋体" w:cs="宋体" w:eastAsia="宋体" w:hint="default"/>
        </w:rPr>
        <w:t>10.8</w:t>
      </w:r>
      <w:r>
        <w:rPr>
          <w:rFonts w:ascii="宋体" w:hAnsi="宋体" w:cs="宋体" w:eastAsia="宋体" w:hint="default"/>
          <w:spacing w:val="-55"/>
        </w:rPr>
        <w:t> </w:t>
      </w:r>
      <w:r>
        <w:rPr/>
        <w:t>权益工具</w:t>
      </w:r>
      <w:r>
        <w:rPr>
          <w:spacing w:val="-101"/>
        </w:rPr>
        <w:t> </w:t>
      </w:r>
      <w:r>
        <w:rPr>
          <w:spacing w:val="-101"/>
        </w:rPr>
      </w:r>
      <w:r>
        <w:rPr>
          <w:spacing w:val="-2"/>
        </w:rPr>
        <w:t>权益工具是指能证明拥有本集团在扣除所有负债后的资产中的剩余权益的合同。本集团发行</w:t>
      </w:r>
    </w:p>
    <w:p>
      <w:pPr>
        <w:pStyle w:val="BodyText"/>
        <w:spacing w:line="357" w:lineRule="auto" w:before="34"/>
        <w:ind w:left="137" w:right="218"/>
        <w:jc w:val="both"/>
      </w:pPr>
      <w:r>
        <w:rPr>
          <w:spacing w:val="-2"/>
        </w:rPr>
        <w:t>权益工具作为权益的变动处理。本集团不确认权益工具的公允价值变动。与权益性交易相关的交</w:t>
      </w:r>
      <w:r>
        <w:rPr>
          <w:spacing w:val="-25"/>
        </w:rPr>
        <w:t> </w:t>
      </w:r>
      <w:r>
        <w:rPr>
          <w:spacing w:val="-25"/>
        </w:rPr>
      </w:r>
      <w:r>
        <w:rPr/>
        <w:t>易费用从权益中扣减。</w:t>
      </w:r>
    </w:p>
    <w:p>
      <w:pPr>
        <w:pStyle w:val="BodyText"/>
        <w:spacing w:line="240" w:lineRule="auto" w:before="30"/>
        <w:ind w:left="557" w:right="0"/>
        <w:jc w:val="left"/>
      </w:pPr>
      <w:r>
        <w:rPr/>
        <w:t>本集团对权益工具持有方的分配作为利润分配处理。发放的股票股利不影响股东权益总额。</w:t>
      </w:r>
    </w:p>
    <w:p>
      <w:pPr>
        <w:spacing w:after="0" w:line="240" w:lineRule="auto"/>
        <w:jc w:val="left"/>
        <w:sectPr>
          <w:footerReference w:type="default" r:id="rId57"/>
          <w:pgSz w:w="11910" w:h="16840"/>
          <w:pgMar w:footer="1217" w:header="857" w:top="1320" w:bottom="1400" w:left="1140" w:right="1580"/>
          <w:pgNumType w:start="126"/>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5"/>
        <w:spacing w:line="290" w:lineRule="auto" w:before="36"/>
        <w:ind w:left="217" w:right="4409"/>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2"/>
        <w:ind w:left="217" w:right="234"/>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83"/>
        <w:gridCol w:w="4467"/>
      </w:tblGrid>
      <w:tr>
        <w:trPr>
          <w:trHeight w:val="1236"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本集团将单项金额占应收款项总额</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z w:val="21"/>
                <w:szCs w:val="21"/>
              </w:rPr>
              <w:t>以上且</w:t>
            </w:r>
          </w:p>
          <w:p>
            <w:pPr>
              <w:pStyle w:val="TableParagraph"/>
              <w:spacing w:line="357" w:lineRule="auto" w:before="133"/>
              <w:ind w:left="103" w:right="147"/>
              <w:jc w:val="left"/>
              <w:rPr>
                <w:rFonts w:ascii="宋体" w:hAnsi="宋体" w:cs="宋体" w:eastAsia="宋体" w:hint="default"/>
                <w:sz w:val="21"/>
                <w:szCs w:val="21"/>
              </w:rPr>
            </w:pPr>
            <w:r>
              <w:rPr>
                <w:rFonts w:ascii="宋体" w:hAnsi="宋体" w:cs="宋体" w:eastAsia="宋体" w:hint="default"/>
                <w:sz w:val="21"/>
                <w:szCs w:val="21"/>
              </w:rPr>
              <w:t>单项金额为人民币</w:t>
            </w:r>
            <w:r>
              <w:rPr>
                <w:rFonts w:ascii="宋体" w:hAnsi="宋体" w:cs="宋体" w:eastAsia="宋体" w:hint="default"/>
                <w:spacing w:val="-52"/>
                <w:sz w:val="21"/>
                <w:szCs w:val="21"/>
              </w:rPr>
              <w:t> </w:t>
            </w:r>
            <w:r>
              <w:rPr>
                <w:rFonts w:ascii="宋体" w:hAnsi="宋体" w:cs="宋体" w:eastAsia="宋体" w:hint="default"/>
                <w:sz w:val="21"/>
                <w:szCs w:val="21"/>
              </w:rPr>
              <w:t>1,000</w:t>
            </w:r>
            <w:r>
              <w:rPr>
                <w:rFonts w:ascii="宋体" w:hAnsi="宋体" w:cs="宋体" w:eastAsia="宋体" w:hint="default"/>
                <w:spacing w:val="-54"/>
                <w:sz w:val="21"/>
                <w:szCs w:val="21"/>
              </w:rPr>
              <w:t> </w:t>
            </w:r>
            <w:r>
              <w:rPr>
                <w:rFonts w:ascii="宋体" w:hAnsi="宋体" w:cs="宋体" w:eastAsia="宋体" w:hint="default"/>
                <w:sz w:val="21"/>
                <w:szCs w:val="21"/>
              </w:rPr>
              <w:t>千元以上的应收款项</w:t>
            </w:r>
            <w:r>
              <w:rPr>
                <w:rFonts w:ascii="宋体" w:hAnsi="宋体" w:cs="宋体" w:eastAsia="宋体" w:hint="default"/>
                <w:w w:val="100"/>
                <w:sz w:val="21"/>
                <w:szCs w:val="21"/>
              </w:rPr>
              <w:t> </w:t>
            </w:r>
            <w:r>
              <w:rPr>
                <w:rFonts w:ascii="宋体" w:hAnsi="宋体" w:cs="宋体" w:eastAsia="宋体" w:hint="default"/>
                <w:sz w:val="21"/>
                <w:szCs w:val="21"/>
              </w:rPr>
              <w:t>确认为单项金额重大的应收款项。</w:t>
            </w:r>
          </w:p>
        </w:tc>
      </w:tr>
      <w:tr>
        <w:trPr>
          <w:trHeight w:val="2461"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本集团对单项金额重大的应收款项单独进行减</w:t>
            </w:r>
          </w:p>
          <w:p>
            <w:pPr>
              <w:pStyle w:val="TableParagraph"/>
              <w:spacing w:line="357" w:lineRule="auto" w:before="133"/>
              <w:ind w:left="103" w:right="147"/>
              <w:jc w:val="both"/>
              <w:rPr>
                <w:rFonts w:ascii="宋体" w:hAnsi="宋体" w:cs="宋体" w:eastAsia="宋体" w:hint="default"/>
                <w:sz w:val="21"/>
                <w:szCs w:val="21"/>
              </w:rPr>
            </w:pPr>
            <w:r>
              <w:rPr>
                <w:rFonts w:ascii="宋体" w:hAnsi="宋体" w:cs="宋体" w:eastAsia="宋体" w:hint="default"/>
                <w:spacing w:val="-2"/>
                <w:sz w:val="21"/>
                <w:szCs w:val="21"/>
              </w:rPr>
              <w:t>值测试，单独测试未发生减值的应收款项，包</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括在具有类似信用风险特征的金融资产组合中</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进行减值测试。单项测试已确认减值损失的应</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收款项，不再包括在具有类似信用风险特征的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应收款项组合中进行减值测试。</w:t>
            </w:r>
          </w:p>
        </w:tc>
      </w:tr>
    </w:tbl>
    <w:p>
      <w:pPr>
        <w:spacing w:line="240" w:lineRule="auto" w:before="1"/>
        <w:rPr>
          <w:rFonts w:ascii="宋体" w:hAnsi="宋体" w:cs="宋体" w:eastAsia="宋体" w:hint="default"/>
          <w:sz w:val="23"/>
          <w:szCs w:val="23"/>
        </w:rPr>
      </w:pPr>
    </w:p>
    <w:p>
      <w:pPr>
        <w:pStyle w:val="Heading5"/>
        <w:spacing w:line="240" w:lineRule="auto" w:before="36"/>
        <w:ind w:left="217" w:right="234"/>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8"/>
        <w:ind w:left="217" w:right="234"/>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83"/>
        <w:gridCol w:w="4467"/>
      </w:tblGrid>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1"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4467" w:type="dxa"/>
            <w:tcBorders>
              <w:top w:val="single" w:sz="4" w:space="0" w:color="000000"/>
              <w:left w:val="single" w:sz="4" w:space="0" w:color="000000"/>
              <w:bottom w:val="single" w:sz="4" w:space="0" w:color="000000"/>
              <w:right w:val="single" w:sz="4" w:space="0" w:color="000000"/>
            </w:tcBorders>
          </w:tcPr>
          <w:p>
            <w:pPr/>
          </w:p>
        </w:tc>
      </w:tr>
      <w:tr>
        <w:trPr>
          <w:trHeight w:val="2462"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本集团对单项金额不重大以及金额重大但单项</w:t>
            </w:r>
          </w:p>
          <w:p>
            <w:pPr>
              <w:pStyle w:val="TableParagraph"/>
              <w:spacing w:line="357" w:lineRule="auto" w:before="135"/>
              <w:ind w:left="103" w:right="96"/>
              <w:jc w:val="left"/>
              <w:rPr>
                <w:rFonts w:ascii="宋体" w:hAnsi="宋体" w:cs="宋体" w:eastAsia="宋体" w:hint="default"/>
                <w:sz w:val="21"/>
                <w:szCs w:val="21"/>
              </w:rPr>
            </w:pPr>
            <w:r>
              <w:rPr>
                <w:rFonts w:ascii="宋体" w:hAnsi="宋体" w:cs="宋体" w:eastAsia="宋体" w:hint="default"/>
                <w:spacing w:val="-4"/>
                <w:sz w:val="21"/>
                <w:szCs w:val="21"/>
              </w:rPr>
              <w:t>测试未发生减值的应收款项，按信用风险特征的</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4"/>
                <w:sz w:val="21"/>
                <w:szCs w:val="21"/>
              </w:rPr>
              <w:t>相似性和相关性对金融资产进行分组。这些信用</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风险通常反映债务人按照该等资产的合同条款</w:t>
            </w:r>
            <w:r>
              <w:rPr>
                <w:rFonts w:ascii="宋体" w:hAnsi="宋体" w:cs="宋体" w:eastAsia="宋体" w:hint="default"/>
                <w:w w:val="100"/>
                <w:sz w:val="21"/>
                <w:szCs w:val="21"/>
              </w:rPr>
              <w:t> </w:t>
            </w:r>
            <w:r>
              <w:rPr>
                <w:rFonts w:ascii="宋体" w:hAnsi="宋体" w:cs="宋体" w:eastAsia="宋体" w:hint="default"/>
                <w:spacing w:val="-4"/>
                <w:sz w:val="21"/>
                <w:szCs w:val="21"/>
              </w:rPr>
              <w:t>偿还所有到期金额的能力，并且与被检查资产的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未来现金流量测算相关。</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418"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4467" w:type="dxa"/>
            <w:tcBorders>
              <w:top w:val="single" w:sz="4" w:space="0" w:color="000000"/>
              <w:left w:val="single" w:sz="4" w:space="0" w:color="000000"/>
              <w:bottom w:val="single" w:sz="4" w:space="0" w:color="000000"/>
              <w:right w:val="single" w:sz="4" w:space="0" w:color="000000"/>
            </w:tcBorders>
          </w:tcPr>
          <w:p>
            <w:pPr/>
          </w:p>
        </w:tc>
      </w:tr>
      <w:tr>
        <w:trPr>
          <w:trHeight w:val="421"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应收关联方款项、押金和保证金</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根据信用风险认定</w:t>
            </w:r>
          </w:p>
        </w:tc>
      </w:tr>
      <w:tr>
        <w:trPr>
          <w:trHeight w:val="2460"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除上述应收款项外，本集团对单项金额不重大以</w:t>
            </w:r>
          </w:p>
          <w:p>
            <w:pPr>
              <w:pStyle w:val="TableParagraph"/>
              <w:spacing w:line="357" w:lineRule="auto" w:before="133"/>
              <w:ind w:left="103" w:right="53"/>
              <w:jc w:val="left"/>
              <w:rPr>
                <w:rFonts w:ascii="宋体" w:hAnsi="宋体" w:cs="宋体" w:eastAsia="宋体" w:hint="default"/>
                <w:sz w:val="21"/>
                <w:szCs w:val="21"/>
              </w:rPr>
            </w:pPr>
            <w:r>
              <w:rPr>
                <w:rFonts w:ascii="宋体" w:hAnsi="宋体" w:cs="宋体" w:eastAsia="宋体" w:hint="default"/>
                <w:spacing w:val="-2"/>
                <w:sz w:val="21"/>
                <w:szCs w:val="21"/>
              </w:rPr>
              <w:t>及金额重大但单项测试未发生减值的应收款项，</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按信用风险特征的相似性和相关性对金融资产</w:t>
            </w:r>
            <w:r>
              <w:rPr>
                <w:rFonts w:ascii="宋体" w:hAnsi="宋体" w:cs="宋体" w:eastAsia="宋体" w:hint="default"/>
                <w:w w:val="100"/>
                <w:sz w:val="21"/>
                <w:szCs w:val="21"/>
              </w:rPr>
              <w:t> </w:t>
            </w:r>
            <w:r>
              <w:rPr>
                <w:rFonts w:ascii="宋体" w:hAnsi="宋体" w:cs="宋体" w:eastAsia="宋体" w:hint="default"/>
                <w:spacing w:val="-4"/>
                <w:sz w:val="21"/>
                <w:szCs w:val="21"/>
              </w:rPr>
              <w:t>进行分组。这些信用风险通常反映债务人按照该</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4"/>
                <w:sz w:val="21"/>
                <w:szCs w:val="21"/>
              </w:rPr>
              <w:t>等资产的合同条款偿还所有到期金额的能力，并</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且与被检查资产的未来现金流量测算相关。</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6"/>
        <w:rPr>
          <w:rFonts w:ascii="宋体" w:hAnsi="宋体" w:cs="宋体" w:eastAsia="宋体" w:hint="default"/>
          <w:sz w:val="18"/>
          <w:szCs w:val="18"/>
        </w:rPr>
      </w:pPr>
    </w:p>
    <w:p>
      <w:pPr>
        <w:pStyle w:val="BodyText"/>
        <w:spacing w:line="273" w:lineRule="exact" w:before="36"/>
        <w:ind w:left="217" w:right="234"/>
        <w:jc w:val="left"/>
      </w:pPr>
      <w:r>
        <w:rPr/>
        <w:t>组合中，采用账龄分析法计提坏账准备的</w:t>
      </w:r>
    </w:p>
    <w:p>
      <w:pPr>
        <w:pStyle w:val="BodyText"/>
        <w:spacing w:line="273" w:lineRule="exact"/>
        <w:ind w:left="217" w:right="234"/>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33"/>
        <w:gridCol w:w="3072"/>
        <w:gridCol w:w="3145"/>
      </w:tblGrid>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bl>
    <w:p>
      <w:pPr>
        <w:spacing w:after="0" w:line="241" w:lineRule="exact"/>
        <w:jc w:val="left"/>
        <w:rPr>
          <w:rFonts w:ascii="宋体" w:hAnsi="宋体" w:cs="宋体" w:eastAsia="宋体" w:hint="default"/>
          <w:sz w:val="21"/>
          <w:szCs w:val="21"/>
        </w:rPr>
        <w:sectPr>
          <w:pgSz w:w="11910" w:h="16840"/>
          <w:pgMar w:header="857" w:footer="1217" w:top="1320" w:bottom="1400" w:left="1060" w:right="1560"/>
        </w:sectPr>
      </w:pP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2833"/>
        <w:gridCol w:w="3072"/>
        <w:gridCol w:w="3145"/>
      </w:tblGrid>
      <w:tr>
        <w:trPr>
          <w:trHeight w:val="284"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其中：</w:t>
            </w:r>
            <w:r>
              <w:rPr>
                <w:rFonts w:ascii="宋体" w:hAnsi="宋体" w:cs="宋体" w:eastAsia="宋体" w:hint="default"/>
                <w:spacing w:val="-8"/>
                <w:sz w:val="21"/>
                <w:szCs w:val="21"/>
              </w:rPr>
              <w:t>1</w:t>
            </w:r>
            <w:r>
              <w:rPr>
                <w:rFonts w:ascii="宋体" w:hAnsi="宋体" w:cs="宋体" w:eastAsia="宋体" w:hint="default"/>
                <w:spacing w:val="-38"/>
                <w:sz w:val="21"/>
                <w:szCs w:val="21"/>
              </w:rPr>
              <w:t> </w:t>
            </w:r>
            <w:r>
              <w:rPr>
                <w:rFonts w:ascii="宋体" w:hAnsi="宋体" w:cs="宋体" w:eastAsia="宋体" w:hint="default"/>
                <w:spacing w:val="-5"/>
                <w:sz w:val="21"/>
                <w:szCs w:val="21"/>
              </w:rPr>
              <w:t>年以内分项，可添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加行</w:t>
            </w:r>
          </w:p>
        </w:tc>
        <w:tc>
          <w:tcPr>
            <w:tcW w:w="3072"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0-120</w:t>
            </w:r>
            <w:r>
              <w:rPr>
                <w:rFonts w:ascii="宋体" w:hAnsi="宋体" w:cs="宋体" w:eastAsia="宋体" w:hint="default"/>
                <w:spacing w:val="-51"/>
                <w:sz w:val="21"/>
                <w:szCs w:val="21"/>
              </w:rPr>
              <w:t> </w:t>
            </w:r>
            <w:r>
              <w:rPr>
                <w:rFonts w:ascii="宋体" w:hAnsi="宋体" w:cs="宋体" w:eastAsia="宋体" w:hint="default"/>
                <w:sz w:val="21"/>
                <w:szCs w:val="21"/>
              </w:rPr>
              <w:t>天</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121</w:t>
            </w:r>
            <w:r>
              <w:rPr>
                <w:rFonts w:ascii="宋体" w:hAnsi="宋体" w:cs="宋体" w:eastAsia="宋体" w:hint="default"/>
                <w:spacing w:val="-52"/>
                <w:sz w:val="21"/>
                <w:szCs w:val="21"/>
              </w:rPr>
              <w:t> </w:t>
            </w:r>
            <w:r>
              <w:rPr>
                <w:rFonts w:ascii="宋体" w:hAnsi="宋体" w:cs="宋体" w:eastAsia="宋体" w:hint="default"/>
                <w:sz w:val="21"/>
                <w:szCs w:val="21"/>
              </w:rPr>
              <w:t>天</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w:t>
            </w: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50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r>
    </w:tbl>
    <w:p>
      <w:pPr>
        <w:spacing w:line="240" w:lineRule="auto" w:before="6"/>
        <w:rPr>
          <w:rFonts w:ascii="宋体" w:hAnsi="宋体" w:cs="宋体" w:eastAsia="宋体" w:hint="default"/>
          <w:sz w:val="18"/>
          <w:szCs w:val="18"/>
        </w:rPr>
      </w:pPr>
    </w:p>
    <w:p>
      <w:pPr>
        <w:pStyle w:val="BodyText"/>
        <w:spacing w:line="273" w:lineRule="exact" w:before="36"/>
        <w:ind w:left="217" w:right="234"/>
        <w:jc w:val="left"/>
      </w:pPr>
      <w:r>
        <w:rPr/>
        <w:t>组合中，采用余额百分比法计提坏账准备的</w:t>
      </w:r>
    </w:p>
    <w:p>
      <w:pPr>
        <w:pStyle w:val="BodyText"/>
        <w:spacing w:line="240" w:lineRule="auto"/>
        <w:ind w:left="217" w:right="4409"/>
        <w:jc w:val="left"/>
      </w:pPr>
      <w:r>
        <w:rPr/>
        <w:t>□适用</w:t>
      </w:r>
      <w:r>
        <w:rPr>
          <w:spacing w:val="-2"/>
        </w:rPr>
        <w:t> </w:t>
      </w:r>
      <w:r>
        <w:rPr/>
        <w:t>√不适用</w:t>
      </w:r>
      <w:r>
        <w:rPr>
          <w:spacing w:val="-103"/>
        </w:rPr>
        <w:t> </w:t>
      </w:r>
      <w:r>
        <w:rPr>
          <w:spacing w:val="-103"/>
        </w:rPr>
      </w:r>
      <w:r>
        <w:rPr>
          <w:spacing w:val="-2"/>
        </w:rPr>
        <w:t>组合中，采用其他方法计提坏账准备的</w:t>
      </w:r>
    </w:p>
    <w:p>
      <w:pPr>
        <w:spacing w:line="290" w:lineRule="auto" w:before="0"/>
        <w:ind w:left="217" w:right="296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单项金额不重大但单独计提坏账准备的应收款项</w:t>
      </w:r>
      <w:r>
        <w:rPr>
          <w:rFonts w:ascii="宋体" w:hAnsi="宋体" w:cs="宋体" w:eastAsia="宋体" w:hint="default"/>
          <w:spacing w:val="-1"/>
          <w:sz w:val="21"/>
          <w:szCs w:val="21"/>
        </w:rPr>
      </w:r>
    </w:p>
    <w:p>
      <w:pPr>
        <w:pStyle w:val="BodyText"/>
        <w:spacing w:line="240" w:lineRule="auto" w:before="12"/>
        <w:ind w:left="217" w:right="234"/>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340"/>
        <w:gridCol w:w="4710"/>
      </w:tblGrid>
      <w:tr>
        <w:trPr>
          <w:trHeight w:val="826"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对单项金额不重大但个别信用风险特征明显不同</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的应收款项。</w:t>
            </w:r>
          </w:p>
        </w:tc>
      </w:tr>
      <w:tr>
        <w:trPr>
          <w:trHeight w:val="1236"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单独进行减值测试，根据其预计未来现金流量现</w:t>
            </w:r>
          </w:p>
          <w:p>
            <w:pPr>
              <w:pStyle w:val="TableParagraph"/>
              <w:spacing w:line="355" w:lineRule="auto" w:before="135"/>
              <w:ind w:left="100" w:right="183"/>
              <w:jc w:val="left"/>
              <w:rPr>
                <w:rFonts w:ascii="宋体" w:hAnsi="宋体" w:cs="宋体" w:eastAsia="宋体" w:hint="default"/>
                <w:sz w:val="21"/>
                <w:szCs w:val="21"/>
              </w:rPr>
            </w:pPr>
            <w:r>
              <w:rPr>
                <w:rFonts w:ascii="宋体" w:hAnsi="宋体" w:cs="宋体" w:eastAsia="宋体" w:hint="default"/>
                <w:spacing w:val="-2"/>
                <w:sz w:val="21"/>
                <w:szCs w:val="21"/>
              </w:rPr>
              <w:t>值低于其账面价值的差额，确认减值损失，并据</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此计提相应的坏账准备。</w:t>
            </w:r>
          </w:p>
        </w:tc>
      </w:tr>
    </w:tbl>
    <w:p>
      <w:pPr>
        <w:spacing w:line="240" w:lineRule="auto" w:before="1"/>
        <w:rPr>
          <w:rFonts w:ascii="宋体" w:hAnsi="宋体" w:cs="宋体" w:eastAsia="宋体" w:hint="default"/>
          <w:sz w:val="23"/>
          <w:szCs w:val="23"/>
        </w:rPr>
      </w:pPr>
    </w:p>
    <w:p>
      <w:pPr>
        <w:pStyle w:val="Heading5"/>
        <w:spacing w:line="240" w:lineRule="auto" w:before="36"/>
        <w:ind w:left="217" w:right="234"/>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tabs>
          <w:tab w:pos="1059" w:val="left" w:leader="none"/>
        </w:tabs>
        <w:spacing w:line="240" w:lineRule="auto" w:before="56"/>
        <w:ind w:left="637" w:right="7123" w:hanging="420"/>
        <w:jc w:val="left"/>
      </w:pPr>
      <w:r>
        <w:rPr/>
        <w:t>√适用</w:t>
        <w:tab/>
        <w:t>□不适用</w:t>
      </w:r>
      <w:r>
        <w:rPr>
          <w:w w:val="100"/>
        </w:rPr>
        <w:t> </w:t>
      </w:r>
      <w:r>
        <w:rPr>
          <w:rFonts w:ascii="宋体" w:hAnsi="宋体" w:cs="宋体" w:eastAsia="宋体" w:hint="default"/>
          <w:w w:val="100"/>
        </w:rPr>
      </w:r>
      <w:r>
        <w:rPr>
          <w:rFonts w:ascii="宋体" w:hAnsi="宋体" w:cs="宋体" w:eastAsia="宋体" w:hint="default"/>
          <w:u w:val="single" w:color="000000"/>
        </w:rPr>
        <w:t>12.1</w:t>
      </w:r>
      <w:r>
        <w:rPr>
          <w:rFonts w:ascii="宋体" w:hAnsi="宋体" w:cs="宋体" w:eastAsia="宋体" w:hint="default"/>
          <w:spacing w:val="-53"/>
          <w:u w:val="single" w:color="000000"/>
        </w:rPr>
        <w:t> </w:t>
      </w:r>
      <w:r>
        <w:rPr>
          <w:u w:val="single" w:color="000000"/>
        </w:rPr>
        <w:t>存货的分类</w:t>
      </w:r>
      <w:r>
        <w:rPr/>
      </w:r>
    </w:p>
    <w:p>
      <w:pPr>
        <w:pStyle w:val="BodyText"/>
        <w:spacing w:line="355" w:lineRule="auto" w:before="133"/>
        <w:ind w:left="217" w:right="238" w:firstLine="420"/>
        <w:jc w:val="both"/>
      </w:pPr>
      <w:r>
        <w:rPr>
          <w:spacing w:val="-2"/>
        </w:rPr>
        <w:t>本集团的存货主要为库存商品。存货按成本进行初始计量，存货成本包括采购成本、加工成</w:t>
      </w:r>
      <w:r>
        <w:rPr>
          <w:w w:val="100"/>
        </w:rPr>
        <w:t> </w:t>
      </w:r>
      <w:r>
        <w:rPr/>
        <w:t>本和其他使存货达到目前场所和状态所发生的支出。</w:t>
      </w:r>
    </w:p>
    <w:p>
      <w:pPr>
        <w:pStyle w:val="BodyText"/>
        <w:spacing w:line="355" w:lineRule="auto" w:before="34"/>
        <w:ind w:left="637" w:right="2963"/>
        <w:jc w:val="left"/>
      </w:pPr>
      <w:r>
        <w:rPr>
          <w:rFonts w:ascii="宋体" w:hAnsi="宋体" w:cs="宋体" w:eastAsia="宋体" w:hint="default"/>
          <w:w w:val="100"/>
        </w:rPr>
      </w:r>
      <w:r>
        <w:rPr>
          <w:rFonts w:ascii="宋体" w:hAnsi="宋体" w:cs="宋体" w:eastAsia="宋体" w:hint="default"/>
          <w:u w:val="single" w:color="000000"/>
        </w:rPr>
        <w:t>12.2</w:t>
      </w:r>
      <w:r>
        <w:rPr>
          <w:rFonts w:ascii="宋体" w:hAnsi="宋体" w:cs="宋体" w:eastAsia="宋体" w:hint="default"/>
          <w:spacing w:val="-55"/>
          <w:u w:val="single" w:color="000000"/>
        </w:rPr>
        <w:t> </w:t>
      </w:r>
      <w:r>
        <w:rPr>
          <w:u w:val="single" w:color="000000"/>
        </w:rPr>
        <w:t>发出存货的计价方法</w:t>
      </w:r>
      <w:r>
        <w:rPr>
          <w:w w:val="100"/>
        </w:rPr>
      </w:r>
      <w:r>
        <w:rPr>
          <w:w w:val="100"/>
        </w:rPr>
        <w:t> </w:t>
      </w:r>
      <w:r>
        <w:rPr>
          <w:spacing w:val="-2"/>
        </w:rPr>
        <w:t>存货发出时，采用移动加权平均法确定发出存货的实际成本。</w:t>
      </w:r>
      <w:r>
        <w:rPr>
          <w:spacing w:val="-52"/>
        </w:rPr>
        <w:t> </w:t>
      </w:r>
      <w:r>
        <w:rPr>
          <w:spacing w:val="-52"/>
        </w:rPr>
      </w:r>
      <w:r>
        <w:rPr>
          <w:rFonts w:ascii="宋体" w:hAnsi="宋体" w:cs="宋体" w:eastAsia="宋体" w:hint="default"/>
          <w:spacing w:val="-52"/>
        </w:rPr>
      </w:r>
      <w:r>
        <w:rPr>
          <w:rFonts w:ascii="宋体" w:hAnsi="宋体" w:cs="宋体" w:eastAsia="宋体" w:hint="default"/>
          <w:u w:val="single" w:color="000000"/>
        </w:rPr>
        <w:t>12.3</w:t>
      </w:r>
      <w:r>
        <w:rPr>
          <w:rFonts w:ascii="宋体" w:hAnsi="宋体" w:cs="宋体" w:eastAsia="宋体" w:hint="default"/>
          <w:spacing w:val="-54"/>
          <w:u w:val="single" w:color="000000"/>
        </w:rPr>
        <w:t> </w:t>
      </w:r>
      <w:r>
        <w:rPr>
          <w:u w:val="single" w:color="000000"/>
        </w:rPr>
        <w:t>存货可变现净值的确定依据</w:t>
      </w:r>
      <w:r>
        <w:rPr/>
      </w:r>
    </w:p>
    <w:p>
      <w:pPr>
        <w:pStyle w:val="BodyText"/>
        <w:spacing w:line="357" w:lineRule="auto" w:before="33"/>
        <w:ind w:left="217" w:right="238" w:firstLine="420"/>
        <w:jc w:val="both"/>
      </w:pPr>
      <w:r>
        <w:rPr>
          <w:spacing w:val="-2"/>
        </w:rPr>
        <w:t>资产负债表日，存货按照成本与可变现净值孰低计量。当其可变现净值低于成本时，提取存</w:t>
      </w:r>
      <w:r>
        <w:rPr>
          <w:w w:val="100"/>
        </w:rPr>
        <w:t> </w:t>
      </w:r>
      <w:r>
        <w:rPr>
          <w:spacing w:val="-2"/>
        </w:rPr>
        <w:t>货跌价准备。可变现净值是指在日常活动中，存货的估计售价减去估计的销售费用以及相关税费</w:t>
      </w:r>
      <w:r>
        <w:rPr>
          <w:spacing w:val="-25"/>
        </w:rPr>
        <w:t> </w:t>
      </w:r>
      <w:r>
        <w:rPr>
          <w:spacing w:val="-25"/>
        </w:rPr>
      </w:r>
      <w:r>
        <w:rPr>
          <w:spacing w:val="-2"/>
        </w:rPr>
        <w:t>后的金额。在确定存货的可变现净值时，以取得的确凿证据为基础，同时考虑持有存货的目的以</w:t>
      </w:r>
      <w:r>
        <w:rPr>
          <w:spacing w:val="-25"/>
        </w:rPr>
        <w:t> </w:t>
      </w:r>
      <w:r>
        <w:rPr>
          <w:spacing w:val="-25"/>
        </w:rPr>
      </w:r>
      <w:r>
        <w:rPr/>
        <w:t>及资产负债表日后事项的影响。</w:t>
      </w:r>
    </w:p>
    <w:p>
      <w:pPr>
        <w:pStyle w:val="BodyText"/>
        <w:spacing w:line="355" w:lineRule="auto" w:before="30"/>
        <w:ind w:left="217" w:right="238" w:firstLine="420"/>
        <w:jc w:val="both"/>
      </w:pPr>
      <w:r>
        <w:rPr>
          <w:spacing w:val="-2"/>
        </w:rPr>
        <w:t>计提存货跌价准备后，如果以前减记存货价值的影响因素已经消失，导致存货的可变现净值</w:t>
      </w:r>
      <w:r>
        <w:rPr>
          <w:w w:val="100"/>
        </w:rPr>
        <w:t> </w:t>
      </w:r>
      <w:r>
        <w:rPr/>
        <w:t>高于其账面价值的，在原已计提的存货跌价准备金额内予以转回，转回的金额计入当期损益。</w:t>
      </w:r>
    </w:p>
    <w:p>
      <w:pPr>
        <w:pStyle w:val="BodyText"/>
        <w:spacing w:line="357" w:lineRule="auto" w:before="32"/>
        <w:ind w:left="637" w:right="4409"/>
        <w:jc w:val="left"/>
      </w:pPr>
      <w:r>
        <w:rPr>
          <w:rFonts w:ascii="宋体" w:hAnsi="宋体" w:cs="宋体" w:eastAsia="宋体" w:hint="default"/>
          <w:w w:val="100"/>
        </w:rPr>
      </w:r>
      <w:r>
        <w:rPr>
          <w:rFonts w:ascii="宋体" w:hAnsi="宋体" w:cs="宋体" w:eastAsia="宋体" w:hint="default"/>
          <w:u w:val="single" w:color="000000"/>
        </w:rPr>
        <w:t>12.4</w:t>
      </w:r>
      <w:r>
        <w:rPr>
          <w:rFonts w:ascii="宋体" w:hAnsi="宋体" w:cs="宋体" w:eastAsia="宋体" w:hint="default"/>
          <w:spacing w:val="-55"/>
          <w:u w:val="single" w:color="000000"/>
        </w:rPr>
        <w:t> </w:t>
      </w:r>
      <w:r>
        <w:rPr>
          <w:u w:val="single" w:color="000000"/>
        </w:rPr>
        <w:t>存货的盘存制度</w:t>
      </w:r>
      <w:r>
        <w:rPr>
          <w:w w:val="100"/>
        </w:rPr>
      </w:r>
      <w:r>
        <w:rPr>
          <w:w w:val="100"/>
        </w:rPr>
        <w:t> </w:t>
      </w:r>
      <w:r>
        <w:rPr>
          <w:spacing w:val="-2"/>
        </w:rPr>
        <w:t>存货盘存制度为永续盘存制。</w:t>
      </w:r>
    </w:p>
    <w:p>
      <w:pPr>
        <w:spacing w:after="0" w:line="357" w:lineRule="auto"/>
        <w:jc w:val="left"/>
        <w:sectPr>
          <w:pgSz w:w="11910" w:h="16840"/>
          <w:pgMar w:header="857" w:footer="1217" w:top="1320" w:bottom="1400" w:left="1060" w:right="1560"/>
        </w:sectPr>
      </w:pPr>
    </w:p>
    <w:p>
      <w:pPr>
        <w:pStyle w:val="Heading5"/>
        <w:spacing w:line="240" w:lineRule="auto" w:before="72"/>
        <w:ind w:left="137" w:right="0"/>
        <w:jc w:val="both"/>
        <w:rPr>
          <w:b w:val="0"/>
          <w:bCs w:val="0"/>
        </w:rPr>
      </w:pPr>
      <w:r>
        <w:rPr>
          <w:rFonts w:ascii="宋体" w:hAnsi="宋体" w:cs="宋体" w:eastAsia="宋体" w:hint="default"/>
        </w:rPr>
        <w:t>13.</w:t>
      </w:r>
      <w:r>
        <w:rPr>
          <w:rFonts w:ascii="宋体" w:hAnsi="宋体" w:cs="宋体" w:eastAsia="宋体" w:hint="default"/>
          <w:spacing w:val="2"/>
        </w:rPr>
        <w:t> </w:t>
      </w:r>
      <w:r>
        <w:rPr/>
        <w:t>持有待售资产</w:t>
      </w:r>
      <w:r>
        <w:rPr>
          <w:b w:val="0"/>
          <w:bCs w:val="0"/>
        </w:rPr>
      </w:r>
    </w:p>
    <w:p>
      <w:pPr>
        <w:pStyle w:val="BodyText"/>
        <w:spacing w:line="240" w:lineRule="auto" w:before="56"/>
        <w:ind w:left="137" w:right="0"/>
        <w:jc w:val="both"/>
      </w:pPr>
      <w:r>
        <w:rPr/>
        <w:t>□适用  √不适用</w:t>
      </w:r>
    </w:p>
    <w:p>
      <w:pPr>
        <w:spacing w:line="240" w:lineRule="auto" w:before="4"/>
        <w:rPr>
          <w:rFonts w:ascii="宋体" w:hAnsi="宋体" w:cs="宋体" w:eastAsia="宋体" w:hint="default"/>
          <w:sz w:val="28"/>
          <w:szCs w:val="28"/>
        </w:rPr>
      </w:pPr>
    </w:p>
    <w:p>
      <w:pPr>
        <w:pStyle w:val="Heading5"/>
        <w:spacing w:line="240" w:lineRule="auto"/>
        <w:ind w:left="137" w:right="0"/>
        <w:jc w:val="both"/>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tabs>
          <w:tab w:pos="979" w:val="left" w:leader="none"/>
        </w:tabs>
        <w:spacing w:line="240" w:lineRule="auto" w:before="56"/>
        <w:ind w:left="557" w:right="5211" w:hanging="420"/>
        <w:jc w:val="left"/>
      </w:pPr>
      <w:r>
        <w:rPr/>
        <w:t>√适用</w:t>
        <w:tab/>
        <w:t>□不适用</w:t>
      </w:r>
      <w:r>
        <w:rPr>
          <w:w w:val="100"/>
        </w:rPr>
        <w:t> </w:t>
      </w:r>
      <w:r>
        <w:rPr>
          <w:rFonts w:ascii="宋体" w:hAnsi="宋体" w:cs="宋体" w:eastAsia="宋体" w:hint="default"/>
          <w:w w:val="100"/>
        </w:rPr>
      </w:r>
      <w:r>
        <w:rPr>
          <w:rFonts w:ascii="宋体" w:hAnsi="宋体" w:cs="宋体" w:eastAsia="宋体" w:hint="default"/>
          <w:w w:val="100"/>
        </w:rPr>
        <w:t>                </w:t>
      </w:r>
      <w:r>
        <w:rPr>
          <w:rFonts w:ascii="宋体" w:hAnsi="宋体" w:cs="宋体" w:eastAsia="宋体" w:hint="default"/>
          <w:u w:val="single" w:color="000000"/>
        </w:rPr>
        <w:t>14.1</w:t>
      </w:r>
      <w:r>
        <w:rPr>
          <w:rFonts w:ascii="宋体" w:hAnsi="宋体" w:cs="宋体" w:eastAsia="宋体" w:hint="default"/>
          <w:spacing w:val="-54"/>
          <w:u w:val="single" w:color="000000"/>
        </w:rPr>
        <w:t> </w:t>
      </w:r>
      <w:r>
        <w:rPr>
          <w:u w:val="single" w:color="000000"/>
        </w:rPr>
        <w:t>共同控制、重大影响的判断标准</w:t>
      </w:r>
      <w:r>
        <w:rPr/>
      </w:r>
    </w:p>
    <w:p>
      <w:pPr>
        <w:pStyle w:val="BodyText"/>
        <w:spacing w:line="357" w:lineRule="auto" w:before="133"/>
        <w:ind w:left="137" w:right="218" w:firstLine="420"/>
        <w:jc w:val="both"/>
      </w:pPr>
      <w:r>
        <w:rPr>
          <w:spacing w:val="-2"/>
        </w:rPr>
        <w:t>控制是指投资方拥有对被投资方的权力，通过参与被投资方的相关活动而享有可变回报，并</w:t>
      </w:r>
      <w:r>
        <w:rPr>
          <w:w w:val="100"/>
        </w:rPr>
        <w:t> </w:t>
      </w:r>
      <w:r>
        <w:rPr>
          <w:spacing w:val="-2"/>
        </w:rPr>
        <w:t>且有能力运用对被投资方的权力影响其回报金额。共同控制是指按照相关约定对某项安排所共有</w:t>
      </w:r>
      <w:r>
        <w:rPr>
          <w:spacing w:val="-25"/>
        </w:rPr>
        <w:t> </w:t>
      </w:r>
      <w:r>
        <w:rPr>
          <w:spacing w:val="-25"/>
        </w:rPr>
      </w:r>
      <w:r>
        <w:rPr>
          <w:spacing w:val="-2"/>
        </w:rPr>
        <w:t>的控制，并且该安排的相关活动必须经过分享控制权的参与方一致同意后才能决策。重大影响是</w:t>
      </w:r>
      <w:r>
        <w:rPr>
          <w:spacing w:val="-25"/>
        </w:rPr>
        <w:t> </w:t>
      </w:r>
      <w:r>
        <w:rPr>
          <w:spacing w:val="-25"/>
        </w:rPr>
      </w:r>
      <w:r>
        <w:rPr>
          <w:spacing w:val="-2"/>
        </w:rPr>
        <w:t>指对被投资方的财务和经营政策有参与决策的权力，但并不能够控制或者与其他方一起共同控制</w:t>
      </w:r>
      <w:r>
        <w:rPr>
          <w:spacing w:val="-25"/>
        </w:rPr>
        <w:t> </w:t>
      </w:r>
      <w:r>
        <w:rPr>
          <w:spacing w:val="-25"/>
        </w:rPr>
      </w:r>
      <w:r>
        <w:rPr>
          <w:spacing w:val="-2"/>
        </w:rPr>
        <w:t>这些政策的制定。在确定能否对被投资单位实施控制或施加重大影响时，已考虑投资方和其他方</w:t>
      </w:r>
      <w:r>
        <w:rPr>
          <w:spacing w:val="-25"/>
        </w:rPr>
        <w:t> </w:t>
      </w:r>
      <w:r>
        <w:rPr>
          <w:spacing w:val="-25"/>
        </w:rPr>
      </w:r>
      <w:r>
        <w:rPr/>
        <w:t>持有的被投资单位当期可转换公司债券、当期可执行认股权证等潜在表决权因素。</w:t>
      </w:r>
    </w:p>
    <w:p>
      <w:pPr>
        <w:pStyle w:val="BodyText"/>
        <w:spacing w:line="355" w:lineRule="auto" w:before="30"/>
        <w:ind w:left="557" w:right="0"/>
        <w:jc w:val="left"/>
      </w:pPr>
      <w:r>
        <w:rPr>
          <w:rFonts w:ascii="宋体" w:hAnsi="宋体" w:cs="宋体" w:eastAsia="宋体" w:hint="default"/>
          <w:w w:val="100"/>
        </w:rPr>
      </w:r>
      <w:r>
        <w:rPr>
          <w:rFonts w:ascii="宋体" w:hAnsi="宋体" w:cs="宋体" w:eastAsia="宋体" w:hint="default"/>
          <w:u w:val="single" w:color="000000"/>
        </w:rPr>
        <w:t>14.2</w:t>
      </w:r>
      <w:r>
        <w:rPr>
          <w:rFonts w:ascii="宋体" w:hAnsi="宋体" w:cs="宋体" w:eastAsia="宋体" w:hint="default"/>
          <w:spacing w:val="-55"/>
          <w:u w:val="single" w:color="000000"/>
        </w:rPr>
        <w:t> </w:t>
      </w:r>
      <w:r>
        <w:rPr>
          <w:u w:val="single" w:color="000000"/>
        </w:rPr>
        <w:t>初始投资成本的确定</w:t>
      </w:r>
      <w:r>
        <w:rPr>
          <w:w w:val="100"/>
        </w:rPr>
      </w:r>
      <w:r>
        <w:rPr>
          <w:w w:val="100"/>
        </w:rPr>
        <w:t> </w:t>
      </w:r>
      <w:r>
        <w:rPr>
          <w:spacing w:val="-2"/>
        </w:rPr>
        <w:t>除企业合并形成的长期股权投资外的其他股权投资，按成本进行初始计量。对于因追加投资</w:t>
      </w:r>
    </w:p>
    <w:p>
      <w:pPr>
        <w:pStyle w:val="BodyText"/>
        <w:spacing w:line="355" w:lineRule="auto" w:before="34"/>
        <w:ind w:left="137" w:right="218"/>
        <w:jc w:val="both"/>
      </w:pPr>
      <w:r>
        <w:rPr>
          <w:spacing w:val="-2"/>
        </w:rPr>
        <w:t>能够对被投资单位实施重大影响或实施共同控制但不构成控制的，长期股权投资成本为按照《企</w:t>
      </w:r>
      <w:r>
        <w:rPr>
          <w:spacing w:val="-25"/>
        </w:rPr>
        <w:t> </w:t>
      </w:r>
      <w:r>
        <w:rPr>
          <w:spacing w:val="-25"/>
        </w:rPr>
      </w:r>
      <w:r>
        <w:rPr/>
        <w:t>业会计准则第 </w:t>
      </w:r>
      <w:r>
        <w:rPr>
          <w:rFonts w:ascii="宋体" w:hAnsi="宋体" w:cs="宋体" w:eastAsia="宋体" w:hint="default"/>
        </w:rPr>
        <w:t>22</w:t>
      </w:r>
      <w:r>
        <w:rPr>
          <w:rFonts w:ascii="宋体" w:hAnsi="宋体" w:cs="宋体" w:eastAsia="宋体" w:hint="default"/>
          <w:spacing w:val="-57"/>
        </w:rPr>
        <w:t> </w:t>
      </w:r>
      <w:r>
        <w:rPr/>
        <w:t>号—金融工具确认和计量》确定的原持有股权投资的公允价值加上新增投资成</w:t>
      </w:r>
      <w:r>
        <w:rPr>
          <w:w w:val="100"/>
        </w:rPr>
        <w:t> </w:t>
      </w:r>
      <w:r>
        <w:rPr/>
        <w:t>本之和。</w:t>
      </w:r>
    </w:p>
    <w:p>
      <w:pPr>
        <w:pStyle w:val="BodyText"/>
        <w:spacing w:line="240" w:lineRule="auto" w:before="32"/>
        <w:ind w:left="557" w:right="0"/>
        <w:jc w:val="left"/>
      </w:pPr>
      <w:r>
        <w:rPr>
          <w:rFonts w:ascii="宋体" w:hAnsi="宋体" w:cs="宋体" w:eastAsia="宋体" w:hint="default"/>
          <w:w w:val="100"/>
        </w:rPr>
      </w:r>
      <w:r>
        <w:rPr>
          <w:rFonts w:ascii="宋体" w:hAnsi="宋体" w:cs="宋体" w:eastAsia="宋体" w:hint="default"/>
          <w:u w:val="single" w:color="000000"/>
        </w:rPr>
        <w:t>14.3</w:t>
      </w:r>
      <w:r>
        <w:rPr>
          <w:rFonts w:ascii="宋体" w:hAnsi="宋体" w:cs="宋体" w:eastAsia="宋体" w:hint="default"/>
          <w:spacing w:val="-55"/>
          <w:u w:val="single" w:color="000000"/>
        </w:rPr>
        <w:t> </w:t>
      </w:r>
      <w:r>
        <w:rPr>
          <w:u w:val="single" w:color="000000"/>
        </w:rPr>
        <w:t>后续计量及损益确认方法</w:t>
      </w:r>
      <w:r>
        <w:rPr/>
      </w:r>
    </w:p>
    <w:p>
      <w:pPr>
        <w:pStyle w:val="Heading4"/>
        <w:spacing w:line="240" w:lineRule="auto" w:before="122"/>
        <w:ind w:right="0"/>
        <w:jc w:val="left"/>
        <w:rPr>
          <w:i w:val="0"/>
        </w:rPr>
      </w:pPr>
      <w:r>
        <w:rPr>
          <w:rFonts w:ascii="宋体" w:hAnsi="宋体" w:cs="宋体" w:eastAsia="宋体" w:hint="default"/>
          <w:w w:val="96"/>
        </w:rPr>
      </w:r>
      <w:r>
        <w:rPr>
          <w:rFonts w:ascii="宋体" w:hAnsi="宋体" w:cs="宋体" w:eastAsia="宋体" w:hint="default"/>
          <w:w w:val="95"/>
          <w:u w:val="single" w:color="000000"/>
        </w:rPr>
        <w:t>14.3.1</w:t>
      </w:r>
      <w:r>
        <w:rPr>
          <w:rFonts w:ascii="宋体" w:hAnsi="宋体" w:cs="宋体" w:eastAsia="宋体" w:hint="default"/>
          <w:spacing w:val="-39"/>
          <w:w w:val="95"/>
          <w:u w:val="single" w:color="000000"/>
        </w:rPr>
        <w:t> </w:t>
      </w:r>
      <w:r>
        <w:rPr>
          <w:w w:val="95"/>
          <w:u w:val="single" w:color="000000"/>
        </w:rPr>
        <w:t>按成本法核算的长期股权投资</w:t>
      </w:r>
      <w:r>
        <w:rPr>
          <w:w w:val="95"/>
        </w:rPr>
      </w:r>
      <w:r>
        <w:rPr>
          <w:i w:val="0"/>
        </w:rPr>
      </w:r>
    </w:p>
    <w:p>
      <w:pPr>
        <w:pStyle w:val="BodyText"/>
        <w:spacing w:line="355" w:lineRule="auto" w:before="134"/>
        <w:ind w:left="137" w:right="218" w:firstLine="420"/>
        <w:jc w:val="both"/>
      </w:pPr>
      <w:r>
        <w:rPr>
          <w:spacing w:val="-2"/>
        </w:rPr>
        <w:t>公司财务报表采用成本法核算对子公司的长期股权投资。子公司是指本集团能够对其实施控</w:t>
      </w:r>
      <w:r>
        <w:rPr>
          <w:w w:val="100"/>
        </w:rPr>
        <w:t> </w:t>
      </w:r>
      <w:r>
        <w:rPr/>
        <w:t>制的被投资主体。</w:t>
      </w:r>
    </w:p>
    <w:p>
      <w:pPr>
        <w:pStyle w:val="BodyText"/>
        <w:spacing w:line="355" w:lineRule="auto" w:before="32"/>
        <w:ind w:left="137" w:right="218" w:firstLine="420"/>
        <w:jc w:val="both"/>
      </w:pPr>
      <w:r>
        <w:rPr>
          <w:spacing w:val="-2"/>
        </w:rPr>
        <w:t>采用成本法核算的长期股权投资按初始投资成本计量。追加或收回投资调整长期股权投资的</w:t>
      </w:r>
      <w:r>
        <w:rPr>
          <w:w w:val="100"/>
        </w:rPr>
        <w:t> </w:t>
      </w:r>
      <w:r>
        <w:rPr/>
        <w:t>成本。当期投资收益按照享有被投资单位宣告发放的现金股利或利润确认。</w:t>
      </w:r>
    </w:p>
    <w:p>
      <w:pPr>
        <w:pStyle w:val="Heading4"/>
        <w:spacing w:line="240" w:lineRule="auto" w:before="20"/>
        <w:ind w:right="0"/>
        <w:jc w:val="left"/>
        <w:rPr>
          <w:i w:val="0"/>
        </w:rPr>
      </w:pPr>
      <w:r>
        <w:rPr>
          <w:rFonts w:ascii="宋体" w:hAnsi="宋体" w:cs="宋体" w:eastAsia="宋体" w:hint="default"/>
          <w:w w:val="96"/>
        </w:rPr>
      </w:r>
      <w:r>
        <w:rPr>
          <w:rFonts w:ascii="宋体" w:hAnsi="宋体" w:cs="宋体" w:eastAsia="宋体" w:hint="default"/>
          <w:w w:val="95"/>
          <w:u w:val="single" w:color="000000"/>
        </w:rPr>
        <w:t>14.3.2</w:t>
      </w:r>
      <w:r>
        <w:rPr>
          <w:rFonts w:ascii="宋体" w:hAnsi="宋体" w:cs="宋体" w:eastAsia="宋体" w:hint="default"/>
          <w:spacing w:val="-39"/>
          <w:w w:val="95"/>
          <w:u w:val="single" w:color="000000"/>
        </w:rPr>
        <w:t> </w:t>
      </w:r>
      <w:r>
        <w:rPr>
          <w:w w:val="95"/>
          <w:u w:val="single" w:color="000000"/>
        </w:rPr>
        <w:t>按权益法核算的长期股权投资</w:t>
      </w:r>
      <w:r>
        <w:rPr>
          <w:w w:val="95"/>
        </w:rPr>
      </w:r>
      <w:r>
        <w:rPr>
          <w:i w:val="0"/>
        </w:rPr>
      </w:r>
    </w:p>
    <w:p>
      <w:pPr>
        <w:pStyle w:val="BodyText"/>
        <w:spacing w:line="357" w:lineRule="auto" w:before="134"/>
        <w:ind w:left="137" w:right="218" w:firstLine="420"/>
        <w:jc w:val="both"/>
      </w:pPr>
      <w:r>
        <w:rPr>
          <w:spacing w:val="-2"/>
        </w:rPr>
        <w:t>本集团对联营企业和合营企业的投资采用权益法核算。联营企业是指本集团能够对其施加重</w:t>
      </w:r>
      <w:r>
        <w:rPr>
          <w:w w:val="100"/>
        </w:rPr>
        <w:t> </w:t>
      </w:r>
      <w:r>
        <w:rPr/>
        <w:t>大影响的被投资单位，合营企业是指本集团仅对该安排的净资产享有权利的合营安排。</w:t>
      </w:r>
    </w:p>
    <w:p>
      <w:pPr>
        <w:pStyle w:val="BodyText"/>
        <w:spacing w:line="357" w:lineRule="auto" w:before="30"/>
        <w:ind w:left="137" w:right="218" w:firstLine="420"/>
        <w:jc w:val="both"/>
      </w:pPr>
      <w:r>
        <w:rPr>
          <w:spacing w:val="-2"/>
        </w:rPr>
        <w:t>采用权益法核算时，长期股权投资的初始投资成本大于投资时应享有被投资单位可辨认净资</w:t>
      </w:r>
      <w:r>
        <w:rPr>
          <w:w w:val="100"/>
        </w:rPr>
        <w:t> </w:t>
      </w:r>
      <w:r>
        <w:rPr>
          <w:spacing w:val="-2"/>
        </w:rPr>
        <w:t>产公允价值份额的，不调整长期股权投资的初始投资成本；初始投资成本小于投资时应享有被投</w:t>
      </w:r>
      <w:r>
        <w:rPr>
          <w:spacing w:val="-25"/>
        </w:rPr>
        <w:t> </w:t>
      </w:r>
      <w:r>
        <w:rPr>
          <w:spacing w:val="-25"/>
        </w:rPr>
      </w:r>
      <w:r>
        <w:rPr/>
        <w:t>资单位可辨认净资产公允价值份额的，其差额计入当期损益，同时调整长期股权投资的成本。</w:t>
      </w:r>
    </w:p>
    <w:p>
      <w:pPr>
        <w:pStyle w:val="BodyText"/>
        <w:spacing w:line="357" w:lineRule="auto" w:before="30"/>
        <w:ind w:left="137" w:right="0" w:firstLine="420"/>
        <w:jc w:val="left"/>
      </w:pPr>
      <w:r>
        <w:rPr>
          <w:spacing w:val="-4"/>
          <w:w w:val="100"/>
        </w:rPr>
        <w:t>采用权益法核算时，按照应享有或应分担的被投资单位实现的净损益和其他综合收益的份额，</w:t>
      </w:r>
      <w:r>
        <w:rPr>
          <w:w w:val="100"/>
        </w:rPr>
        <w:t> </w:t>
      </w:r>
      <w:r>
        <w:rPr/>
        <w:t>分别确认投资收益和其他综合收益，同时调整长期股权投资的账面价值；按照被投资单位宣告分</w:t>
      </w:r>
      <w:r>
        <w:rPr>
          <w:w w:val="100"/>
        </w:rPr>
        <w:t> </w:t>
      </w:r>
      <w:r>
        <w:rPr/>
        <w:t>派的利润或现金股利计算应享有的部分，相应减少长期股权投资的账面价值；对于被投资单位除</w:t>
      </w:r>
      <w:r>
        <w:rPr>
          <w:w w:val="100"/>
        </w:rPr>
        <w:t> </w:t>
      </w:r>
      <w:r>
        <w:rPr/>
        <w:t>净损益、其他综合收益和利润分配以外所有者权益的其他变动，调整长期股权投资的账面价值并</w:t>
      </w:r>
      <w:r>
        <w:rPr>
          <w:w w:val="100"/>
        </w:rPr>
        <w:t> </w:t>
      </w:r>
      <w:r>
        <w:rPr/>
        <w:t>计入资本公积。在确认应享有被投资单位净损益的份额时，以取得投资时被投资单位各项可辨认</w:t>
      </w:r>
      <w:r>
        <w:rPr>
          <w:w w:val="100"/>
        </w:rPr>
        <w:t> </w:t>
      </w:r>
      <w:r>
        <w:rPr/>
        <w:t>资产等的公允价值为基础，对被投资单位的净利润进行调整后确认。被投资单位采用的会计政策</w:t>
      </w:r>
    </w:p>
    <w:p>
      <w:pPr>
        <w:spacing w:after="0" w:line="357" w:lineRule="auto"/>
        <w:jc w:val="left"/>
        <w:sectPr>
          <w:pgSz w:w="11910" w:h="16840"/>
          <w:pgMar w:header="857" w:footer="1217" w:top="1320" w:bottom="1400" w:left="1140" w:right="1580"/>
        </w:sectPr>
      </w:pPr>
    </w:p>
    <w:p>
      <w:pPr>
        <w:pStyle w:val="BodyText"/>
        <w:spacing w:line="357" w:lineRule="auto" w:before="72"/>
        <w:ind w:left="137" w:right="108"/>
        <w:jc w:val="both"/>
      </w:pPr>
      <w:r>
        <w:rPr>
          <w:spacing w:val="-2"/>
        </w:rPr>
        <w:t>及会计期间与本集团不一致的，按照本集团的会计政策及会计期间对被投资单位的财务报表进行</w:t>
      </w:r>
      <w:r>
        <w:rPr>
          <w:spacing w:val="-25"/>
        </w:rPr>
        <w:t> </w:t>
      </w:r>
      <w:r>
        <w:rPr>
          <w:spacing w:val="-25"/>
        </w:rPr>
      </w:r>
      <w:r>
        <w:rPr>
          <w:spacing w:val="-6"/>
          <w:w w:val="100"/>
        </w:rPr>
        <w:t>调整，并据以确认投资收益和其他综合收益。对于本集团与联营企业及合营企业之间发生的交易，</w:t>
      </w:r>
      <w:r>
        <w:rPr>
          <w:w w:val="100"/>
        </w:rPr>
        <w:t> </w:t>
      </w:r>
      <w:r>
        <w:rPr>
          <w:spacing w:val="-2"/>
        </w:rPr>
        <w:t>投出或出售的资产不构成业务的，未实现内部交易损益按照享有的比例计算归属于本集团的部分</w:t>
      </w:r>
      <w:r>
        <w:rPr>
          <w:spacing w:val="-25"/>
        </w:rPr>
        <w:t> </w:t>
      </w:r>
      <w:r>
        <w:rPr>
          <w:spacing w:val="-25"/>
        </w:rPr>
      </w:r>
      <w:r>
        <w:rPr>
          <w:spacing w:val="-2"/>
        </w:rPr>
        <w:t>予以抵销，在此基础上确认投资损益。但本集团与被投资单位发生的未实现内部交易损失，属于</w:t>
      </w:r>
      <w:r>
        <w:rPr>
          <w:spacing w:val="-25"/>
        </w:rPr>
        <w:t> </w:t>
      </w:r>
      <w:r>
        <w:rPr>
          <w:spacing w:val="-25"/>
        </w:rPr>
      </w:r>
      <w:r>
        <w:rPr/>
        <w:t>所转让资产减值损失的，不予以抵销。</w:t>
      </w:r>
    </w:p>
    <w:p>
      <w:pPr>
        <w:pStyle w:val="BodyText"/>
        <w:spacing w:line="357" w:lineRule="auto" w:before="30"/>
        <w:ind w:left="137" w:right="118" w:firstLine="420"/>
        <w:jc w:val="both"/>
      </w:pPr>
      <w:r>
        <w:rPr>
          <w:spacing w:val="-2"/>
        </w:rPr>
        <w:t>在确认应分担被投资单位发生的净亏损时，以长期股权投资的账面价值和其他实质上构成对</w:t>
      </w:r>
      <w:r>
        <w:rPr>
          <w:w w:val="100"/>
        </w:rPr>
        <w:t> </w:t>
      </w:r>
      <w:r>
        <w:rPr>
          <w:spacing w:val="-2"/>
        </w:rPr>
        <w:t>被投资单位净投资的长期权益减记至零为限。此外，如本集团对被投资单位负有承担额外损失的</w:t>
      </w:r>
      <w:r>
        <w:rPr>
          <w:spacing w:val="-26"/>
        </w:rPr>
        <w:t> </w:t>
      </w:r>
      <w:r>
        <w:rPr>
          <w:spacing w:val="-26"/>
        </w:rPr>
      </w:r>
      <w:r>
        <w:rPr>
          <w:spacing w:val="-2"/>
        </w:rPr>
        <w:t>义务，则按预计承担的义务确认预计负债，计入当期投资损失。被投资单位以后期间实现净利润</w:t>
      </w:r>
      <w:r>
        <w:rPr>
          <w:spacing w:val="-25"/>
        </w:rPr>
        <w:t> </w:t>
      </w:r>
      <w:r>
        <w:rPr>
          <w:spacing w:val="-25"/>
        </w:rPr>
      </w:r>
      <w:r>
        <w:rPr/>
        <w:t>的，本集团在收益分享额弥补未确认的亏损分担额后，恢复确认收益分享额。</w:t>
      </w:r>
    </w:p>
    <w:p>
      <w:pPr>
        <w:pStyle w:val="Heading4"/>
        <w:spacing w:line="240" w:lineRule="auto"/>
        <w:ind w:right="0"/>
        <w:jc w:val="left"/>
        <w:rPr>
          <w:i w:val="0"/>
        </w:rPr>
      </w:pPr>
      <w:r>
        <w:rPr>
          <w:rFonts w:ascii="宋体" w:hAnsi="宋体" w:cs="宋体" w:eastAsia="宋体" w:hint="default"/>
          <w:w w:val="96"/>
        </w:rPr>
      </w:r>
      <w:r>
        <w:rPr>
          <w:rFonts w:ascii="宋体" w:hAnsi="宋体" w:cs="宋体" w:eastAsia="宋体" w:hint="default"/>
          <w:w w:val="95"/>
          <w:u w:val="single" w:color="000000"/>
        </w:rPr>
        <w:t>14.3.3</w:t>
      </w:r>
      <w:r>
        <w:rPr>
          <w:rFonts w:ascii="宋体" w:hAnsi="宋体" w:cs="宋体" w:eastAsia="宋体" w:hint="default"/>
          <w:spacing w:val="-44"/>
          <w:w w:val="95"/>
          <w:u w:val="single" w:color="000000"/>
        </w:rPr>
        <w:t> </w:t>
      </w:r>
      <w:r>
        <w:rPr>
          <w:w w:val="95"/>
          <w:u w:val="single" w:color="000000"/>
        </w:rPr>
        <w:t>处置长期股权投资</w:t>
      </w:r>
      <w:r>
        <w:rPr>
          <w:w w:val="95"/>
        </w:rPr>
      </w:r>
      <w:r>
        <w:rPr>
          <w:i w:val="0"/>
        </w:rPr>
      </w:r>
    </w:p>
    <w:p>
      <w:pPr>
        <w:pStyle w:val="BodyText"/>
        <w:spacing w:line="357" w:lineRule="auto" w:before="131"/>
        <w:ind w:left="137" w:right="118" w:firstLine="420"/>
        <w:jc w:val="both"/>
      </w:pPr>
      <w:r>
        <w:rPr>
          <w:spacing w:val="-2"/>
        </w:rPr>
        <w:t>处置长期股权投资时，其账面价值与实际取得价款的差额，计入当期损益。采用权益法核算</w:t>
      </w:r>
      <w:r>
        <w:rPr>
          <w:w w:val="100"/>
        </w:rPr>
        <w:t> </w:t>
      </w:r>
      <w:r>
        <w:rPr>
          <w:spacing w:val="-2"/>
        </w:rPr>
        <w:t>的长期股权投资，处置后的剩余股权仍采用权益法核算的，原采用权益法核算而确认的其他综合</w:t>
      </w:r>
      <w:r>
        <w:rPr>
          <w:spacing w:val="-25"/>
        </w:rPr>
        <w:t> </w:t>
      </w:r>
      <w:r>
        <w:rPr>
          <w:spacing w:val="-25"/>
        </w:rPr>
      </w:r>
      <w:r>
        <w:rPr>
          <w:spacing w:val="-2"/>
        </w:rPr>
        <w:t>收益采用与被投资单位直接处置相关资产或负债相同的基础进行会计处理并按比例结转；因被投</w:t>
      </w:r>
      <w:r>
        <w:rPr>
          <w:spacing w:val="-25"/>
        </w:rPr>
        <w:t> </w:t>
      </w:r>
      <w:r>
        <w:rPr>
          <w:spacing w:val="-25"/>
        </w:rPr>
      </w:r>
      <w:r>
        <w:rPr>
          <w:spacing w:val="-2"/>
        </w:rPr>
        <w:t>资方除净损益、其他综合收益和利润分配以外的其他所有者权益变动而确认的所有者权益，按比</w:t>
      </w:r>
      <w:r>
        <w:rPr>
          <w:spacing w:val="-26"/>
        </w:rPr>
        <w:t> </w:t>
      </w:r>
      <w:r>
        <w:rPr>
          <w:spacing w:val="-26"/>
        </w:rPr>
      </w:r>
      <w:r>
        <w:rPr/>
        <w:t>例结转入当期损益。</w:t>
      </w:r>
    </w:p>
    <w:p>
      <w:pPr>
        <w:pStyle w:val="BodyText"/>
        <w:spacing w:line="357" w:lineRule="auto" w:before="30"/>
        <w:ind w:left="137" w:right="118" w:firstLine="420"/>
        <w:jc w:val="both"/>
      </w:pPr>
      <w:r>
        <w:rPr>
          <w:spacing w:val="-2"/>
        </w:rPr>
        <w:t>本集团因处置部分股权投资丧失了对被投资单位的共同控制或重大影响的，处置后的剩余股</w:t>
      </w:r>
      <w:r>
        <w:rPr>
          <w:w w:val="100"/>
        </w:rPr>
        <w:t> </w:t>
      </w:r>
      <w:r>
        <w:rPr>
          <w:spacing w:val="-2"/>
        </w:rPr>
        <w:t>权改按金融工具确认和计量准则核算，其在丧失共同控制或重大影响之日的公允价值与账面价值</w:t>
      </w:r>
      <w:r>
        <w:rPr>
          <w:spacing w:val="-25"/>
        </w:rPr>
        <w:t> </w:t>
      </w:r>
      <w:r>
        <w:rPr>
          <w:spacing w:val="-25"/>
        </w:rPr>
      </w:r>
      <w:r>
        <w:rPr>
          <w:spacing w:val="-2"/>
        </w:rPr>
        <w:t>之间的差额计入当期损益。原股权投资因采用权益法核算而确认的其他综合收益，在终止采用权</w:t>
      </w:r>
      <w:r>
        <w:rPr>
          <w:spacing w:val="-25"/>
        </w:rPr>
        <w:t> </w:t>
      </w:r>
      <w:r>
        <w:rPr>
          <w:spacing w:val="-25"/>
        </w:rPr>
      </w:r>
      <w:r>
        <w:rPr>
          <w:spacing w:val="-2"/>
        </w:rPr>
        <w:t>益法核算时采用与被投资单位直接处置相关资产或负债相同的基础进行会计处理，因被投资方除</w:t>
      </w:r>
      <w:r>
        <w:rPr>
          <w:spacing w:val="-25"/>
        </w:rPr>
        <w:t> </w:t>
      </w:r>
      <w:r>
        <w:rPr>
          <w:spacing w:val="-25"/>
        </w:rPr>
      </w:r>
      <w:r>
        <w:rPr>
          <w:spacing w:val="-2"/>
        </w:rPr>
        <w:t>净损益、其他综合收益和利润分配以外的其他所有者权益变动而确认的所有者权益，在终止采用</w:t>
      </w:r>
      <w:r>
        <w:rPr>
          <w:spacing w:val="-25"/>
        </w:rPr>
        <w:t> </w:t>
      </w:r>
      <w:r>
        <w:rPr>
          <w:spacing w:val="-25"/>
        </w:rPr>
      </w:r>
      <w:r>
        <w:rPr/>
        <w:t>权益法时全部转入当期投资收益。</w:t>
      </w:r>
    </w:p>
    <w:p>
      <w:pPr>
        <w:spacing w:line="240" w:lineRule="auto" w:before="0"/>
        <w:rPr>
          <w:rFonts w:ascii="宋体" w:hAnsi="宋体" w:cs="宋体" w:eastAsia="宋体" w:hint="default"/>
          <w:sz w:val="20"/>
          <w:szCs w:val="20"/>
        </w:rPr>
      </w:pPr>
    </w:p>
    <w:p>
      <w:pPr>
        <w:spacing w:line="290" w:lineRule="auto" w:before="140"/>
        <w:ind w:left="137" w:right="7238"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24"/>
          <w:szCs w:val="24"/>
        </w:rPr>
      </w:pPr>
    </w:p>
    <w:p>
      <w:pPr>
        <w:pStyle w:val="Heading5"/>
        <w:spacing w:line="290" w:lineRule="auto"/>
        <w:ind w:left="137" w:right="7660"/>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72" w:lineRule="exact" w:before="42"/>
        <w:ind w:left="557" w:right="0" w:hanging="420"/>
        <w:jc w:val="left"/>
      </w:pPr>
      <w:r>
        <w:rPr/>
        <w:t>√适用</w:t>
      </w:r>
      <w:r>
        <w:rPr>
          <w:spacing w:val="-2"/>
        </w:rPr>
        <w:t> </w:t>
      </w:r>
      <w:r>
        <w:rPr/>
        <w:t>□不适用</w:t>
      </w:r>
      <w:r>
        <w:rPr>
          <w:spacing w:val="-103"/>
        </w:rPr>
        <w:t> </w:t>
      </w:r>
      <w:r>
        <w:rPr>
          <w:spacing w:val="-103"/>
        </w:rPr>
      </w:r>
      <w:r>
        <w:rPr>
          <w:spacing w:val="-2"/>
        </w:rPr>
        <w:t>固定资产是指为生产商品、提供劳务、出租或经营管理而持有的，使用寿命超过一个会计年</w:t>
      </w:r>
    </w:p>
    <w:p>
      <w:pPr>
        <w:pStyle w:val="BodyText"/>
        <w:spacing w:line="357" w:lineRule="auto" w:before="108"/>
        <w:ind w:left="137" w:right="118"/>
        <w:jc w:val="both"/>
      </w:pPr>
      <w:r>
        <w:rPr>
          <w:spacing w:val="-2"/>
        </w:rPr>
        <w:t>度的有形资产。固定资产仅在与其有关的经济利益很可能流入本集团，且其成本能够可靠地计量</w:t>
      </w:r>
      <w:r>
        <w:rPr>
          <w:spacing w:val="-25"/>
        </w:rPr>
        <w:t> </w:t>
      </w:r>
      <w:r>
        <w:rPr>
          <w:spacing w:val="-25"/>
        </w:rPr>
      </w:r>
      <w:r>
        <w:rPr/>
        <w:t>时才予以确认。固定资产按成本进行初始计量。</w:t>
      </w:r>
    </w:p>
    <w:p>
      <w:pPr>
        <w:pStyle w:val="BodyText"/>
        <w:spacing w:line="355" w:lineRule="auto" w:before="30"/>
        <w:ind w:left="137" w:right="118" w:firstLine="420"/>
        <w:jc w:val="both"/>
      </w:pPr>
      <w:r>
        <w:rPr>
          <w:spacing w:val="-2"/>
        </w:rPr>
        <w:t>与固定资产有关的后续支出，如果与该固定资产有关的经济利益很可能流入且其成本能可靠</w:t>
      </w:r>
      <w:r>
        <w:rPr>
          <w:w w:val="100"/>
        </w:rPr>
        <w:t> </w:t>
      </w:r>
      <w:r>
        <w:rPr>
          <w:spacing w:val="-2"/>
        </w:rPr>
        <w:t>地计量，则计入固定资产成本，并终止确认被替换部分的账面价值。除此以外的其他后续支出，</w:t>
      </w:r>
      <w:r>
        <w:rPr>
          <w:spacing w:val="-25"/>
        </w:rPr>
        <w:t> </w:t>
      </w:r>
      <w:r>
        <w:rPr>
          <w:spacing w:val="-25"/>
        </w:rPr>
      </w:r>
      <w:r>
        <w:rPr/>
        <w:t>在发生时计入当期损益。</w:t>
      </w:r>
    </w:p>
    <w:p>
      <w:pPr>
        <w:spacing w:after="0" w:line="355" w:lineRule="auto"/>
        <w:jc w:val="both"/>
        <w:sectPr>
          <w:pgSz w:w="11910" w:h="16840"/>
          <w:pgMar w:header="857" w:footer="1217" w:top="1320" w:bottom="1400" w:left="1140" w:right="1680"/>
        </w:sectPr>
      </w:pPr>
    </w:p>
    <w:p>
      <w:pPr>
        <w:pStyle w:val="Heading5"/>
        <w:spacing w:line="240" w:lineRule="auto" w:before="72"/>
        <w:ind w:left="217" w:right="234"/>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6"/>
        <w:ind w:left="217" w:right="234"/>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40-60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1.67%-2.5%</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20.00%-33.33%</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10.00%-33.33%</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运输设备及其他</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20.00%-25.00%</w:t>
            </w:r>
          </w:p>
        </w:tc>
      </w:tr>
    </w:tbl>
    <w:p>
      <w:pPr>
        <w:pStyle w:val="BodyText"/>
        <w:spacing w:line="241" w:lineRule="exact"/>
        <w:ind w:left="637" w:right="124"/>
        <w:jc w:val="left"/>
      </w:pPr>
      <w:r>
        <w:rPr/>
        <w:t>固定资产从达到预定可使用状态的次月起，采用年限平均法在使用寿命内计提折旧。各类固</w:t>
      </w:r>
    </w:p>
    <w:p>
      <w:pPr>
        <w:pStyle w:val="BodyText"/>
        <w:spacing w:line="355" w:lineRule="auto" w:before="135"/>
        <w:ind w:left="637" w:right="234" w:hanging="420"/>
        <w:jc w:val="left"/>
      </w:pPr>
      <w:r>
        <w:rPr/>
        <w:t>定资产的折旧方法、使用寿命、预计净残值和年折旧率如上。</w:t>
      </w:r>
      <w:r>
        <w:rPr>
          <w:w w:val="100"/>
        </w:rPr>
        <w:t> </w:t>
      </w:r>
      <w:r>
        <w:rPr>
          <w:spacing w:val="-2"/>
        </w:rPr>
        <w:t>预计净残值是指假定固定资产预计使用寿命已满并处于使用寿命终了时的预期状态，本集团</w:t>
      </w:r>
    </w:p>
    <w:p>
      <w:pPr>
        <w:pStyle w:val="BodyText"/>
        <w:spacing w:line="240" w:lineRule="auto" w:before="33"/>
        <w:ind w:left="217" w:right="234"/>
        <w:jc w:val="left"/>
      </w:pPr>
      <w:r>
        <w:rPr/>
        <w:t>目前从该项资产处置中获得的扣除预计处置费用后的金额。</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5"/>
        <w:spacing w:line="240" w:lineRule="auto"/>
        <w:ind w:left="217" w:right="234"/>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tabs>
          <w:tab w:pos="1059" w:val="left" w:leader="none"/>
        </w:tabs>
        <w:spacing w:line="240" w:lineRule="auto" w:before="56"/>
        <w:ind w:left="217" w:right="234"/>
        <w:jc w:val="left"/>
      </w:pPr>
      <w:r>
        <w:rPr/>
        <w:t>□适用</w:t>
        <w:tab/>
        <w:t>√不适用</w:t>
      </w:r>
    </w:p>
    <w:p>
      <w:pPr>
        <w:spacing w:line="240" w:lineRule="auto" w:before="8"/>
        <w:rPr>
          <w:rFonts w:ascii="宋体" w:hAnsi="宋体" w:cs="宋体" w:eastAsia="宋体" w:hint="default"/>
          <w:sz w:val="20"/>
          <w:szCs w:val="20"/>
        </w:rPr>
      </w:pPr>
    </w:p>
    <w:p>
      <w:pPr>
        <w:pStyle w:val="Heading5"/>
        <w:spacing w:line="274" w:lineRule="exact"/>
        <w:ind w:left="217" w:right="234"/>
        <w:jc w:val="left"/>
        <w:rPr>
          <w:b w:val="0"/>
          <w:bCs w:val="0"/>
        </w:rPr>
      </w:pPr>
      <w:r>
        <w:rPr>
          <w:rFonts w:ascii="宋体" w:hAnsi="宋体" w:cs="宋体" w:eastAsia="宋体" w:hint="default"/>
        </w:rPr>
        <w:t>(4).</w:t>
      </w:r>
      <w:r>
        <w:rPr/>
        <w:t>其他说明</w:t>
      </w:r>
      <w:r>
        <w:rPr>
          <w:b w:val="0"/>
          <w:bCs w:val="0"/>
        </w:rPr>
      </w:r>
    </w:p>
    <w:p>
      <w:pPr>
        <w:pStyle w:val="BodyText"/>
        <w:spacing w:line="355" w:lineRule="auto"/>
        <w:ind w:left="217" w:right="234" w:firstLine="420"/>
        <w:jc w:val="left"/>
      </w:pPr>
      <w:r>
        <w:rPr>
          <w:spacing w:val="-2"/>
        </w:rPr>
        <w:t>当固定资产处置时或预期通过使用或处置不能产生经济利益时，终止确认该固定资产。固定</w:t>
      </w:r>
      <w:r>
        <w:rPr>
          <w:w w:val="100"/>
        </w:rPr>
        <w:t> </w:t>
      </w:r>
      <w:r>
        <w:rPr/>
        <w:t>资产出售、转让、报废或毁损的处置收入扣除其账面价值和相关税费后的差额计入当期损益。</w:t>
      </w:r>
    </w:p>
    <w:p>
      <w:pPr>
        <w:pStyle w:val="BodyText"/>
        <w:spacing w:line="355" w:lineRule="auto" w:before="32"/>
        <w:ind w:left="217" w:right="234" w:firstLine="420"/>
        <w:jc w:val="left"/>
      </w:pPr>
      <w:r>
        <w:rPr>
          <w:spacing w:val="-2"/>
        </w:rPr>
        <w:t>本集团至少于年度终了时对固定资产的使用寿命、预计净残值和折旧方法进行复核，如发生</w:t>
      </w:r>
      <w:r>
        <w:rPr>
          <w:w w:val="100"/>
        </w:rPr>
        <w:t> </w:t>
      </w:r>
      <w:r>
        <w:rPr/>
        <w:t>改变则作为会计估计变更处理。</w:t>
      </w:r>
    </w:p>
    <w:p>
      <w:pPr>
        <w:spacing w:line="240" w:lineRule="auto" w:before="0"/>
        <w:rPr>
          <w:rFonts w:ascii="宋体" w:hAnsi="宋体" w:cs="宋体" w:eastAsia="宋体" w:hint="default"/>
          <w:sz w:val="20"/>
          <w:szCs w:val="20"/>
        </w:rPr>
      </w:pPr>
    </w:p>
    <w:p>
      <w:pPr>
        <w:pStyle w:val="Heading5"/>
        <w:spacing w:line="240" w:lineRule="auto" w:before="143"/>
        <w:ind w:left="217" w:right="234"/>
        <w:jc w:val="left"/>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tabs>
          <w:tab w:pos="1059" w:val="left" w:leader="none"/>
        </w:tabs>
        <w:spacing w:line="272" w:lineRule="exact" w:before="86"/>
        <w:ind w:left="697" w:right="234" w:hanging="480"/>
        <w:jc w:val="left"/>
      </w:pPr>
      <w:r>
        <w:rPr/>
        <w:t>√适用</w:t>
        <w:tab/>
        <w:t>□不适用</w:t>
      </w:r>
      <w:r>
        <w:rPr>
          <w:w w:val="100"/>
        </w:rPr>
        <w:t> </w:t>
      </w:r>
      <w:r>
        <w:rPr>
          <w:spacing w:val="-3"/>
        </w:rPr>
        <w:t>在建工程成本按实际成本计量，实际成本包括在建期间发生的各项工程支出以及其他相关费</w:t>
      </w:r>
    </w:p>
    <w:p>
      <w:pPr>
        <w:pStyle w:val="BodyText"/>
        <w:spacing w:line="240" w:lineRule="auto" w:before="110"/>
        <w:ind w:left="217" w:right="234"/>
        <w:jc w:val="left"/>
      </w:pPr>
      <w:r>
        <w:rPr/>
        <w:t>用等。在建工程不计提折旧。在建工程在达到预定可使用状态后结转为固定资产。</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5"/>
        <w:spacing w:line="240" w:lineRule="auto"/>
        <w:ind w:left="217" w:right="234"/>
        <w:jc w:val="left"/>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tabs>
          <w:tab w:pos="1059" w:val="left" w:leader="none"/>
        </w:tabs>
        <w:spacing w:line="240" w:lineRule="auto" w:before="58"/>
        <w:ind w:left="217" w:right="234"/>
        <w:jc w:val="left"/>
      </w:pPr>
      <w:r>
        <w:rPr/>
        <w:t>□适用</w:t>
        <w:tab/>
        <w:t>√不适用</w:t>
      </w:r>
    </w:p>
    <w:p>
      <w:pPr>
        <w:spacing w:line="240" w:lineRule="auto" w:before="3"/>
        <w:rPr>
          <w:rFonts w:ascii="宋体" w:hAnsi="宋体" w:cs="宋体" w:eastAsia="宋体" w:hint="default"/>
          <w:sz w:val="28"/>
          <w:szCs w:val="28"/>
        </w:rPr>
      </w:pPr>
    </w:p>
    <w:p>
      <w:pPr>
        <w:pStyle w:val="Heading5"/>
        <w:spacing w:line="240" w:lineRule="auto"/>
        <w:ind w:left="217" w:right="234"/>
        <w:jc w:val="left"/>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tabs>
          <w:tab w:pos="1059" w:val="left" w:leader="none"/>
        </w:tabs>
        <w:spacing w:line="240" w:lineRule="auto" w:before="58"/>
        <w:ind w:left="217" w:right="234"/>
        <w:jc w:val="left"/>
      </w:pPr>
      <w:r>
        <w:rPr/>
        <w:t>□适用</w:t>
        <w:tab/>
        <w:t>√不适用</w:t>
      </w:r>
    </w:p>
    <w:p>
      <w:pPr>
        <w:spacing w:line="240" w:lineRule="auto" w:before="2"/>
        <w:rPr>
          <w:rFonts w:ascii="宋体" w:hAnsi="宋体" w:cs="宋体" w:eastAsia="宋体" w:hint="default"/>
          <w:sz w:val="28"/>
          <w:szCs w:val="28"/>
        </w:rPr>
      </w:pPr>
    </w:p>
    <w:p>
      <w:pPr>
        <w:pStyle w:val="Heading5"/>
        <w:spacing w:line="240" w:lineRule="auto"/>
        <w:ind w:left="217" w:right="234"/>
        <w:jc w:val="left"/>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tabs>
          <w:tab w:pos="1059" w:val="left" w:leader="none"/>
        </w:tabs>
        <w:spacing w:line="240" w:lineRule="auto" w:before="56"/>
        <w:ind w:left="217" w:right="234"/>
        <w:jc w:val="left"/>
      </w:pPr>
      <w:r>
        <w:rPr/>
        <w:t>□适用</w:t>
        <w:tab/>
        <w:t>√不适用</w:t>
      </w:r>
    </w:p>
    <w:p>
      <w:pPr>
        <w:spacing w:line="240" w:lineRule="auto" w:before="2"/>
        <w:rPr>
          <w:rFonts w:ascii="宋体" w:hAnsi="宋体" w:cs="宋体" w:eastAsia="宋体" w:hint="default"/>
          <w:sz w:val="28"/>
          <w:szCs w:val="28"/>
        </w:rPr>
      </w:pPr>
    </w:p>
    <w:p>
      <w:pPr>
        <w:pStyle w:val="Heading5"/>
        <w:spacing w:line="290" w:lineRule="auto"/>
        <w:ind w:left="217" w:right="5674"/>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b w:val="0"/>
          <w:bCs w:val="0"/>
        </w:rPr>
      </w:r>
    </w:p>
    <w:p>
      <w:pPr>
        <w:pStyle w:val="BodyText"/>
        <w:spacing w:line="240" w:lineRule="auto" w:before="12"/>
        <w:ind w:left="637" w:right="1484" w:hanging="420"/>
        <w:jc w:val="left"/>
      </w:pPr>
      <w:r>
        <w:rPr/>
        <w:t>√适用</w:t>
      </w:r>
      <w:r>
        <w:rPr>
          <w:spacing w:val="-2"/>
        </w:rPr>
        <w:t> </w:t>
      </w:r>
      <w:r>
        <w:rPr/>
        <w:t>□不适用</w:t>
      </w:r>
      <w:r>
        <w:rPr>
          <w:spacing w:val="-103"/>
        </w:rPr>
        <w:t> </w:t>
      </w:r>
      <w:r>
        <w:rPr>
          <w:spacing w:val="-103"/>
        </w:rPr>
      </w:r>
      <w:r>
        <w:rPr>
          <w:spacing w:val="-2"/>
        </w:rPr>
        <w:t>无形资产包括土地使用权、软件使用权、专利权以及非专利技术。</w:t>
      </w:r>
    </w:p>
    <w:p>
      <w:pPr>
        <w:spacing w:after="0" w:line="240" w:lineRule="auto"/>
        <w:jc w:val="left"/>
        <w:sectPr>
          <w:pgSz w:w="11910" w:h="16840"/>
          <w:pgMar w:header="857" w:footer="1217" w:top="1320" w:bottom="1400" w:left="1060" w:right="1560"/>
        </w:sectPr>
      </w:pPr>
    </w:p>
    <w:p>
      <w:pPr>
        <w:pStyle w:val="BodyText"/>
        <w:spacing w:line="355" w:lineRule="auto" w:before="72"/>
        <w:ind w:left="217" w:right="238" w:firstLine="420"/>
        <w:jc w:val="both"/>
      </w:pPr>
      <w:r>
        <w:rPr>
          <w:spacing w:val="-2"/>
        </w:rPr>
        <w:t>无形资产按成本进行初始计量。使用寿命有限的无形资产自可供使用时起，对其原值在其预</w:t>
      </w:r>
      <w:r>
        <w:rPr>
          <w:w w:val="100"/>
        </w:rPr>
        <w:t> </w:t>
      </w:r>
      <w:r>
        <w:rPr>
          <w:spacing w:val="-2"/>
        </w:rPr>
        <w:t>计使用寿命内采用直线法分期平均摊销。使用寿命不确定的无形资产不予摊销。使用寿命确定的</w:t>
      </w:r>
      <w:r>
        <w:rPr>
          <w:spacing w:val="-25"/>
        </w:rPr>
        <w:t> </w:t>
      </w:r>
      <w:r>
        <w:rPr>
          <w:spacing w:val="-25"/>
        </w:rPr>
      </w:r>
      <w:r>
        <w:rPr/>
        <w:t>各类无形资产的摊销方法、使用寿命和预计残值如下：</w:t>
      </w:r>
    </w:p>
    <w:p>
      <w:pPr>
        <w:spacing w:line="240" w:lineRule="auto" w:before="3"/>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739"/>
        <w:gridCol w:w="2102"/>
        <w:gridCol w:w="2105"/>
        <w:gridCol w:w="2103"/>
      </w:tblGrid>
      <w:tr>
        <w:trPr>
          <w:trHeight w:val="271" w:hRule="exact"/>
        </w:trPr>
        <w:tc>
          <w:tcPr>
            <w:tcW w:w="2739" w:type="dxa"/>
            <w:tcBorders>
              <w:top w:val="single" w:sz="4" w:space="0" w:color="000000"/>
              <w:left w:val="single" w:sz="4" w:space="0" w:color="000000"/>
              <w:bottom w:val="single" w:sz="6" w:space="0" w:color="000000"/>
              <w:right w:val="single" w:sz="6" w:space="0" w:color="000000"/>
            </w:tcBorders>
          </w:tcPr>
          <w:p>
            <w:pPr>
              <w:pStyle w:val="TableParagraph"/>
              <w:spacing w:line="229" w:lineRule="exact"/>
              <w:ind w:left="4"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102" w:type="dxa"/>
            <w:tcBorders>
              <w:top w:val="single" w:sz="4" w:space="0" w:color="000000"/>
              <w:left w:val="single" w:sz="6" w:space="0" w:color="000000"/>
              <w:bottom w:val="single" w:sz="6" w:space="0" w:color="000000"/>
              <w:right w:val="single" w:sz="6" w:space="0" w:color="000000"/>
            </w:tcBorders>
          </w:tcPr>
          <w:p>
            <w:pPr>
              <w:pStyle w:val="TableParagraph"/>
              <w:spacing w:line="229" w:lineRule="exact"/>
              <w:ind w:left="2" w:right="0"/>
              <w:jc w:val="center"/>
              <w:rPr>
                <w:rFonts w:ascii="宋体" w:hAnsi="宋体" w:cs="宋体" w:eastAsia="宋体" w:hint="default"/>
                <w:sz w:val="21"/>
                <w:szCs w:val="21"/>
              </w:rPr>
            </w:pPr>
            <w:r>
              <w:rPr>
                <w:rFonts w:ascii="宋体" w:hAnsi="宋体" w:cs="宋体" w:eastAsia="宋体" w:hint="default"/>
                <w:sz w:val="21"/>
                <w:szCs w:val="21"/>
              </w:rPr>
              <w:t>摊销方法</w:t>
            </w:r>
          </w:p>
        </w:tc>
        <w:tc>
          <w:tcPr>
            <w:tcW w:w="2105" w:type="dxa"/>
            <w:tcBorders>
              <w:top w:val="single" w:sz="4" w:space="0" w:color="000000"/>
              <w:left w:val="single" w:sz="6" w:space="0" w:color="000000"/>
              <w:bottom w:val="single" w:sz="6" w:space="0" w:color="000000"/>
              <w:right w:val="single" w:sz="6" w:space="0" w:color="000000"/>
            </w:tcBorders>
          </w:tcPr>
          <w:p>
            <w:pPr>
              <w:pStyle w:val="TableParagraph"/>
              <w:spacing w:line="229" w:lineRule="exact"/>
              <w:ind w:left="415" w:right="0"/>
              <w:jc w:val="left"/>
              <w:rPr>
                <w:rFonts w:ascii="宋体" w:hAnsi="宋体" w:cs="宋体" w:eastAsia="宋体" w:hint="default"/>
                <w:sz w:val="21"/>
                <w:szCs w:val="21"/>
              </w:rPr>
            </w:pPr>
            <w:r>
              <w:rPr>
                <w:rFonts w:ascii="宋体" w:hAnsi="宋体" w:cs="宋体" w:eastAsia="宋体" w:hint="default"/>
                <w:sz w:val="21"/>
                <w:szCs w:val="21"/>
              </w:rPr>
              <w:t>使用寿命</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c>
          <w:tcPr>
            <w:tcW w:w="2103" w:type="dxa"/>
            <w:tcBorders>
              <w:top w:val="single" w:sz="4" w:space="0" w:color="000000"/>
              <w:left w:val="single" w:sz="6" w:space="0" w:color="000000"/>
              <w:bottom w:val="single" w:sz="6" w:space="0" w:color="000000"/>
              <w:right w:val="single" w:sz="4" w:space="0" w:color="000000"/>
            </w:tcBorders>
          </w:tcPr>
          <w:p>
            <w:pPr>
              <w:pStyle w:val="TableParagraph"/>
              <w:spacing w:line="229" w:lineRule="exact"/>
              <w:ind w:left="571"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p>
        </w:tc>
      </w:tr>
      <w:tr>
        <w:trPr>
          <w:trHeight w:val="274" w:hRule="exact"/>
        </w:trPr>
        <w:tc>
          <w:tcPr>
            <w:tcW w:w="2739" w:type="dxa"/>
            <w:tcBorders>
              <w:top w:val="single" w:sz="6" w:space="0" w:color="000000"/>
              <w:left w:val="single" w:sz="4" w:space="0" w:color="000000"/>
              <w:bottom w:val="single" w:sz="6" w:space="0" w:color="000000"/>
              <w:right w:val="single" w:sz="6"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6"/>
              <w:jc w:val="right"/>
              <w:rPr>
                <w:rFonts w:ascii="宋体" w:hAnsi="宋体" w:cs="宋体" w:eastAsia="宋体" w:hint="default"/>
                <w:sz w:val="21"/>
                <w:szCs w:val="21"/>
              </w:rPr>
            </w:pPr>
            <w:r>
              <w:rPr>
                <w:rFonts w:ascii="宋体"/>
                <w:sz w:val="21"/>
              </w:rPr>
              <w:t>42-50</w:t>
            </w:r>
          </w:p>
        </w:tc>
        <w:tc>
          <w:tcPr>
            <w:tcW w:w="2103" w:type="dxa"/>
            <w:tcBorders>
              <w:top w:val="single" w:sz="6" w:space="0" w:color="000000"/>
              <w:left w:val="single" w:sz="6" w:space="0" w:color="000000"/>
              <w:bottom w:val="single" w:sz="6" w:space="0" w:color="000000"/>
              <w:right w:val="single" w:sz="4" w:space="0" w:color="000000"/>
            </w:tcBorders>
          </w:tcPr>
          <w:p>
            <w:pPr>
              <w:pStyle w:val="TableParagraph"/>
              <w:spacing w:line="229" w:lineRule="exact"/>
              <w:ind w:right="98"/>
              <w:jc w:val="right"/>
              <w:rPr>
                <w:rFonts w:ascii="宋体" w:hAnsi="宋体" w:cs="宋体" w:eastAsia="宋体" w:hint="default"/>
                <w:sz w:val="21"/>
                <w:szCs w:val="21"/>
              </w:rPr>
            </w:pPr>
            <w:r>
              <w:rPr>
                <w:rFonts w:ascii="宋体"/>
                <w:sz w:val="21"/>
              </w:rPr>
              <w:t>0.00%</w:t>
            </w:r>
          </w:p>
        </w:tc>
      </w:tr>
      <w:tr>
        <w:trPr>
          <w:trHeight w:val="274" w:hRule="exact"/>
        </w:trPr>
        <w:tc>
          <w:tcPr>
            <w:tcW w:w="2739" w:type="dxa"/>
            <w:tcBorders>
              <w:top w:val="single" w:sz="6" w:space="0" w:color="000000"/>
              <w:left w:val="single" w:sz="4" w:space="0" w:color="000000"/>
              <w:bottom w:val="single" w:sz="6" w:space="0" w:color="000000"/>
              <w:right w:val="single" w:sz="6"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软件使用权</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21"/>
                <w:szCs w:val="21"/>
              </w:rPr>
            </w:pPr>
            <w:r>
              <w:rPr>
                <w:rFonts w:ascii="宋体"/>
                <w:w w:val="100"/>
                <w:sz w:val="21"/>
              </w:rPr>
              <w:t>3</w:t>
            </w:r>
          </w:p>
        </w:tc>
        <w:tc>
          <w:tcPr>
            <w:tcW w:w="2103" w:type="dxa"/>
            <w:tcBorders>
              <w:top w:val="single" w:sz="6" w:space="0" w:color="000000"/>
              <w:left w:val="single" w:sz="6" w:space="0" w:color="000000"/>
              <w:bottom w:val="single" w:sz="6" w:space="0" w:color="000000"/>
              <w:right w:val="single" w:sz="4" w:space="0" w:color="000000"/>
            </w:tcBorders>
          </w:tcPr>
          <w:p>
            <w:pPr>
              <w:pStyle w:val="TableParagraph"/>
              <w:spacing w:line="229" w:lineRule="exact"/>
              <w:ind w:right="98"/>
              <w:jc w:val="right"/>
              <w:rPr>
                <w:rFonts w:ascii="宋体" w:hAnsi="宋体" w:cs="宋体" w:eastAsia="宋体" w:hint="default"/>
                <w:sz w:val="21"/>
                <w:szCs w:val="21"/>
              </w:rPr>
            </w:pPr>
            <w:r>
              <w:rPr>
                <w:rFonts w:ascii="宋体"/>
                <w:sz w:val="21"/>
              </w:rPr>
              <w:t>0.00%</w:t>
            </w:r>
          </w:p>
        </w:tc>
      </w:tr>
      <w:tr>
        <w:trPr>
          <w:trHeight w:val="274" w:hRule="exact"/>
        </w:trPr>
        <w:tc>
          <w:tcPr>
            <w:tcW w:w="2739" w:type="dxa"/>
            <w:tcBorders>
              <w:top w:val="single" w:sz="6" w:space="0" w:color="000000"/>
              <w:left w:val="single" w:sz="4" w:space="0" w:color="000000"/>
              <w:bottom w:val="single" w:sz="6" w:space="0" w:color="000000"/>
              <w:right w:val="single" w:sz="6"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6"/>
              <w:jc w:val="right"/>
              <w:rPr>
                <w:rFonts w:ascii="宋体" w:hAnsi="宋体" w:cs="宋体" w:eastAsia="宋体" w:hint="default"/>
                <w:sz w:val="21"/>
                <w:szCs w:val="21"/>
              </w:rPr>
            </w:pPr>
            <w:r>
              <w:rPr>
                <w:rFonts w:ascii="宋体"/>
                <w:sz w:val="21"/>
              </w:rPr>
              <w:t>3-10</w:t>
            </w:r>
          </w:p>
        </w:tc>
        <w:tc>
          <w:tcPr>
            <w:tcW w:w="2103" w:type="dxa"/>
            <w:tcBorders>
              <w:top w:val="single" w:sz="6" w:space="0" w:color="000000"/>
              <w:left w:val="single" w:sz="6" w:space="0" w:color="000000"/>
              <w:bottom w:val="single" w:sz="6" w:space="0" w:color="000000"/>
              <w:right w:val="single" w:sz="4" w:space="0" w:color="000000"/>
            </w:tcBorders>
          </w:tcPr>
          <w:p>
            <w:pPr>
              <w:pStyle w:val="TableParagraph"/>
              <w:spacing w:line="229" w:lineRule="exact"/>
              <w:ind w:right="98"/>
              <w:jc w:val="right"/>
              <w:rPr>
                <w:rFonts w:ascii="宋体" w:hAnsi="宋体" w:cs="宋体" w:eastAsia="宋体" w:hint="default"/>
                <w:sz w:val="21"/>
                <w:szCs w:val="21"/>
              </w:rPr>
            </w:pPr>
            <w:r>
              <w:rPr>
                <w:rFonts w:ascii="宋体"/>
                <w:sz w:val="21"/>
              </w:rPr>
              <w:t>0.00%</w:t>
            </w:r>
          </w:p>
        </w:tc>
      </w:tr>
      <w:tr>
        <w:trPr>
          <w:trHeight w:val="271" w:hRule="exact"/>
        </w:trPr>
        <w:tc>
          <w:tcPr>
            <w:tcW w:w="2739" w:type="dxa"/>
            <w:tcBorders>
              <w:top w:val="single" w:sz="6" w:space="0" w:color="000000"/>
              <w:left w:val="single" w:sz="4" w:space="0" w:color="000000"/>
              <w:bottom w:val="single" w:sz="4" w:space="0" w:color="000000"/>
              <w:right w:val="single" w:sz="6"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2102" w:type="dxa"/>
            <w:tcBorders>
              <w:top w:val="single" w:sz="6" w:space="0" w:color="000000"/>
              <w:left w:val="single" w:sz="6" w:space="0" w:color="000000"/>
              <w:bottom w:val="single" w:sz="4" w:space="0" w:color="000000"/>
              <w:right w:val="single" w:sz="6"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2105" w:type="dxa"/>
            <w:tcBorders>
              <w:top w:val="single" w:sz="6" w:space="0" w:color="000000"/>
              <w:left w:val="single" w:sz="6" w:space="0" w:color="000000"/>
              <w:bottom w:val="single" w:sz="4" w:space="0" w:color="000000"/>
              <w:right w:val="single" w:sz="6" w:space="0" w:color="000000"/>
            </w:tcBorders>
          </w:tcPr>
          <w:p>
            <w:pPr>
              <w:pStyle w:val="TableParagraph"/>
              <w:spacing w:line="229" w:lineRule="exact"/>
              <w:ind w:right="96"/>
              <w:jc w:val="right"/>
              <w:rPr>
                <w:rFonts w:ascii="宋体" w:hAnsi="宋体" w:cs="宋体" w:eastAsia="宋体" w:hint="default"/>
                <w:sz w:val="21"/>
                <w:szCs w:val="21"/>
              </w:rPr>
            </w:pPr>
            <w:r>
              <w:rPr>
                <w:rFonts w:ascii="宋体"/>
                <w:sz w:val="21"/>
              </w:rPr>
              <w:t>1.8-10</w:t>
            </w:r>
          </w:p>
        </w:tc>
        <w:tc>
          <w:tcPr>
            <w:tcW w:w="2103" w:type="dxa"/>
            <w:tcBorders>
              <w:top w:val="single" w:sz="6" w:space="0" w:color="000000"/>
              <w:left w:val="single" w:sz="6" w:space="0" w:color="000000"/>
              <w:bottom w:val="single" w:sz="4" w:space="0" w:color="000000"/>
              <w:right w:val="single" w:sz="4" w:space="0" w:color="000000"/>
            </w:tcBorders>
          </w:tcPr>
          <w:p>
            <w:pPr>
              <w:pStyle w:val="TableParagraph"/>
              <w:spacing w:line="229" w:lineRule="exact"/>
              <w:ind w:right="98"/>
              <w:jc w:val="right"/>
              <w:rPr>
                <w:rFonts w:ascii="宋体" w:hAnsi="宋体" w:cs="宋体" w:eastAsia="宋体" w:hint="default"/>
                <w:sz w:val="21"/>
                <w:szCs w:val="21"/>
              </w:rPr>
            </w:pPr>
            <w:r>
              <w:rPr>
                <w:rFonts w:ascii="宋体"/>
                <w:sz w:val="21"/>
              </w:rPr>
              <w:t>0.00%</w:t>
            </w:r>
          </w:p>
        </w:tc>
      </w:tr>
    </w:tbl>
    <w:p>
      <w:pPr>
        <w:pStyle w:val="BodyText"/>
        <w:spacing w:line="229" w:lineRule="exact"/>
        <w:ind w:left="217" w:right="234"/>
        <w:jc w:val="left"/>
      </w:pPr>
      <w:r>
        <w:rPr/>
        <w:t>期末，对使用寿命有限的无形资产的使用寿命和摊销方法进行复核，必要时进行调整。</w:t>
      </w:r>
    </w:p>
    <w:p>
      <w:pPr>
        <w:spacing w:line="240" w:lineRule="auto" w:before="13"/>
        <w:rPr>
          <w:rFonts w:ascii="宋体" w:hAnsi="宋体" w:cs="宋体" w:eastAsia="宋体" w:hint="default"/>
          <w:sz w:val="27"/>
          <w:szCs w:val="27"/>
        </w:rPr>
      </w:pPr>
    </w:p>
    <w:p>
      <w:pPr>
        <w:pStyle w:val="Heading5"/>
        <w:spacing w:line="240" w:lineRule="auto"/>
        <w:ind w:left="217" w:right="234"/>
        <w:jc w:val="left"/>
        <w:rPr>
          <w:b w:val="0"/>
          <w:bCs w:val="0"/>
        </w:rPr>
      </w:pPr>
      <w:r>
        <w:rPr>
          <w:rFonts w:ascii="宋体" w:hAnsi="宋体" w:cs="宋体" w:eastAsia="宋体" w:hint="default"/>
        </w:rPr>
        <w:t>(2).</w:t>
      </w:r>
      <w:r>
        <w:rPr/>
        <w:t>内部研究开发支出会计政策</w:t>
      </w:r>
      <w:r>
        <w:rPr>
          <w:b w:val="0"/>
          <w:bCs w:val="0"/>
        </w:rPr>
      </w:r>
    </w:p>
    <w:p>
      <w:pPr>
        <w:pStyle w:val="BodyText"/>
        <w:spacing w:line="272" w:lineRule="exact" w:before="87"/>
        <w:ind w:left="637" w:right="234" w:hanging="420"/>
        <w:jc w:val="left"/>
      </w:pPr>
      <w:r>
        <w:rPr/>
        <w:t>√适用</w:t>
      </w:r>
      <w:r>
        <w:rPr>
          <w:spacing w:val="-2"/>
        </w:rPr>
        <w:t> </w:t>
      </w:r>
      <w:r>
        <w:rPr/>
        <w:t>□不适用</w:t>
      </w:r>
      <w:r>
        <w:rPr>
          <w:spacing w:val="-103"/>
        </w:rPr>
        <w:t> </w:t>
      </w:r>
      <w:r>
        <w:rPr>
          <w:spacing w:val="-103"/>
        </w:rPr>
      </w:r>
      <w:r>
        <w:rPr>
          <w:spacing w:val="-2"/>
        </w:rPr>
        <w:t>本集团的研发支出主要包括研发人员的职工薪酬及福利、与研发相关的本集团开发、完善、</w:t>
      </w:r>
    </w:p>
    <w:p>
      <w:pPr>
        <w:pStyle w:val="BodyText"/>
        <w:spacing w:line="355" w:lineRule="auto" w:before="110"/>
        <w:ind w:left="637" w:right="249" w:hanging="420"/>
        <w:jc w:val="left"/>
      </w:pPr>
      <w:r>
        <w:rPr/>
        <w:t>维持及管理平台和技术基础设施所产生的其他开支。</w:t>
      </w:r>
      <w:r>
        <w:rPr>
          <w:w w:val="100"/>
        </w:rPr>
        <w:t> </w:t>
      </w:r>
      <w:r>
        <w:rPr/>
        <w:t>研究阶段的支出，于发生时计入当期损益。</w:t>
      </w:r>
      <w:r>
        <w:rPr>
          <w:w w:val="100"/>
        </w:rPr>
        <w:t> </w:t>
      </w:r>
      <w:r>
        <w:rPr>
          <w:spacing w:val="-2"/>
        </w:rPr>
        <w:t>开发阶段的支出同时满足下列条件的，确认为无形资产，不能满足下述条件的开发阶段的支</w:t>
      </w:r>
    </w:p>
    <w:p>
      <w:pPr>
        <w:pStyle w:val="BodyText"/>
        <w:spacing w:line="240" w:lineRule="auto" w:before="32"/>
        <w:ind w:left="217" w:right="234"/>
        <w:jc w:val="left"/>
      </w:pPr>
      <w:r>
        <w:rPr/>
        <w:t>出计入当期损益：</w:t>
      </w:r>
    </w:p>
    <w:p>
      <w:pPr>
        <w:pStyle w:val="BodyText"/>
        <w:spacing w:line="240" w:lineRule="auto" w:before="135"/>
        <w:ind w:left="637" w:right="234"/>
        <w:jc w:val="left"/>
      </w:pPr>
      <w:r>
        <w:rPr>
          <w:rFonts w:ascii="宋体" w:hAnsi="宋体" w:cs="宋体" w:eastAsia="宋体" w:hint="default"/>
        </w:rPr>
        <w:t>(1)</w:t>
      </w:r>
      <w:r>
        <w:rPr>
          <w:rFonts w:ascii="宋体" w:hAnsi="宋体" w:cs="宋体" w:eastAsia="宋体" w:hint="default"/>
          <w:spacing w:val="-1"/>
        </w:rPr>
        <w:t> </w:t>
      </w:r>
      <w:r>
        <w:rPr/>
        <w:t>完成该无形资产以使其能够使用或出售在技术上具有可行性；</w:t>
      </w:r>
    </w:p>
    <w:p>
      <w:pPr>
        <w:pStyle w:val="BodyText"/>
        <w:spacing w:line="240" w:lineRule="auto" w:before="133"/>
        <w:ind w:left="637" w:right="234"/>
        <w:jc w:val="left"/>
      </w:pPr>
      <w:r>
        <w:rPr>
          <w:rFonts w:ascii="宋体" w:hAnsi="宋体" w:cs="宋体" w:eastAsia="宋体" w:hint="default"/>
        </w:rPr>
        <w:t>(2)</w:t>
      </w:r>
      <w:r>
        <w:rPr>
          <w:rFonts w:ascii="宋体" w:hAnsi="宋体" w:cs="宋体" w:eastAsia="宋体" w:hint="default"/>
          <w:spacing w:val="-2"/>
        </w:rPr>
        <w:t> </w:t>
      </w:r>
      <w:r>
        <w:rPr/>
        <w:t>具有完成该无形资产并使用或出售的意图；</w:t>
      </w:r>
    </w:p>
    <w:p>
      <w:pPr>
        <w:pStyle w:val="BodyText"/>
        <w:spacing w:line="355" w:lineRule="auto" w:before="133"/>
        <w:ind w:left="217" w:right="238" w:firstLine="420"/>
        <w:jc w:val="both"/>
      </w:pPr>
      <w:r>
        <w:rPr>
          <w:rFonts w:ascii="宋体" w:hAnsi="宋体" w:cs="宋体" w:eastAsia="宋体" w:hint="default"/>
        </w:rPr>
        <w:t>(3)</w:t>
      </w:r>
      <w:r>
        <w:rPr>
          <w:rFonts w:ascii="宋体" w:hAnsi="宋体" w:cs="宋体" w:eastAsia="宋体" w:hint="default"/>
          <w:spacing w:val="-3"/>
        </w:rPr>
        <w:t> </w:t>
      </w:r>
      <w:r>
        <w:rPr/>
        <w:t>无形资产产生经济利益的方式，包括能够证明运用该无形资产生产的产品存在市场或无</w:t>
      </w:r>
      <w:r>
        <w:rPr>
          <w:w w:val="100"/>
        </w:rPr>
        <w:t> </w:t>
      </w:r>
      <w:r>
        <w:rPr/>
        <w:t>形资产自身存在市场，无形资产将在内部使用的，能够证明其有用性；</w:t>
      </w:r>
    </w:p>
    <w:p>
      <w:pPr>
        <w:pStyle w:val="BodyText"/>
        <w:spacing w:line="357" w:lineRule="auto" w:before="32"/>
        <w:ind w:left="217" w:right="238" w:firstLine="420"/>
        <w:jc w:val="both"/>
      </w:pPr>
      <w:r>
        <w:rPr>
          <w:rFonts w:ascii="宋体" w:hAnsi="宋体" w:cs="宋体" w:eastAsia="宋体" w:hint="default"/>
        </w:rPr>
        <w:t>(4)</w:t>
      </w:r>
      <w:r>
        <w:rPr>
          <w:rFonts w:ascii="宋体" w:hAnsi="宋体" w:cs="宋体" w:eastAsia="宋体" w:hint="default"/>
          <w:spacing w:val="-3"/>
        </w:rPr>
        <w:t> </w:t>
      </w:r>
      <w:r>
        <w:rPr/>
        <w:t>有足够的技术、财务资源和其他资源支持，以完成该无形资产的开发，并有能力使用或</w:t>
      </w:r>
      <w:r>
        <w:rPr>
          <w:w w:val="100"/>
        </w:rPr>
        <w:t> </w:t>
      </w:r>
      <w:r>
        <w:rPr/>
        <w:t>出售该无形资产；</w:t>
      </w:r>
    </w:p>
    <w:p>
      <w:pPr>
        <w:pStyle w:val="BodyText"/>
        <w:spacing w:line="355" w:lineRule="auto" w:before="30"/>
        <w:ind w:left="637" w:right="234"/>
        <w:jc w:val="left"/>
      </w:pPr>
      <w:r>
        <w:rPr>
          <w:rFonts w:ascii="宋体" w:hAnsi="宋体" w:cs="宋体" w:eastAsia="宋体" w:hint="default"/>
        </w:rPr>
        <w:t>(5)</w:t>
      </w:r>
      <w:r>
        <w:rPr>
          <w:rFonts w:ascii="宋体" w:hAnsi="宋体" w:cs="宋体" w:eastAsia="宋体" w:hint="default"/>
          <w:spacing w:val="-2"/>
        </w:rPr>
        <w:t> </w:t>
      </w:r>
      <w:r>
        <w:rPr/>
        <w:t>归属于该无形资产开发阶段的支出能够可靠地计量。</w:t>
      </w:r>
      <w:r>
        <w:rPr>
          <w:w w:val="100"/>
        </w:rPr>
        <w:t> </w:t>
      </w:r>
      <w:r>
        <w:rPr>
          <w:spacing w:val="-2"/>
        </w:rPr>
        <w:t>无法区分研究阶段支出和开发阶段支出的，将发生的研发支出全部计入当期损益。</w:t>
      </w:r>
    </w:p>
    <w:p>
      <w:pPr>
        <w:spacing w:line="240" w:lineRule="auto" w:before="0"/>
        <w:rPr>
          <w:rFonts w:ascii="宋体" w:hAnsi="宋体" w:cs="宋体" w:eastAsia="宋体" w:hint="default"/>
          <w:sz w:val="20"/>
          <w:szCs w:val="20"/>
        </w:rPr>
      </w:pPr>
    </w:p>
    <w:p>
      <w:pPr>
        <w:pStyle w:val="Heading5"/>
        <w:spacing w:line="240" w:lineRule="auto" w:before="142"/>
        <w:ind w:left="217" w:right="234"/>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tabs>
          <w:tab w:pos="1059" w:val="left" w:leader="none"/>
        </w:tabs>
        <w:spacing w:line="240" w:lineRule="auto" w:before="57"/>
        <w:ind w:left="637" w:right="249" w:hanging="420"/>
        <w:jc w:val="left"/>
      </w:pPr>
      <w:r>
        <w:rPr/>
        <w:t>√适用</w:t>
        <w:tab/>
        <w:t>□不适用</w:t>
      </w:r>
      <w:r>
        <w:rPr>
          <w:w w:val="100"/>
        </w:rPr>
        <w:t> </w:t>
      </w:r>
      <w:r>
        <w:rPr>
          <w:spacing w:val="-2"/>
        </w:rPr>
        <w:t>本集团在每一个资产负债表日检查长期股权投资、固定资产、在建工程、使用寿命确定的无</w:t>
      </w:r>
    </w:p>
    <w:p>
      <w:pPr>
        <w:pStyle w:val="BodyText"/>
        <w:spacing w:line="355" w:lineRule="auto" w:before="133"/>
        <w:ind w:left="217" w:right="234"/>
        <w:jc w:val="left"/>
      </w:pPr>
      <w:r>
        <w:rPr>
          <w:spacing w:val="-2"/>
        </w:rPr>
        <w:t>形资产是否存在可能发生减值的迹象。如果该等资产存在减值迹象，则估计其可收回金额。使用</w:t>
      </w:r>
      <w:r>
        <w:rPr>
          <w:spacing w:val="-25"/>
        </w:rPr>
        <w:t> </w:t>
      </w:r>
      <w:r>
        <w:rPr>
          <w:spacing w:val="-25"/>
        </w:rPr>
      </w:r>
      <w:r>
        <w:rPr/>
        <w:t>寿命不确定的无形资产，无论是否存在减值迹象，每年均进行减值测试。</w:t>
      </w:r>
    </w:p>
    <w:p>
      <w:pPr>
        <w:pStyle w:val="BodyText"/>
        <w:spacing w:line="355" w:lineRule="auto" w:before="34"/>
        <w:ind w:left="217" w:right="238" w:firstLine="420"/>
        <w:jc w:val="both"/>
      </w:pPr>
      <w:r>
        <w:rPr>
          <w:spacing w:val="-2"/>
        </w:rPr>
        <w:t>估计资产的可收回金额以单项资产为基础，如果难以对单项资产的可收回金额进行估计的，</w:t>
      </w:r>
      <w:r>
        <w:rPr>
          <w:w w:val="100"/>
        </w:rPr>
        <w:t> </w:t>
      </w:r>
      <w:r>
        <w:rPr>
          <w:spacing w:val="-2"/>
        </w:rPr>
        <w:t>则以该资产所属的资产组为基础确定资产组的可收回金额。可收回金额为资产或者资产组的公允</w:t>
      </w:r>
      <w:r>
        <w:rPr>
          <w:spacing w:val="-25"/>
        </w:rPr>
        <w:t> </w:t>
      </w:r>
      <w:r>
        <w:rPr>
          <w:spacing w:val="-25"/>
        </w:rPr>
      </w:r>
      <w:r>
        <w:rPr/>
        <w:t>价值减去处置费用后的净额与其预计未来现金流量的现值两者之中的较高者。</w:t>
      </w:r>
    </w:p>
    <w:p>
      <w:pPr>
        <w:pStyle w:val="BodyText"/>
        <w:spacing w:line="355" w:lineRule="auto" w:before="32"/>
        <w:ind w:left="217" w:right="238" w:firstLine="420"/>
        <w:jc w:val="both"/>
      </w:pPr>
      <w:r>
        <w:rPr>
          <w:spacing w:val="-2"/>
        </w:rPr>
        <w:t>如果资产或资产组的可收回金额低于其账面价值，按其差额计提资产减值准备，并计入当期</w:t>
      </w:r>
      <w:r>
        <w:rPr>
          <w:w w:val="100"/>
        </w:rPr>
        <w:t> </w:t>
      </w:r>
      <w:r>
        <w:rPr/>
        <w:t>损益。</w:t>
      </w:r>
    </w:p>
    <w:p>
      <w:pPr>
        <w:spacing w:after="0" w:line="355" w:lineRule="auto"/>
        <w:jc w:val="both"/>
        <w:sectPr>
          <w:pgSz w:w="11910" w:h="16840"/>
          <w:pgMar w:header="857" w:footer="1217" w:top="1320" w:bottom="1400" w:left="1060" w:right="1560"/>
        </w:sectPr>
      </w:pPr>
    </w:p>
    <w:p>
      <w:pPr>
        <w:pStyle w:val="BodyText"/>
        <w:spacing w:line="357" w:lineRule="auto" w:before="72"/>
        <w:ind w:left="137" w:right="218" w:firstLine="420"/>
        <w:jc w:val="both"/>
      </w:pPr>
      <w:r>
        <w:rPr>
          <w:spacing w:val="-2"/>
        </w:rPr>
        <w:t>商誉至少在每年年度终了进行减值测试。对商誉进行减值测试时，结合与其相关的资产组或</w:t>
      </w:r>
      <w:r>
        <w:rPr>
          <w:w w:val="100"/>
        </w:rPr>
        <w:t> </w:t>
      </w:r>
      <w:r>
        <w:rPr>
          <w:spacing w:val="-2"/>
        </w:rPr>
        <w:t>者资产组组合进行。即，自购买日起将商誉的账面价值按照合理的方法分摊到能够从企业合并的</w:t>
      </w:r>
      <w:r>
        <w:rPr>
          <w:spacing w:val="-25"/>
        </w:rPr>
        <w:t> </w:t>
      </w:r>
      <w:r>
        <w:rPr>
          <w:spacing w:val="-25"/>
        </w:rPr>
      </w:r>
      <w:r>
        <w:rPr>
          <w:spacing w:val="-2"/>
        </w:rPr>
        <w:t>协同效应中受益的资产组或资产组组合，如包含分摊的商誉的资产组或资产组组合的可收回金额</w:t>
      </w:r>
      <w:r>
        <w:rPr>
          <w:spacing w:val="-25"/>
        </w:rPr>
        <w:t> </w:t>
      </w:r>
      <w:r>
        <w:rPr>
          <w:spacing w:val="-25"/>
        </w:rPr>
      </w:r>
      <w:r>
        <w:rPr>
          <w:spacing w:val="-2"/>
        </w:rPr>
        <w:t>低于其账面价值的，确认相应的减值损失。减值损失金额首先抵减分摊到该资产组或资产组组合</w:t>
      </w:r>
      <w:r>
        <w:rPr>
          <w:spacing w:val="-25"/>
        </w:rPr>
        <w:t> </w:t>
      </w:r>
      <w:r>
        <w:rPr>
          <w:spacing w:val="-25"/>
        </w:rPr>
      </w:r>
      <w:r>
        <w:rPr>
          <w:spacing w:val="-2"/>
        </w:rPr>
        <w:t>的商誉的账面价值，再根据资产组或资产组组合中除商誉以外的其他各项资产的账面价值所占比</w:t>
      </w:r>
      <w:r>
        <w:rPr>
          <w:spacing w:val="-25"/>
        </w:rPr>
        <w:t> </w:t>
      </w:r>
      <w:r>
        <w:rPr>
          <w:spacing w:val="-25"/>
        </w:rPr>
      </w:r>
      <w:r>
        <w:rPr/>
        <w:t>重，按比例抵减其他各项资产的账面价值。</w:t>
      </w:r>
    </w:p>
    <w:p>
      <w:pPr>
        <w:pStyle w:val="BodyText"/>
        <w:spacing w:line="240" w:lineRule="auto" w:before="30"/>
        <w:ind w:left="557" w:right="0"/>
        <w:jc w:val="left"/>
      </w:pPr>
      <w:r>
        <w:rPr/>
        <w:t>上述资产减值损失一经确认，在以后会计期间不予转回。</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5"/>
        <w:spacing w:line="240" w:lineRule="auto"/>
        <w:ind w:left="137" w:right="0"/>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tabs>
          <w:tab w:pos="979" w:val="left" w:leader="none"/>
        </w:tabs>
        <w:spacing w:line="272" w:lineRule="exact" w:before="87"/>
        <w:ind w:left="557" w:right="220" w:hanging="420"/>
        <w:jc w:val="left"/>
      </w:pPr>
      <w:r>
        <w:rPr/>
        <w:t>√适用</w:t>
        <w:tab/>
        <w:t>□不适用</w:t>
      </w:r>
      <w:r>
        <w:rPr>
          <w:w w:val="100"/>
        </w:rPr>
        <w:t> </w:t>
      </w:r>
      <w:r>
        <w:rPr>
          <w:spacing w:val="-2"/>
        </w:rPr>
        <w:t>长期待摊费用为已经发生但应由本期和以后各期负担的分摊期限在一年以上的各项费用。长</w:t>
      </w:r>
    </w:p>
    <w:p>
      <w:pPr>
        <w:pStyle w:val="BodyText"/>
        <w:spacing w:line="240" w:lineRule="auto" w:before="108"/>
        <w:ind w:left="137" w:right="0"/>
        <w:jc w:val="left"/>
      </w:pPr>
      <w:r>
        <w:rPr/>
        <w:t>期待摊费用在预计受益期间分期平均摊销。</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5"/>
        <w:spacing w:line="290" w:lineRule="auto"/>
        <w:ind w:left="137" w:right="6287"/>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tabs>
          <w:tab w:pos="979" w:val="left" w:leader="none"/>
        </w:tabs>
        <w:spacing w:line="240" w:lineRule="auto" w:before="12"/>
        <w:ind w:left="557" w:right="220" w:hanging="420"/>
        <w:jc w:val="left"/>
      </w:pPr>
      <w:r>
        <w:rPr/>
        <w:t>√适用</w:t>
        <w:tab/>
        <w:t>□不适用</w:t>
      </w:r>
      <w:r>
        <w:rPr>
          <w:w w:val="100"/>
        </w:rPr>
        <w:t> </w:t>
      </w:r>
      <w:r>
        <w:rPr>
          <w:spacing w:val="-2"/>
        </w:rPr>
        <w:t>本集团在职工为其提供服务的会计期间，将实际发生的短期薪酬确认为负债，并计入当期损</w:t>
      </w:r>
    </w:p>
    <w:p>
      <w:pPr>
        <w:pStyle w:val="BodyText"/>
        <w:spacing w:line="357" w:lineRule="auto" w:before="133"/>
        <w:ind w:left="137" w:right="0"/>
        <w:jc w:val="left"/>
      </w:pPr>
      <w:r>
        <w:rPr>
          <w:spacing w:val="-2"/>
        </w:rPr>
        <w:t>益或相关资产成本。本集团发生的职工福利费，在实际发生时根据实际发生额计入当期损益或相</w:t>
      </w:r>
      <w:r>
        <w:rPr>
          <w:spacing w:val="-25"/>
        </w:rPr>
        <w:t> </w:t>
      </w:r>
      <w:r>
        <w:rPr>
          <w:spacing w:val="-25"/>
        </w:rPr>
      </w:r>
      <w:r>
        <w:rPr/>
        <w:t>关资产成本。</w:t>
      </w:r>
    </w:p>
    <w:p>
      <w:pPr>
        <w:pStyle w:val="BodyText"/>
        <w:spacing w:line="357" w:lineRule="auto" w:before="30"/>
        <w:ind w:left="137" w:right="218" w:firstLine="420"/>
        <w:jc w:val="both"/>
      </w:pPr>
      <w:r>
        <w:rPr>
          <w:spacing w:val="-2"/>
        </w:rPr>
        <w:t>本集团为职工缴纳的医疗保险费、工伤保险费、生育保险费等社会保险费和住房公积金，以</w:t>
      </w:r>
      <w:r>
        <w:rPr>
          <w:w w:val="100"/>
        </w:rPr>
        <w:t> </w:t>
      </w:r>
      <w:r>
        <w:rPr>
          <w:spacing w:val="-2"/>
        </w:rPr>
        <w:t>及本集团按规定提取的工会经费和职工教育经费，在职工为本集团提供服务的会计期间，根据规</w:t>
      </w:r>
      <w:r>
        <w:rPr>
          <w:spacing w:val="-25"/>
        </w:rPr>
        <w:t> </w:t>
      </w:r>
      <w:r>
        <w:rPr>
          <w:spacing w:val="-25"/>
        </w:rPr>
      </w:r>
      <w:r>
        <w:rPr>
          <w:spacing w:val="-2"/>
        </w:rPr>
        <w:t>定的计提基础和计提比例计算确定相应的职工薪酬金额，确认相应负债，并计入当期损益或相关</w:t>
      </w:r>
      <w:r>
        <w:rPr>
          <w:spacing w:val="-25"/>
        </w:rPr>
        <w:t> </w:t>
      </w:r>
      <w:r>
        <w:rPr>
          <w:spacing w:val="-25"/>
        </w:rPr>
      </w:r>
      <w:r>
        <w:rPr/>
        <w:t>资产成本。</w:t>
      </w:r>
    </w:p>
    <w:p>
      <w:pPr>
        <w:spacing w:line="240" w:lineRule="auto" w:before="0"/>
        <w:rPr>
          <w:rFonts w:ascii="宋体" w:hAnsi="宋体" w:cs="宋体" w:eastAsia="宋体" w:hint="default"/>
          <w:sz w:val="20"/>
          <w:szCs w:val="20"/>
        </w:rPr>
      </w:pPr>
    </w:p>
    <w:p>
      <w:pPr>
        <w:pStyle w:val="Heading5"/>
        <w:spacing w:line="240" w:lineRule="auto" w:before="140"/>
        <w:ind w:left="137" w:right="0"/>
        <w:jc w:val="left"/>
        <w:rPr>
          <w:b w:val="0"/>
          <w:bCs w:val="0"/>
        </w:rPr>
      </w:pPr>
      <w:r>
        <w:rPr>
          <w:rFonts w:ascii="宋体" w:hAnsi="宋体" w:cs="宋体" w:eastAsia="宋体" w:hint="default"/>
        </w:rPr>
        <w:t>(2).</w:t>
      </w:r>
      <w:r>
        <w:rPr/>
        <w:t>离职后福利的会计处理方法</w:t>
      </w:r>
      <w:r>
        <w:rPr>
          <w:b w:val="0"/>
          <w:bCs w:val="0"/>
        </w:rPr>
      </w:r>
    </w:p>
    <w:p>
      <w:pPr>
        <w:pStyle w:val="BodyText"/>
        <w:tabs>
          <w:tab w:pos="979" w:val="left" w:leader="none"/>
        </w:tabs>
        <w:spacing w:line="240" w:lineRule="auto" w:before="56"/>
        <w:ind w:left="557" w:right="4841" w:hanging="420"/>
        <w:jc w:val="left"/>
      </w:pPr>
      <w:r>
        <w:rPr/>
        <w:t>√适用</w:t>
        <w:tab/>
        <w:t>□不适用</w:t>
      </w:r>
      <w:r>
        <w:rPr>
          <w:w w:val="100"/>
        </w:rPr>
        <w:t> </w:t>
      </w:r>
      <w:r>
        <w:rPr>
          <w:spacing w:val="-2"/>
        </w:rPr>
        <w:t>本集团离职后福利全部为设定提存计划。</w:t>
      </w:r>
    </w:p>
    <w:p>
      <w:pPr>
        <w:pStyle w:val="BodyText"/>
        <w:spacing w:line="355" w:lineRule="auto" w:before="133"/>
        <w:ind w:left="137" w:right="0" w:firstLine="420"/>
        <w:jc w:val="left"/>
      </w:pPr>
      <w:r>
        <w:rPr>
          <w:spacing w:val="-4"/>
          <w:w w:val="100"/>
        </w:rPr>
        <w:t>本集团在职工为其提供服务的会计期间，将根据设定提存计划计算的应缴存金额确认为负债，</w:t>
      </w:r>
      <w:r>
        <w:rPr>
          <w:w w:val="100"/>
        </w:rPr>
        <w:t> </w:t>
      </w:r>
      <w:r>
        <w:rPr/>
        <w:t>并计入当期损益。</w:t>
      </w:r>
    </w:p>
    <w:p>
      <w:pPr>
        <w:spacing w:line="240" w:lineRule="auto" w:before="0"/>
        <w:rPr>
          <w:rFonts w:ascii="宋体" w:hAnsi="宋体" w:cs="宋体" w:eastAsia="宋体" w:hint="default"/>
          <w:sz w:val="20"/>
          <w:szCs w:val="20"/>
        </w:rPr>
      </w:pPr>
    </w:p>
    <w:p>
      <w:pPr>
        <w:pStyle w:val="Heading5"/>
        <w:spacing w:line="240" w:lineRule="auto" w:before="142"/>
        <w:ind w:left="137" w:right="0"/>
        <w:jc w:val="left"/>
        <w:rPr>
          <w:b w:val="0"/>
          <w:bCs w:val="0"/>
        </w:rPr>
      </w:pPr>
      <w:r>
        <w:rPr>
          <w:rFonts w:ascii="宋体" w:hAnsi="宋体" w:cs="宋体" w:eastAsia="宋体" w:hint="default"/>
        </w:rPr>
        <w:t>(3).</w:t>
      </w:r>
      <w:r>
        <w:rPr/>
        <w:t>辞退福利的会计处理方法</w:t>
      </w:r>
      <w:r>
        <w:rPr>
          <w:b w:val="0"/>
          <w:bCs w:val="0"/>
        </w:rPr>
      </w:r>
    </w:p>
    <w:p>
      <w:pPr>
        <w:pStyle w:val="BodyText"/>
        <w:tabs>
          <w:tab w:pos="979" w:val="left" w:leader="none"/>
        </w:tabs>
        <w:spacing w:line="240" w:lineRule="auto" w:before="58"/>
        <w:ind w:left="137" w:right="0"/>
        <w:jc w:val="left"/>
      </w:pPr>
      <w:r>
        <w:rPr/>
        <w:t>□适用</w:t>
        <w:tab/>
        <w:t>√不适用</w:t>
      </w:r>
    </w:p>
    <w:p>
      <w:pPr>
        <w:spacing w:line="240" w:lineRule="auto" w:before="2"/>
        <w:rPr>
          <w:rFonts w:ascii="宋体" w:hAnsi="宋体" w:cs="宋体" w:eastAsia="宋体" w:hint="default"/>
          <w:sz w:val="28"/>
          <w:szCs w:val="28"/>
        </w:rPr>
      </w:pPr>
    </w:p>
    <w:p>
      <w:pPr>
        <w:pStyle w:val="Heading5"/>
        <w:spacing w:line="240" w:lineRule="auto"/>
        <w:ind w:left="137" w:right="0"/>
        <w:jc w:val="left"/>
        <w:rPr>
          <w:b w:val="0"/>
          <w:bCs w:val="0"/>
        </w:rPr>
      </w:pPr>
      <w:r>
        <w:rPr>
          <w:rFonts w:ascii="宋体" w:hAnsi="宋体" w:cs="宋体" w:eastAsia="宋体" w:hint="default"/>
        </w:rPr>
        <w:t>(4).</w:t>
      </w:r>
      <w:r>
        <w:rPr/>
        <w:t>其他长期职工福利的会计处理方法</w:t>
      </w:r>
      <w:r>
        <w:rPr>
          <w:b w:val="0"/>
          <w:bCs w:val="0"/>
        </w:rPr>
      </w:r>
    </w:p>
    <w:p>
      <w:pPr>
        <w:pStyle w:val="BodyText"/>
        <w:tabs>
          <w:tab w:pos="979" w:val="left" w:leader="none"/>
        </w:tabs>
        <w:spacing w:line="240" w:lineRule="auto" w:before="56"/>
        <w:ind w:left="137" w:right="0"/>
        <w:jc w:val="left"/>
      </w:pPr>
      <w:r>
        <w:rPr/>
        <w:t>□适用</w:t>
        <w:tab/>
        <w:t>√不适用</w:t>
      </w:r>
    </w:p>
    <w:p>
      <w:pPr>
        <w:spacing w:after="0" w:line="240" w:lineRule="auto"/>
        <w:jc w:val="left"/>
        <w:sectPr>
          <w:pgSz w:w="11910" w:h="16840"/>
          <w:pgMar w:header="857" w:footer="1217" w:top="1320" w:bottom="1400" w:left="1140" w:right="1580"/>
        </w:sectPr>
      </w:pPr>
    </w:p>
    <w:p>
      <w:pPr>
        <w:pStyle w:val="Heading5"/>
        <w:spacing w:line="240" w:lineRule="auto" w:before="72"/>
        <w:ind w:left="137" w:right="0"/>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tabs>
          <w:tab w:pos="979" w:val="left" w:leader="none"/>
        </w:tabs>
        <w:spacing w:line="240" w:lineRule="auto" w:before="56"/>
        <w:ind w:left="557" w:right="118" w:hanging="420"/>
        <w:jc w:val="left"/>
      </w:pPr>
      <w:r>
        <w:rPr/>
        <w:t>√适用</w:t>
        <w:tab/>
        <w:t>□不适用</w:t>
      </w:r>
      <w:r>
        <w:rPr>
          <w:w w:val="100"/>
        </w:rPr>
        <w:t> </w:t>
      </w:r>
      <w:r>
        <w:rPr>
          <w:spacing w:val="-2"/>
        </w:rPr>
        <w:t>当或有事项相关的义务是本集团承担的现时义务，且履行该义务很可能导致经济利益流出，</w:t>
      </w:r>
    </w:p>
    <w:p>
      <w:pPr>
        <w:pStyle w:val="BodyText"/>
        <w:spacing w:line="355" w:lineRule="auto" w:before="133"/>
        <w:ind w:left="557" w:right="0" w:hanging="420"/>
        <w:jc w:val="left"/>
      </w:pPr>
      <w:r>
        <w:rPr/>
        <w:t>以及该义务的金额能够可靠地计量，则确认为预计负债。</w:t>
      </w:r>
      <w:r>
        <w:rPr>
          <w:w w:val="100"/>
        </w:rPr>
        <w:t> </w:t>
      </w:r>
      <w:r>
        <w:rPr>
          <w:spacing w:val="-2"/>
        </w:rPr>
        <w:t>在资产负债表日，考虑与或有事项有关的风险、不确定性和货币时间价值等因素，按照履行</w:t>
      </w:r>
    </w:p>
    <w:p>
      <w:pPr>
        <w:pStyle w:val="BodyText"/>
        <w:spacing w:line="355" w:lineRule="auto" w:before="34"/>
        <w:ind w:left="137" w:right="0"/>
        <w:jc w:val="left"/>
      </w:pPr>
      <w:r>
        <w:rPr>
          <w:spacing w:val="-2"/>
        </w:rPr>
        <w:t>相关现时义务所需支出的最佳估计数对预计负债进行计量。如果货币时间价值影响重大，则以预</w:t>
      </w:r>
      <w:r>
        <w:rPr>
          <w:spacing w:val="-25"/>
        </w:rPr>
        <w:t> </w:t>
      </w:r>
      <w:r>
        <w:rPr>
          <w:spacing w:val="-25"/>
        </w:rPr>
      </w:r>
      <w:r>
        <w:rPr/>
        <w:t>计未来现金流出折现后的金额确定最佳估计数。</w:t>
      </w:r>
    </w:p>
    <w:p>
      <w:pPr>
        <w:spacing w:line="240" w:lineRule="auto" w:before="0"/>
        <w:rPr>
          <w:rFonts w:ascii="宋体" w:hAnsi="宋体" w:cs="宋体" w:eastAsia="宋体" w:hint="default"/>
          <w:sz w:val="20"/>
          <w:szCs w:val="20"/>
        </w:rPr>
      </w:pPr>
    </w:p>
    <w:p>
      <w:pPr>
        <w:pStyle w:val="Heading5"/>
        <w:spacing w:line="240" w:lineRule="auto" w:before="142"/>
        <w:ind w:left="137" w:right="0"/>
        <w:jc w:val="left"/>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tabs>
          <w:tab w:pos="979" w:val="left" w:leader="none"/>
        </w:tabs>
        <w:spacing w:line="240" w:lineRule="auto" w:before="57"/>
        <w:ind w:left="137" w:right="0"/>
        <w:jc w:val="left"/>
      </w:pPr>
      <w:r>
        <w:rPr/>
        <w:t>□适用</w:t>
        <w:tab/>
        <w:t>√不适用</w:t>
      </w:r>
    </w:p>
    <w:p>
      <w:pPr>
        <w:spacing w:line="240" w:lineRule="auto" w:before="2"/>
        <w:rPr>
          <w:rFonts w:ascii="宋体" w:hAnsi="宋体" w:cs="宋体" w:eastAsia="宋体" w:hint="default"/>
          <w:sz w:val="28"/>
          <w:szCs w:val="28"/>
        </w:rPr>
      </w:pPr>
    </w:p>
    <w:p>
      <w:pPr>
        <w:pStyle w:val="Heading5"/>
        <w:spacing w:line="240" w:lineRule="auto"/>
        <w:ind w:left="137" w:right="0"/>
        <w:jc w:val="left"/>
        <w:rPr>
          <w:b w:val="0"/>
          <w:bCs w:val="0"/>
        </w:rPr>
      </w:pPr>
      <w:r>
        <w:rPr>
          <w:rFonts w:ascii="宋体" w:hAnsi="宋体" w:cs="宋体" w:eastAsia="宋体" w:hint="default"/>
        </w:rPr>
        <w:t>27. </w:t>
      </w:r>
      <w:r>
        <w:rPr/>
        <w:t>优先股、永续债等其他金融工具</w:t>
      </w:r>
      <w:r>
        <w:rPr>
          <w:b w:val="0"/>
          <w:bCs w:val="0"/>
        </w:rPr>
      </w:r>
    </w:p>
    <w:p>
      <w:pPr>
        <w:pStyle w:val="BodyText"/>
        <w:tabs>
          <w:tab w:pos="979" w:val="left" w:leader="none"/>
        </w:tabs>
        <w:spacing w:line="240" w:lineRule="auto" w:before="58"/>
        <w:ind w:left="137" w:right="0"/>
        <w:jc w:val="left"/>
      </w:pPr>
      <w:r>
        <w:rPr/>
        <w:t>□适用</w:t>
        <w:tab/>
        <w:t>√不适用</w:t>
      </w:r>
    </w:p>
    <w:p>
      <w:pPr>
        <w:spacing w:line="240" w:lineRule="auto" w:before="2"/>
        <w:rPr>
          <w:rFonts w:ascii="宋体" w:hAnsi="宋体" w:cs="宋体" w:eastAsia="宋体" w:hint="default"/>
          <w:sz w:val="28"/>
          <w:szCs w:val="28"/>
        </w:rPr>
      </w:pPr>
    </w:p>
    <w:p>
      <w:pPr>
        <w:pStyle w:val="Heading5"/>
        <w:spacing w:line="240" w:lineRule="auto"/>
        <w:ind w:left="137" w:right="0"/>
        <w:jc w:val="left"/>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tabs>
          <w:tab w:pos="979" w:val="left" w:leader="none"/>
        </w:tabs>
        <w:spacing w:line="240" w:lineRule="auto" w:before="56"/>
        <w:ind w:left="557" w:right="6791" w:hanging="420"/>
        <w:jc w:val="left"/>
      </w:pPr>
      <w:r>
        <w:rPr/>
        <w:t>√适用</w:t>
        <w:tab/>
        <w:t>□不适用</w:t>
      </w:r>
      <w:r>
        <w:rPr>
          <w:w w:val="100"/>
        </w:rPr>
        <w:t> </w:t>
      </w:r>
      <w:r>
        <w:rPr>
          <w:rFonts w:ascii="宋体" w:hAnsi="宋体" w:cs="宋体" w:eastAsia="宋体" w:hint="default"/>
          <w:w w:val="100"/>
        </w:rPr>
      </w:r>
      <w:r>
        <w:rPr>
          <w:rFonts w:ascii="宋体" w:hAnsi="宋体" w:cs="宋体" w:eastAsia="宋体" w:hint="default"/>
          <w:u w:val="single" w:color="000000"/>
        </w:rPr>
        <w:t>28.1</w:t>
      </w:r>
      <w:r>
        <w:rPr>
          <w:rFonts w:ascii="宋体" w:hAnsi="宋体" w:cs="宋体" w:eastAsia="宋体" w:hint="default"/>
          <w:spacing w:val="-52"/>
          <w:u w:val="single" w:color="000000"/>
        </w:rPr>
        <w:t> </w:t>
      </w:r>
      <w:r>
        <w:rPr>
          <w:u w:val="single" w:color="000000"/>
        </w:rPr>
        <w:t>商品销售收入</w:t>
      </w:r>
      <w:r>
        <w:rPr/>
      </w:r>
    </w:p>
    <w:p>
      <w:pPr>
        <w:pStyle w:val="BodyText"/>
        <w:spacing w:line="357" w:lineRule="auto" w:before="133"/>
        <w:ind w:left="137" w:right="118" w:firstLine="420"/>
        <w:jc w:val="both"/>
      </w:pPr>
      <w:r>
        <w:rPr>
          <w:spacing w:val="-2"/>
        </w:rPr>
        <w:t>在已将商品所有权上的主要风险和报酬转移给买方，既没有保留通常与所有权相联系的继续</w:t>
      </w:r>
      <w:r>
        <w:rPr>
          <w:w w:val="100"/>
        </w:rPr>
        <w:t> </w:t>
      </w:r>
      <w:r>
        <w:rPr>
          <w:spacing w:val="-2"/>
        </w:rPr>
        <w:t>管理权，也没有对已售商品实施有效控制，收入的金额能够可靠地计量，相关的经济利益很可能</w:t>
      </w:r>
      <w:r>
        <w:rPr>
          <w:spacing w:val="-25"/>
        </w:rPr>
        <w:t> </w:t>
      </w:r>
      <w:r>
        <w:rPr>
          <w:spacing w:val="-25"/>
        </w:rPr>
      </w:r>
      <w:r>
        <w:rPr/>
        <w:t>流入本集团，相关的已发生或将发生的成本能够可靠地计量时，确认商品销售收入的实现。</w:t>
      </w:r>
    </w:p>
    <w:p>
      <w:pPr>
        <w:pStyle w:val="BodyText"/>
        <w:spacing w:line="240" w:lineRule="auto" w:before="30"/>
        <w:ind w:left="557" w:right="0"/>
        <w:jc w:val="left"/>
      </w:pPr>
      <w:r>
        <w:rPr/>
        <w:t>本集团的商品销售收入类型主要包括：</w:t>
      </w:r>
    </w:p>
    <w:p>
      <w:pPr>
        <w:pStyle w:val="BodyText"/>
        <w:spacing w:line="352" w:lineRule="auto" w:before="121"/>
        <w:ind w:left="557" w:right="2009"/>
        <w:jc w:val="left"/>
      </w:pPr>
      <w:r>
        <w:rPr>
          <w:rFonts w:ascii="Times New Roman" w:hAnsi="Times New Roman" w:cs="Times New Roman" w:eastAsia="Times New Roman" w:hint="default"/>
          <w:i/>
          <w:w w:val="95"/>
          <w:sz w:val="22"/>
          <w:szCs w:val="22"/>
        </w:rPr>
      </w:r>
      <w:r>
        <w:rPr>
          <w:rFonts w:ascii="Times New Roman" w:hAnsi="Times New Roman" w:cs="Times New Roman" w:eastAsia="Times New Roman" w:hint="default"/>
          <w:i/>
          <w:spacing w:val="-53"/>
          <w:w w:val="95"/>
          <w:sz w:val="22"/>
          <w:szCs w:val="22"/>
          <w:u w:val="single" w:color="000000"/>
        </w:rPr>
        <w:t> </w:t>
      </w:r>
      <w:r>
        <w:rPr>
          <w:rFonts w:ascii="宋体" w:hAnsi="宋体" w:cs="宋体" w:eastAsia="宋体" w:hint="default"/>
          <w:i/>
          <w:sz w:val="22"/>
          <w:szCs w:val="22"/>
          <w:u w:val="single" w:color="000000"/>
        </w:rPr>
        <w:t>智能硬件</w:t>
      </w:r>
      <w:r>
        <w:rPr>
          <w:rFonts w:ascii="宋体" w:hAnsi="宋体" w:cs="宋体" w:eastAsia="宋体" w:hint="default"/>
          <w:i/>
          <w:w w:val="95"/>
          <w:sz w:val="22"/>
          <w:szCs w:val="22"/>
        </w:rPr>
      </w:r>
      <w:r>
        <w:rPr>
          <w:rFonts w:ascii="宋体" w:hAnsi="宋体" w:cs="宋体" w:eastAsia="宋体" w:hint="default"/>
          <w:i/>
          <w:w w:val="95"/>
          <w:sz w:val="22"/>
          <w:szCs w:val="22"/>
        </w:rPr>
        <w:t> </w:t>
      </w:r>
      <w:r>
        <w:rPr>
          <w:spacing w:val="-2"/>
        </w:rPr>
        <w:t>智能硬件在产品交付后，客户或用户完成验收并签字的时点确认收入。</w:t>
      </w:r>
      <w:r>
        <w:rPr>
          <w:spacing w:val="-45"/>
        </w:rPr>
        <w:t> </w:t>
      </w:r>
      <w:r>
        <w:rPr>
          <w:spacing w:val="-45"/>
        </w:rPr>
      </w:r>
      <w:r>
        <w:rPr>
          <w:rFonts w:ascii="宋体" w:hAnsi="宋体" w:cs="宋体" w:eastAsia="宋体" w:hint="default"/>
          <w:spacing w:val="-45"/>
        </w:rPr>
      </w:r>
      <w:r>
        <w:rPr>
          <w:rFonts w:ascii="宋体" w:hAnsi="宋体" w:cs="宋体" w:eastAsia="宋体" w:hint="default"/>
          <w:u w:val="single" w:color="000000"/>
        </w:rPr>
        <w:t>28.2</w:t>
      </w:r>
      <w:r>
        <w:rPr>
          <w:rFonts w:ascii="宋体" w:hAnsi="宋体" w:cs="宋体" w:eastAsia="宋体" w:hint="default"/>
          <w:spacing w:val="-52"/>
          <w:u w:val="single" w:color="000000"/>
        </w:rPr>
        <w:t> </w:t>
      </w:r>
      <w:r>
        <w:rPr>
          <w:u w:val="single" w:color="000000"/>
        </w:rPr>
        <w:t>提供劳务收入</w:t>
      </w:r>
      <w:r>
        <w:rPr/>
      </w:r>
    </w:p>
    <w:p>
      <w:pPr>
        <w:pStyle w:val="BodyText"/>
        <w:spacing w:line="357" w:lineRule="auto" w:before="37"/>
        <w:ind w:left="137" w:right="108" w:firstLine="420"/>
        <w:jc w:val="both"/>
      </w:pPr>
      <w:r>
        <w:rPr>
          <w:spacing w:val="-2"/>
        </w:rPr>
        <w:t>在提供劳务收入的金额能够可靠地计量，相关的经济利益很可能流入本集团，交易的完工程</w:t>
      </w:r>
      <w:r>
        <w:rPr>
          <w:w w:val="100"/>
        </w:rPr>
        <w:t> </w:t>
      </w:r>
      <w:r>
        <w:rPr>
          <w:spacing w:val="-6"/>
          <w:w w:val="100"/>
        </w:rPr>
        <w:t>度能够可靠地确定，交易中已发生和将发生的成本能够可靠地计量时，确认提供劳务收入的实现。</w:t>
      </w:r>
      <w:r>
        <w:rPr>
          <w:w w:val="100"/>
        </w:rPr>
        <w:t> </w:t>
      </w:r>
      <w:r>
        <w:rPr>
          <w:spacing w:val="-2"/>
        </w:rPr>
        <w:t>本集团于资产负债表日按照完工百分比法确认提供的劳务收入。劳务交易的完工进度按已完工作</w:t>
      </w:r>
      <w:r>
        <w:rPr>
          <w:spacing w:val="-25"/>
        </w:rPr>
        <w:t> </w:t>
      </w:r>
      <w:r>
        <w:rPr>
          <w:spacing w:val="-25"/>
        </w:rPr>
      </w:r>
      <w:r>
        <w:rPr/>
        <w:t>的测量确定。</w:t>
      </w:r>
    </w:p>
    <w:p>
      <w:pPr>
        <w:pStyle w:val="BodyText"/>
        <w:spacing w:line="355" w:lineRule="auto" w:before="32"/>
        <w:ind w:left="137" w:right="118" w:firstLine="420"/>
        <w:jc w:val="both"/>
      </w:pPr>
      <w:r>
        <w:rPr>
          <w:spacing w:val="-2"/>
        </w:rPr>
        <w:t>如果提供劳务交易的结果不能够可靠估计，则按已经发生并预计能够得到补偿的劳务成本金</w:t>
      </w:r>
      <w:r>
        <w:rPr>
          <w:w w:val="100"/>
        </w:rPr>
        <w:t> </w:t>
      </w:r>
      <w:r>
        <w:rPr>
          <w:spacing w:val="-2"/>
        </w:rPr>
        <w:t>额确认提供的劳务收入，并将已发生的劳务成本作为当期费用。已经发生的劳务成本如预计不能</w:t>
      </w:r>
      <w:r>
        <w:rPr>
          <w:spacing w:val="-25"/>
        </w:rPr>
        <w:t> </w:t>
      </w:r>
      <w:r>
        <w:rPr>
          <w:spacing w:val="-25"/>
        </w:rPr>
      </w:r>
      <w:r>
        <w:rPr/>
        <w:t>得到补偿的，则不确认收入。</w:t>
      </w:r>
    </w:p>
    <w:p>
      <w:pPr>
        <w:pStyle w:val="BodyText"/>
        <w:spacing w:line="240" w:lineRule="auto" w:before="32"/>
        <w:ind w:left="557" w:right="0"/>
        <w:jc w:val="left"/>
      </w:pPr>
      <w:r>
        <w:rPr/>
        <w:t>本集团提供劳务收入类型主要包括以下几类：</w:t>
      </w:r>
    </w:p>
    <w:p>
      <w:pPr>
        <w:pStyle w:val="Heading4"/>
        <w:spacing w:line="240" w:lineRule="auto" w:before="121"/>
        <w:ind w:right="0"/>
        <w:jc w:val="left"/>
        <w:rPr>
          <w:i w:val="0"/>
        </w:rPr>
      </w:pPr>
      <w:r>
        <w:rPr>
          <w:rFonts w:ascii="Times New Roman" w:hAnsi="Times New Roman" w:cs="Times New Roman" w:eastAsia="Times New Roman" w:hint="default"/>
          <w:i/>
          <w:w w:val="95"/>
        </w:rPr>
      </w:r>
      <w:r>
        <w:rPr>
          <w:rFonts w:ascii="Times New Roman" w:hAnsi="Times New Roman" w:cs="Times New Roman" w:eastAsia="Times New Roman" w:hint="default"/>
          <w:i/>
          <w:spacing w:val="-53"/>
          <w:w w:val="95"/>
          <w:u w:val="single" w:color="000000"/>
        </w:rPr>
        <w:t> </w:t>
      </w:r>
      <w:r>
        <w:rPr>
          <w:u w:val="single" w:color="000000"/>
        </w:rPr>
        <w:t>互联网广告及服务</w:t>
      </w:r>
      <w:r>
        <w:rPr/>
      </w:r>
      <w:r>
        <w:rPr>
          <w:i w:val="0"/>
        </w:rPr>
      </w:r>
    </w:p>
    <w:p>
      <w:pPr>
        <w:pStyle w:val="BodyText"/>
        <w:spacing w:line="357" w:lineRule="auto" w:before="134"/>
        <w:ind w:left="137" w:right="108" w:firstLine="420"/>
        <w:jc w:val="both"/>
      </w:pPr>
      <w:r>
        <w:rPr>
          <w:spacing w:val="-7"/>
          <w:w w:val="100"/>
        </w:rPr>
        <w:t>本集团通过信息技术提供互联网广告及服务。根据合同中约定的结算方式：固定费用结算的，</w:t>
      </w:r>
      <w:r>
        <w:rPr>
          <w:w w:val="100"/>
        </w:rPr>
        <w:t> </w:t>
      </w:r>
      <w:r>
        <w:rPr>
          <w:spacing w:val="-2"/>
        </w:rPr>
        <w:t>在合同期内按直线法确认收入；需经双方确认具体结算数量的，以结算数量乘以合同中约定的单</w:t>
      </w:r>
      <w:r>
        <w:rPr>
          <w:spacing w:val="-25"/>
        </w:rPr>
        <w:t> </w:t>
      </w:r>
      <w:r>
        <w:rPr>
          <w:spacing w:val="-25"/>
        </w:rPr>
      </w:r>
      <w:r>
        <w:rPr>
          <w:spacing w:val="-2"/>
        </w:rPr>
        <w:t>价确认收入。需经双方确认具体结算数量的结算方式主要包括按用户的特定行为、按带来的销售</w:t>
      </w:r>
    </w:p>
    <w:p>
      <w:pPr>
        <w:spacing w:after="0" w:line="357" w:lineRule="auto"/>
        <w:jc w:val="both"/>
        <w:sectPr>
          <w:pgSz w:w="11910" w:h="16840"/>
          <w:pgMar w:header="857" w:footer="1217" w:top="1320" w:bottom="1400" w:left="1140" w:right="1680"/>
        </w:sectPr>
      </w:pPr>
    </w:p>
    <w:p>
      <w:pPr>
        <w:pStyle w:val="BodyText"/>
        <w:spacing w:line="355" w:lineRule="auto" w:before="72"/>
        <w:ind w:left="137" w:right="234"/>
        <w:jc w:val="left"/>
      </w:pPr>
      <w:r>
        <w:rPr>
          <w:spacing w:val="-2"/>
        </w:rPr>
        <w:t>量、按点击次数、按时间或者按客户端的下载数量等。涉及商业折扣的，按照扣除商业折扣后的</w:t>
      </w:r>
      <w:r>
        <w:rPr>
          <w:spacing w:val="-25"/>
        </w:rPr>
        <w:t> </w:t>
      </w:r>
      <w:r>
        <w:rPr>
          <w:spacing w:val="-25"/>
        </w:rPr>
      </w:r>
      <w:r>
        <w:rPr/>
        <w:t>金额确定收入金额。</w:t>
      </w:r>
    </w:p>
    <w:p>
      <w:pPr>
        <w:pStyle w:val="Heading4"/>
        <w:spacing w:line="240" w:lineRule="auto" w:before="20"/>
        <w:ind w:right="234"/>
        <w:jc w:val="left"/>
        <w:rPr>
          <w:i w:val="0"/>
        </w:rPr>
      </w:pPr>
      <w:r>
        <w:rPr>
          <w:rFonts w:ascii="Times New Roman" w:hAnsi="Times New Roman" w:cs="Times New Roman" w:eastAsia="Times New Roman" w:hint="default"/>
          <w:i/>
          <w:w w:val="96"/>
        </w:rPr>
      </w:r>
      <w:r>
        <w:rPr>
          <w:rFonts w:ascii="Times New Roman" w:hAnsi="Times New Roman" w:cs="Times New Roman" w:eastAsia="Times New Roman" w:hint="default"/>
          <w:i/>
          <w:spacing w:val="-53"/>
          <w:w w:val="96"/>
          <w:u w:val="single" w:color="000000"/>
        </w:rPr>
        <w:t> </w:t>
      </w:r>
      <w:r>
        <w:rPr>
          <w:u w:val="single" w:color="000000"/>
        </w:rPr>
        <w:t>互联网增值服务</w:t>
      </w:r>
      <w:r>
        <w:rPr>
          <w:rFonts w:ascii="宋体" w:hAnsi="宋体" w:cs="宋体" w:eastAsia="宋体" w:hint="default"/>
          <w:u w:val="single" w:color="000000"/>
        </w:rPr>
        <w:t>-</w:t>
      </w:r>
      <w:r>
        <w:rPr>
          <w:u w:val="single" w:color="000000"/>
        </w:rPr>
        <w:t>游戏</w:t>
      </w:r>
      <w:r>
        <w:rPr/>
      </w:r>
      <w:r>
        <w:rPr>
          <w:i w:val="0"/>
        </w:rPr>
      </w:r>
    </w:p>
    <w:p>
      <w:pPr>
        <w:pStyle w:val="BodyText"/>
        <w:spacing w:line="355" w:lineRule="auto" w:before="134"/>
        <w:ind w:left="137" w:right="318" w:firstLine="420"/>
        <w:jc w:val="both"/>
      </w:pPr>
      <w:r>
        <w:rPr>
          <w:spacing w:val="-2"/>
        </w:rPr>
        <w:t>根据协议约定，本集团不承担游戏的主要运营责任，按照净额法确认收入，即以游戏币收入</w:t>
      </w:r>
      <w:r>
        <w:rPr>
          <w:w w:val="100"/>
        </w:rPr>
        <w:t> </w:t>
      </w:r>
      <w:r>
        <w:rPr>
          <w:spacing w:val="-2"/>
        </w:rPr>
        <w:t>扣除给游戏开发商的分成款项后的余额确认收入。收入一般在游戏币的消耗时点确认；其中部分</w:t>
      </w:r>
      <w:r>
        <w:rPr>
          <w:spacing w:val="-25"/>
        </w:rPr>
        <w:t> </w:t>
      </w:r>
      <w:r>
        <w:rPr>
          <w:spacing w:val="-25"/>
        </w:rPr>
      </w:r>
      <w:r>
        <w:rPr/>
        <w:t>游戏，由于集团承担游戏内相关道具数据的维护责任，因此收入在道具的消耗时点确认。</w:t>
      </w:r>
    </w:p>
    <w:p>
      <w:pPr>
        <w:spacing w:line="240" w:lineRule="auto" w:before="0"/>
        <w:rPr>
          <w:rFonts w:ascii="宋体" w:hAnsi="宋体" w:cs="宋体" w:eastAsia="宋体" w:hint="default"/>
          <w:sz w:val="20"/>
          <w:szCs w:val="20"/>
        </w:rPr>
      </w:pPr>
    </w:p>
    <w:p>
      <w:pPr>
        <w:pStyle w:val="Heading5"/>
        <w:spacing w:line="240" w:lineRule="auto" w:before="142"/>
        <w:ind w:left="137" w:right="234"/>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b w:val="0"/>
          <w:bCs w:val="0"/>
        </w:rPr>
      </w:r>
    </w:p>
    <w:p>
      <w:pPr>
        <w:pStyle w:val="BodyText"/>
        <w:spacing w:line="240" w:lineRule="auto" w:before="56"/>
        <w:ind w:left="557" w:right="234" w:hanging="420"/>
        <w:jc w:val="left"/>
      </w:pPr>
      <w:r>
        <w:rPr/>
        <w:t>√适用</w:t>
      </w:r>
      <w:r>
        <w:rPr>
          <w:spacing w:val="-2"/>
        </w:rPr>
        <w:t> </w:t>
      </w:r>
      <w:r>
        <w:rPr/>
        <w:t>□不适用</w:t>
      </w:r>
      <w:r>
        <w:rPr>
          <w:spacing w:val="-103"/>
        </w:rPr>
        <w:t> </w:t>
      </w:r>
      <w:r>
        <w:rPr>
          <w:spacing w:val="-103"/>
        </w:rPr>
      </w:r>
      <w:r>
        <w:rPr>
          <w:spacing w:val="-2"/>
        </w:rPr>
        <w:t>政府补助是指本集团从政府无偿取得货币性资产和非货币性资产。政府补助在能够满足政府</w:t>
      </w:r>
    </w:p>
    <w:p>
      <w:pPr>
        <w:pStyle w:val="BodyText"/>
        <w:spacing w:line="357" w:lineRule="auto" w:before="133"/>
        <w:ind w:left="557" w:right="345" w:hanging="420"/>
        <w:jc w:val="left"/>
      </w:pPr>
      <w:r>
        <w:rPr/>
        <w:t>补助所附条件且能够收到时予以确认。</w:t>
      </w:r>
      <w:r>
        <w:rPr>
          <w:w w:val="100"/>
        </w:rPr>
        <w:t> </w:t>
      </w:r>
      <w:r>
        <w:rPr/>
        <w:t>政府补助为货币性资产的，按照收到或应收的金额计量。</w:t>
      </w:r>
      <w:r>
        <w:rPr>
          <w:w w:val="100"/>
        </w:rPr>
        <w:t> </w:t>
      </w:r>
      <w:r>
        <w:rPr>
          <w:spacing w:val="-2"/>
        </w:rPr>
        <w:t>政府补助根据相关政府文件中明确规定的补助对象性质划分为与资产相关的政府补助和与收</w:t>
      </w:r>
    </w:p>
    <w:p>
      <w:pPr>
        <w:pStyle w:val="BodyText"/>
        <w:spacing w:line="355" w:lineRule="auto" w:before="30"/>
        <w:ind w:left="557" w:right="4891" w:hanging="420"/>
        <w:jc w:val="left"/>
      </w:pPr>
      <w:r>
        <w:rPr/>
        <w:t>益相关的政府补助。</w:t>
      </w:r>
      <w:r>
        <w:rPr>
          <w:w w:val="100"/>
        </w:rPr>
        <w:t> </w:t>
      </w:r>
      <w:r>
        <w:rPr>
          <w:rFonts w:ascii="宋体" w:hAnsi="宋体" w:cs="宋体" w:eastAsia="宋体" w:hint="default"/>
          <w:w w:val="100"/>
        </w:rPr>
      </w:r>
      <w:r>
        <w:rPr>
          <w:rFonts w:ascii="宋体" w:hAnsi="宋体" w:cs="宋体" w:eastAsia="宋体" w:hint="default"/>
          <w:w w:val="100"/>
        </w:rPr>
        <w:t>                  </w:t>
      </w:r>
      <w:r>
        <w:rPr>
          <w:rFonts w:ascii="宋体" w:hAnsi="宋体" w:cs="宋体" w:eastAsia="宋体" w:hint="default"/>
          <w:u w:val="single" w:color="000000"/>
        </w:rPr>
        <w:t>29.1</w:t>
      </w:r>
      <w:r>
        <w:rPr>
          <w:rFonts w:ascii="宋体" w:hAnsi="宋体" w:cs="宋体" w:eastAsia="宋体" w:hint="default"/>
          <w:spacing w:val="-55"/>
          <w:u w:val="single" w:color="000000"/>
        </w:rPr>
        <w:t> </w:t>
      </w:r>
      <w:r>
        <w:rPr>
          <w:u w:val="single" w:color="000000"/>
        </w:rPr>
        <w:t>与资产相关的政府补助会计处理方法</w:t>
      </w:r>
      <w:r>
        <w:rPr/>
      </w:r>
    </w:p>
    <w:p>
      <w:pPr>
        <w:pStyle w:val="BodyText"/>
        <w:spacing w:line="355" w:lineRule="auto" w:before="32"/>
        <w:ind w:left="137" w:right="234" w:firstLine="420"/>
        <w:jc w:val="left"/>
      </w:pPr>
      <w:r>
        <w:rPr>
          <w:spacing w:val="-2"/>
        </w:rPr>
        <w:t>与资产相关的政府补助，确认为递延收益，并在相关资产的使用寿命内平均分配计入当期损</w:t>
      </w:r>
      <w:r>
        <w:rPr>
          <w:w w:val="100"/>
        </w:rPr>
        <w:t> </w:t>
      </w:r>
      <w:r>
        <w:rPr/>
        <w:t>益。</w:t>
      </w:r>
    </w:p>
    <w:p>
      <w:pPr>
        <w:pStyle w:val="BodyText"/>
        <w:spacing w:line="355" w:lineRule="auto" w:before="35"/>
        <w:ind w:left="557" w:right="234"/>
        <w:jc w:val="left"/>
      </w:pPr>
      <w:r>
        <w:rPr>
          <w:rFonts w:ascii="宋体" w:hAnsi="宋体" w:cs="宋体" w:eastAsia="宋体" w:hint="default"/>
          <w:w w:val="100"/>
        </w:rPr>
      </w:r>
      <w:r>
        <w:rPr>
          <w:rFonts w:ascii="宋体" w:hAnsi="宋体" w:cs="宋体" w:eastAsia="宋体" w:hint="default"/>
          <w:u w:val="single" w:color="000000"/>
        </w:rPr>
        <w:t>29.2</w:t>
      </w:r>
      <w:r>
        <w:rPr>
          <w:rFonts w:ascii="宋体" w:hAnsi="宋体" w:cs="宋体" w:eastAsia="宋体" w:hint="default"/>
          <w:spacing w:val="-55"/>
          <w:u w:val="single" w:color="000000"/>
        </w:rPr>
        <w:t> </w:t>
      </w:r>
      <w:r>
        <w:rPr>
          <w:u w:val="single" w:color="000000"/>
        </w:rPr>
        <w:t>与收益相关的政府补助会计处理方法</w:t>
      </w:r>
      <w:r>
        <w:rPr>
          <w:w w:val="100"/>
        </w:rPr>
      </w:r>
      <w:r>
        <w:rPr>
          <w:w w:val="100"/>
        </w:rPr>
        <w:t> </w:t>
      </w:r>
      <w:r>
        <w:rPr>
          <w:spacing w:val="-2"/>
        </w:rPr>
        <w:t>与收益相关的政府补助，用于补偿以后期间的相关费用和损失的，确认为递延收益，并在确</w:t>
      </w:r>
    </w:p>
    <w:p>
      <w:pPr>
        <w:pStyle w:val="BodyText"/>
        <w:spacing w:line="355" w:lineRule="auto" w:before="32"/>
        <w:ind w:left="557" w:right="234" w:hanging="420"/>
        <w:jc w:val="left"/>
      </w:pPr>
      <w:r>
        <w:rPr>
          <w:spacing w:val="-2"/>
        </w:rPr>
        <w:t>认相关费用的期间计入当期损益；用于补偿已经发生的相关费用和损失的，直接计入当期损益。</w:t>
      </w:r>
      <w:r>
        <w:rPr>
          <w:spacing w:val="-25"/>
        </w:rPr>
        <w:t> </w:t>
      </w:r>
      <w:r>
        <w:rPr>
          <w:spacing w:val="-25"/>
        </w:rPr>
      </w:r>
      <w:r>
        <w:rPr>
          <w:spacing w:val="-2"/>
        </w:rPr>
        <w:t>与日常活动相关的政府补助，按照经济业务实质，计入其他收益或冲减相关成本费用。与日</w:t>
      </w:r>
    </w:p>
    <w:p>
      <w:pPr>
        <w:pStyle w:val="BodyText"/>
        <w:spacing w:line="240" w:lineRule="auto" w:before="34"/>
        <w:ind w:left="137" w:right="234"/>
        <w:jc w:val="left"/>
      </w:pPr>
      <w:r>
        <w:rPr/>
        <w:t>常活动无关的政府补助，计入营业外收支。</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5"/>
        <w:spacing w:line="240" w:lineRule="auto"/>
        <w:ind w:left="137" w:right="234"/>
        <w:jc w:val="left"/>
        <w:rPr>
          <w:b w:val="0"/>
          <w:bCs w:val="0"/>
        </w:rPr>
      </w:pPr>
      <w:r>
        <w:rPr>
          <w:rFonts w:ascii="宋体" w:hAnsi="宋体" w:cs="宋体" w:eastAsia="宋体" w:hint="default"/>
        </w:rPr>
        <w:t>30.</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tabs>
          <w:tab w:pos="979" w:val="left" w:leader="none"/>
        </w:tabs>
        <w:spacing w:line="272" w:lineRule="exact" w:before="59"/>
        <w:ind w:left="557" w:right="4732" w:hanging="420"/>
        <w:jc w:val="left"/>
      </w:pPr>
      <w:r>
        <w:rPr/>
        <w:t>√适用</w:t>
        <w:tab/>
        <w:t>□不适用</w:t>
      </w:r>
      <w:r>
        <w:rPr>
          <w:w w:val="100"/>
        </w:rPr>
        <w:t> </w:t>
      </w:r>
      <w:r>
        <w:rPr>
          <w:spacing w:val="-2"/>
        </w:rPr>
        <w:t>所得税费用包括当期所得税和递延所得税。</w:t>
      </w:r>
    </w:p>
    <w:p>
      <w:pPr>
        <w:pStyle w:val="BodyText"/>
        <w:spacing w:line="355" w:lineRule="auto" w:before="111"/>
        <w:ind w:left="557" w:right="234"/>
        <w:jc w:val="left"/>
      </w:pPr>
      <w:r>
        <w:rPr>
          <w:rFonts w:ascii="宋体" w:hAnsi="宋体" w:cs="宋体" w:eastAsia="宋体" w:hint="default"/>
          <w:w w:val="100"/>
        </w:rPr>
      </w:r>
      <w:r>
        <w:rPr>
          <w:rFonts w:ascii="宋体" w:hAnsi="宋体" w:cs="宋体" w:eastAsia="宋体" w:hint="default"/>
          <w:u w:val="single" w:color="000000"/>
        </w:rPr>
        <w:t>30.1</w:t>
      </w:r>
      <w:r>
        <w:rPr>
          <w:rFonts w:ascii="宋体" w:hAnsi="宋体" w:cs="宋体" w:eastAsia="宋体" w:hint="default"/>
          <w:spacing w:val="-55"/>
          <w:u w:val="single" w:color="000000"/>
        </w:rPr>
        <w:t> </w:t>
      </w:r>
      <w:r>
        <w:rPr>
          <w:u w:val="single" w:color="000000"/>
        </w:rPr>
        <w:t>当期所得税</w:t>
      </w:r>
      <w:r>
        <w:rPr>
          <w:spacing w:val="-103"/>
          <w:u w:val="single" w:color="000000"/>
        </w:rPr>
        <w:t> </w:t>
      </w:r>
      <w:r>
        <w:rPr>
          <w:spacing w:val="-103"/>
        </w:rPr>
      </w:r>
      <w:r>
        <w:rPr>
          <w:spacing w:val="-103"/>
        </w:rPr>
      </w:r>
      <w:r>
        <w:rPr>
          <w:spacing w:val="-2"/>
        </w:rPr>
        <w:t>资产负债表日，对于当期和以前期间形成的当期所得税负债</w:t>
      </w:r>
      <w:r>
        <w:rPr>
          <w:rFonts w:ascii="宋体" w:hAnsi="宋体" w:cs="宋体" w:eastAsia="宋体" w:hint="default"/>
          <w:spacing w:val="-2"/>
        </w:rPr>
        <w:t>(</w:t>
      </w:r>
      <w:r>
        <w:rPr>
          <w:spacing w:val="-2"/>
        </w:rPr>
        <w:t>或资产</w:t>
      </w:r>
      <w:r>
        <w:rPr>
          <w:rFonts w:ascii="宋体" w:hAnsi="宋体" w:cs="宋体" w:eastAsia="宋体" w:hint="default"/>
          <w:spacing w:val="-2"/>
        </w:rPr>
        <w:t>)</w:t>
      </w:r>
      <w:r>
        <w:rPr>
          <w:spacing w:val="-2"/>
        </w:rPr>
        <w:t>，以按照税法规定计算</w:t>
      </w:r>
    </w:p>
    <w:p>
      <w:pPr>
        <w:pStyle w:val="BodyText"/>
        <w:spacing w:line="355" w:lineRule="auto" w:before="32"/>
        <w:ind w:left="557" w:right="5090" w:hanging="420"/>
        <w:jc w:val="left"/>
      </w:pPr>
      <w:r>
        <w:rPr/>
        <w:t>的预期应交纳</w:t>
      </w:r>
      <w:r>
        <w:rPr>
          <w:rFonts w:ascii="宋体" w:hAnsi="宋体" w:cs="宋体" w:eastAsia="宋体" w:hint="default"/>
        </w:rPr>
        <w:t>(</w:t>
      </w:r>
      <w:r>
        <w:rPr/>
        <w:t>或返还</w:t>
      </w:r>
      <w:r>
        <w:rPr>
          <w:rFonts w:ascii="宋体" w:hAnsi="宋体" w:cs="宋体" w:eastAsia="宋体" w:hint="default"/>
        </w:rPr>
        <w:t>)</w:t>
      </w:r>
      <w:r>
        <w:rPr/>
        <w:t>的所得税金额计量。</w:t>
      </w:r>
      <w:r>
        <w:rPr>
          <w:w w:val="100"/>
        </w:rPr>
        <w:t> </w:t>
      </w:r>
      <w:r>
        <w:rPr>
          <w:rFonts w:ascii="宋体" w:hAnsi="宋体" w:cs="宋体" w:eastAsia="宋体" w:hint="default"/>
          <w:w w:val="100"/>
        </w:rPr>
      </w:r>
      <w:r>
        <w:rPr>
          <w:rFonts w:ascii="宋体" w:hAnsi="宋体" w:cs="宋体" w:eastAsia="宋体" w:hint="default"/>
          <w:u w:val="single" w:color="000000"/>
        </w:rPr>
        <w:t>30.2</w:t>
      </w:r>
      <w:r>
        <w:rPr>
          <w:rFonts w:ascii="宋体" w:hAnsi="宋体" w:cs="宋体" w:eastAsia="宋体" w:hint="default"/>
          <w:spacing w:val="-56"/>
          <w:u w:val="single" w:color="000000"/>
        </w:rPr>
        <w:t> </w:t>
      </w:r>
      <w:r>
        <w:rPr>
          <w:u w:val="single" w:color="000000"/>
        </w:rPr>
        <w:t>递延所得税资产及递延所得税负债</w:t>
      </w:r>
      <w:r>
        <w:rPr/>
      </w:r>
    </w:p>
    <w:p>
      <w:pPr>
        <w:pStyle w:val="BodyText"/>
        <w:spacing w:line="357" w:lineRule="auto" w:before="32"/>
        <w:ind w:left="137" w:right="124" w:firstLine="420"/>
        <w:jc w:val="left"/>
      </w:pPr>
      <w:r>
        <w:rPr/>
        <w:t>对于某些资产、负债项目的账面价值与其计税基础之间的差额，以及未作为资产和负债确认</w:t>
      </w:r>
      <w:r>
        <w:rPr>
          <w:w w:val="100"/>
        </w:rPr>
        <w:t> </w:t>
      </w:r>
      <w:r>
        <w:rPr>
          <w:spacing w:val="-2"/>
        </w:rPr>
        <w:t>但按照税法规定可以确定其计税基础的项目的账面价值与计税基础之间的差额产生的暂时性差异，</w:t>
      </w:r>
      <w:r>
        <w:rPr>
          <w:spacing w:val="-13"/>
        </w:rPr>
        <w:t> </w:t>
      </w:r>
      <w:r>
        <w:rPr>
          <w:spacing w:val="-13"/>
        </w:rPr>
      </w:r>
      <w:r>
        <w:rPr/>
        <w:t>采用资产负债表债务法确认递延所得税资产及递延所得税负债。</w:t>
      </w:r>
    </w:p>
    <w:p>
      <w:pPr>
        <w:pStyle w:val="BodyText"/>
        <w:spacing w:line="357" w:lineRule="auto" w:before="30"/>
        <w:ind w:left="137" w:right="305" w:firstLine="420"/>
        <w:jc w:val="left"/>
      </w:pPr>
      <w:r>
        <w:rPr>
          <w:spacing w:val="-2"/>
        </w:rPr>
        <w:t>一般情况下所有暂时性差异均确认相关的递延所得税。但对于可抵扣暂时性差异，本集团以</w:t>
      </w:r>
      <w:r>
        <w:rPr>
          <w:w w:val="100"/>
        </w:rPr>
        <w:t> </w:t>
      </w:r>
      <w:r>
        <w:rPr>
          <w:spacing w:val="-6"/>
          <w:w w:val="100"/>
        </w:rPr>
        <w:t>很可能取得用来抵扣可抵扣暂时性差异的应纳税所得额为限，确认相关的递延所得税资产。此外，</w:t>
      </w:r>
    </w:p>
    <w:p>
      <w:pPr>
        <w:spacing w:after="0" w:line="357" w:lineRule="auto"/>
        <w:jc w:val="left"/>
        <w:sectPr>
          <w:footerReference w:type="default" r:id="rId58"/>
          <w:pgSz w:w="11910" w:h="16840"/>
          <w:pgMar w:footer="1217" w:header="857" w:top="1320" w:bottom="1400" w:left="1140" w:right="1480"/>
          <w:pgNumType w:start="135"/>
        </w:sectPr>
      </w:pPr>
    </w:p>
    <w:p>
      <w:pPr>
        <w:pStyle w:val="BodyText"/>
        <w:spacing w:line="355" w:lineRule="auto" w:before="72"/>
        <w:ind w:left="137" w:right="108"/>
        <w:jc w:val="both"/>
      </w:pPr>
      <w:r>
        <w:rPr>
          <w:spacing w:val="-4"/>
        </w:rPr>
        <w:t>与商誉的初始确认相关的，以及与既不是企业合并、发生时也不影响会计利润和应纳税所得额</w:t>
      </w:r>
      <w:r>
        <w:rPr>
          <w:rFonts w:ascii="宋体" w:hAnsi="宋体" w:cs="宋体" w:eastAsia="宋体" w:hint="default"/>
          <w:spacing w:val="-4"/>
        </w:rPr>
        <w:t>(</w:t>
      </w:r>
      <w:r>
        <w:rPr>
          <w:spacing w:val="-4"/>
        </w:rPr>
        <w:t>或</w:t>
      </w:r>
      <w:r>
        <w:rPr>
          <w:spacing w:val="-33"/>
        </w:rPr>
        <w:t> </w:t>
      </w:r>
      <w:r>
        <w:rPr>
          <w:spacing w:val="-4"/>
          <w:w w:val="100"/>
        </w:rPr>
        <w:t>可抵扣亏损</w:t>
      </w:r>
      <w:r>
        <w:rPr>
          <w:rFonts w:ascii="宋体" w:hAnsi="宋体" w:cs="宋体" w:eastAsia="宋体" w:hint="default"/>
          <w:spacing w:val="-4"/>
          <w:w w:val="100"/>
        </w:rPr>
        <w:t>)</w:t>
      </w:r>
      <w:r>
        <w:rPr>
          <w:spacing w:val="-4"/>
          <w:w w:val="100"/>
        </w:rPr>
        <w:t>的交易中产生的资产或负债的初始确认有关的暂时性差异，不予确认有关的递延所得</w:t>
      </w:r>
      <w:r>
        <w:rPr>
          <w:spacing w:val="-86"/>
          <w:w w:val="100"/>
        </w:rPr>
        <w:t> </w:t>
      </w:r>
      <w:r>
        <w:rPr>
          <w:spacing w:val="-86"/>
          <w:w w:val="100"/>
        </w:rPr>
      </w:r>
      <w:r>
        <w:rPr/>
        <w:t>税资产或负债。</w:t>
      </w:r>
    </w:p>
    <w:p>
      <w:pPr>
        <w:pStyle w:val="BodyText"/>
        <w:spacing w:line="355" w:lineRule="auto" w:before="34"/>
        <w:ind w:left="137" w:right="118" w:firstLine="420"/>
        <w:jc w:val="both"/>
      </w:pPr>
      <w:r>
        <w:rPr>
          <w:spacing w:val="-2"/>
        </w:rPr>
        <w:t>对于能够结转以后年度的可抵扣亏损及税款抵减，以很可能获得用来抵扣可抵扣亏损和税款</w:t>
      </w:r>
      <w:r>
        <w:rPr>
          <w:w w:val="100"/>
        </w:rPr>
        <w:t> </w:t>
      </w:r>
      <w:r>
        <w:rPr/>
        <w:t>抵减的未来应纳税所得额为限，确认相应的递延所得税资产。</w:t>
      </w:r>
    </w:p>
    <w:p>
      <w:pPr>
        <w:pStyle w:val="BodyText"/>
        <w:spacing w:line="357" w:lineRule="auto" w:before="32"/>
        <w:ind w:left="137" w:right="118" w:firstLine="420"/>
        <w:jc w:val="both"/>
      </w:pPr>
      <w:r>
        <w:rPr>
          <w:spacing w:val="-2"/>
        </w:rPr>
        <w:t>本集团确认与子公司、联营企业及合营企业投资相关的应纳税暂时性差异产生的递延所得税</w:t>
      </w:r>
      <w:r>
        <w:rPr>
          <w:w w:val="100"/>
        </w:rPr>
        <w:t> </w:t>
      </w:r>
      <w:r>
        <w:rPr>
          <w:spacing w:val="-2"/>
        </w:rPr>
        <w:t>负债，除非本集团能够控制暂时性差异转回的时间，而且该暂时性差异在可预见的未来很可能不</w:t>
      </w:r>
      <w:r>
        <w:rPr>
          <w:spacing w:val="-25"/>
        </w:rPr>
        <w:t> </w:t>
      </w:r>
      <w:r>
        <w:rPr>
          <w:spacing w:val="-25"/>
        </w:rPr>
      </w:r>
      <w:r>
        <w:rPr>
          <w:spacing w:val="-2"/>
        </w:rPr>
        <w:t>会转回。对于与子公司、联营企业及合营企业投资相关的可抵扣暂时性差异，只有当暂时性差异</w:t>
      </w:r>
      <w:r>
        <w:rPr>
          <w:spacing w:val="-25"/>
        </w:rPr>
        <w:t> </w:t>
      </w:r>
      <w:r>
        <w:rPr>
          <w:spacing w:val="-25"/>
        </w:rPr>
      </w:r>
      <w:r>
        <w:rPr>
          <w:spacing w:val="-2"/>
        </w:rPr>
        <w:t>在可预见的未来很可能转回，且未来很可能获得用来抵扣可抵扣暂时性差异的应纳税所得额时，</w:t>
      </w:r>
      <w:r>
        <w:rPr>
          <w:spacing w:val="-25"/>
        </w:rPr>
        <w:t> </w:t>
      </w:r>
      <w:r>
        <w:rPr>
          <w:spacing w:val="-25"/>
        </w:rPr>
      </w:r>
      <w:r>
        <w:rPr/>
        <w:t>本集团才确认递延所得税资产。</w:t>
      </w:r>
    </w:p>
    <w:p>
      <w:pPr>
        <w:pStyle w:val="BodyText"/>
        <w:spacing w:line="355" w:lineRule="auto" w:before="30"/>
        <w:ind w:left="137" w:right="118" w:firstLine="420"/>
        <w:jc w:val="both"/>
      </w:pPr>
      <w:r>
        <w:rPr>
          <w:spacing w:val="-2"/>
        </w:rPr>
        <w:t>资产负债表日，对于递延所得税资产和递延所得税负债，根据税法规定，按照预期收回相关</w:t>
      </w:r>
      <w:r>
        <w:rPr>
          <w:w w:val="100"/>
        </w:rPr>
        <w:t> </w:t>
      </w:r>
      <w:r>
        <w:rPr/>
        <w:t>资产或清偿相关负债期间的适用税率计量。</w:t>
      </w:r>
    </w:p>
    <w:p>
      <w:pPr>
        <w:pStyle w:val="BodyText"/>
        <w:spacing w:line="355" w:lineRule="auto" w:before="34"/>
        <w:ind w:left="137" w:right="118" w:firstLine="420"/>
        <w:jc w:val="both"/>
      </w:pPr>
      <w:r>
        <w:rPr>
          <w:spacing w:val="-2"/>
        </w:rPr>
        <w:t>除与直接计入其他综合收益或所有者权益的交易和事项相关的当期所得税和递延所得税计入</w:t>
      </w:r>
      <w:r>
        <w:rPr>
          <w:w w:val="100"/>
        </w:rPr>
        <w:t> </w:t>
      </w:r>
      <w:r>
        <w:rPr>
          <w:spacing w:val="-2"/>
        </w:rPr>
        <w:t>其他综合收益或所有者权益，以及企业合并产生的递延所得税调整商誉的账面价值外，其余当期</w:t>
      </w:r>
      <w:r>
        <w:rPr>
          <w:spacing w:val="-25"/>
        </w:rPr>
        <w:t> </w:t>
      </w:r>
      <w:r>
        <w:rPr>
          <w:spacing w:val="-25"/>
        </w:rPr>
      </w:r>
      <w:r>
        <w:rPr/>
        <w:t>所得税和递延所得税费用或收益计入当期损益。</w:t>
      </w:r>
    </w:p>
    <w:p>
      <w:pPr>
        <w:pStyle w:val="BodyText"/>
        <w:spacing w:line="357" w:lineRule="auto" w:before="32"/>
        <w:ind w:left="137" w:right="118" w:firstLine="420"/>
        <w:jc w:val="both"/>
      </w:pPr>
      <w:r>
        <w:rPr>
          <w:spacing w:val="-2"/>
        </w:rPr>
        <w:t>资产负债表日，对递延所得税资产的账面价值进行复核，如果未来很可能无法获得足够的应</w:t>
      </w:r>
      <w:r>
        <w:rPr>
          <w:w w:val="100"/>
        </w:rPr>
        <w:t> </w:t>
      </w:r>
      <w:r>
        <w:rPr>
          <w:spacing w:val="-2"/>
        </w:rPr>
        <w:t>纳税所得额用以抵扣递延所得税资产的利益，则减记递延所得税资产的账面价值。在很可能获得</w:t>
      </w:r>
      <w:r>
        <w:rPr>
          <w:spacing w:val="-26"/>
        </w:rPr>
        <w:t> </w:t>
      </w:r>
      <w:r>
        <w:rPr>
          <w:spacing w:val="-26"/>
        </w:rPr>
      </w:r>
      <w:r>
        <w:rPr/>
        <w:t>足够的应纳税所得额时，减记的金额予以转回。</w:t>
      </w:r>
    </w:p>
    <w:p>
      <w:pPr>
        <w:pStyle w:val="BodyText"/>
        <w:spacing w:line="355" w:lineRule="auto" w:before="30"/>
        <w:ind w:left="557" w:right="0"/>
        <w:jc w:val="left"/>
      </w:pPr>
      <w:r>
        <w:rPr>
          <w:rFonts w:ascii="宋体" w:hAnsi="宋体" w:cs="宋体" w:eastAsia="宋体" w:hint="default"/>
          <w:w w:val="100"/>
        </w:rPr>
      </w:r>
      <w:r>
        <w:rPr>
          <w:rFonts w:ascii="宋体" w:hAnsi="宋体" w:cs="宋体" w:eastAsia="宋体" w:hint="default"/>
          <w:u w:val="single" w:color="000000"/>
        </w:rPr>
        <w:t>30.3</w:t>
      </w:r>
      <w:r>
        <w:rPr>
          <w:rFonts w:ascii="宋体" w:hAnsi="宋体" w:cs="宋体" w:eastAsia="宋体" w:hint="default"/>
          <w:spacing w:val="-55"/>
          <w:u w:val="single" w:color="000000"/>
        </w:rPr>
        <w:t> </w:t>
      </w:r>
      <w:r>
        <w:rPr>
          <w:u w:val="single" w:color="000000"/>
        </w:rPr>
        <w:t>所得税的抵销</w:t>
      </w:r>
      <w:r>
        <w:rPr>
          <w:spacing w:val="-102"/>
          <w:u w:val="single" w:color="000000"/>
        </w:rPr>
        <w:t> </w:t>
      </w:r>
      <w:r>
        <w:rPr>
          <w:spacing w:val="-102"/>
        </w:rPr>
      </w:r>
      <w:r>
        <w:rPr>
          <w:spacing w:val="-102"/>
        </w:rPr>
      </w:r>
      <w:r>
        <w:rPr>
          <w:spacing w:val="-2"/>
        </w:rPr>
        <w:t>当拥有以净额结算的法定权利，且意图以净额结算或取得资产、清偿负债同时进行时，本集</w:t>
      </w:r>
    </w:p>
    <w:p>
      <w:pPr>
        <w:pStyle w:val="BodyText"/>
        <w:spacing w:line="357" w:lineRule="auto" w:before="32"/>
        <w:ind w:left="557" w:right="0" w:hanging="420"/>
        <w:jc w:val="left"/>
      </w:pPr>
      <w:r>
        <w:rPr/>
        <w:t>团当期所得税资产及当期所得税负债以抵销后的净额列报。</w:t>
      </w:r>
      <w:r>
        <w:rPr>
          <w:w w:val="100"/>
        </w:rPr>
        <w:t> </w:t>
      </w:r>
      <w:r>
        <w:rPr>
          <w:spacing w:val="-2"/>
        </w:rPr>
        <w:t>当拥有以净额结算当期所得税资产及当期所得税负债的法定权利，且递延所得税资产及递延</w:t>
      </w:r>
    </w:p>
    <w:p>
      <w:pPr>
        <w:pStyle w:val="BodyText"/>
        <w:spacing w:line="357" w:lineRule="auto" w:before="30"/>
        <w:ind w:left="137" w:right="118"/>
        <w:jc w:val="both"/>
      </w:pPr>
      <w:r>
        <w:rPr>
          <w:spacing w:val="-2"/>
        </w:rPr>
        <w:t>所得税负债是与同一税收征管部门对同一纳税主体征收的所得税相关或者是对不同的纳税主体相</w:t>
      </w:r>
      <w:r>
        <w:rPr>
          <w:spacing w:val="-25"/>
        </w:rPr>
        <w:t> </w:t>
      </w:r>
      <w:r>
        <w:rPr>
          <w:spacing w:val="-25"/>
        </w:rPr>
      </w:r>
      <w:r>
        <w:rPr>
          <w:spacing w:val="-2"/>
        </w:rPr>
        <w:t>关，但在未来每一具有重要性的递延所得税资产及负债转回的期间内，涉及的纳税主体意图以净</w:t>
      </w:r>
      <w:r>
        <w:rPr>
          <w:spacing w:val="-25"/>
        </w:rPr>
        <w:t> </w:t>
      </w:r>
      <w:r>
        <w:rPr>
          <w:spacing w:val="-25"/>
        </w:rPr>
      </w:r>
      <w:r>
        <w:rPr>
          <w:spacing w:val="-2"/>
        </w:rPr>
        <w:t>额结算当期所得税资产和负债或是同时取得资产、清偿负债时，本集团递延所得税资产及递延所</w:t>
      </w:r>
      <w:r>
        <w:rPr>
          <w:spacing w:val="-25"/>
        </w:rPr>
        <w:t> </w:t>
      </w:r>
      <w:r>
        <w:rPr>
          <w:spacing w:val="-25"/>
        </w:rPr>
      </w:r>
      <w:r>
        <w:rPr/>
        <w:t>得税负债以抵销后的净额列报。</w:t>
      </w:r>
    </w:p>
    <w:p>
      <w:pPr>
        <w:spacing w:line="240" w:lineRule="auto" w:before="0"/>
        <w:rPr>
          <w:rFonts w:ascii="宋体" w:hAnsi="宋体" w:cs="宋体" w:eastAsia="宋体" w:hint="default"/>
          <w:sz w:val="20"/>
          <w:szCs w:val="20"/>
        </w:rPr>
      </w:pPr>
    </w:p>
    <w:p>
      <w:pPr>
        <w:pStyle w:val="Heading5"/>
        <w:spacing w:line="240" w:lineRule="auto" w:before="140"/>
        <w:ind w:left="137" w:right="0"/>
        <w:jc w:val="both"/>
        <w:rPr>
          <w:b w:val="0"/>
          <w:bCs w:val="0"/>
        </w:rPr>
      </w:pPr>
      <w:r>
        <w:rPr>
          <w:rFonts w:ascii="宋体" w:hAnsi="宋体" w:cs="宋体" w:eastAsia="宋体" w:hint="default"/>
        </w:rPr>
        <w:t>31.</w:t>
      </w:r>
      <w:r>
        <w:rPr>
          <w:rFonts w:ascii="宋体" w:hAnsi="宋体" w:cs="宋体" w:eastAsia="宋体" w:hint="default"/>
          <w:spacing w:val="2"/>
        </w:rPr>
        <w:t> </w:t>
      </w:r>
      <w:r>
        <w:rPr/>
        <w:t>租赁</w:t>
      </w:r>
      <w:r>
        <w:rPr>
          <w:b w:val="0"/>
          <w:bCs w:val="0"/>
        </w:rPr>
      </w:r>
    </w:p>
    <w:p>
      <w:pPr>
        <w:pStyle w:val="BodyText"/>
        <w:spacing w:line="355" w:lineRule="auto" w:before="58"/>
        <w:ind w:left="137" w:right="118" w:firstLine="420"/>
        <w:jc w:val="both"/>
      </w:pPr>
      <w:r>
        <w:rPr>
          <w:spacing w:val="-2"/>
        </w:rPr>
        <w:t>实质上转移了与资产所有权有关的全部风险和报酬的租赁为融资租赁。融资租赁以外的其他</w:t>
      </w:r>
      <w:r>
        <w:rPr>
          <w:w w:val="100"/>
        </w:rPr>
        <w:t> </w:t>
      </w:r>
      <w:r>
        <w:rPr/>
        <w:t>租赁为经营租赁。</w:t>
      </w:r>
    </w:p>
    <w:p>
      <w:pPr>
        <w:pStyle w:val="Heading5"/>
        <w:spacing w:line="240" w:lineRule="auto" w:before="92"/>
        <w:ind w:left="137" w:right="0"/>
        <w:jc w:val="both"/>
        <w:rPr>
          <w:b w:val="0"/>
          <w:bCs w:val="0"/>
        </w:rPr>
      </w:pPr>
      <w:r>
        <w:rPr>
          <w:rFonts w:ascii="宋体" w:hAnsi="宋体" w:cs="宋体" w:eastAsia="宋体" w:hint="default"/>
        </w:rPr>
        <w:t>(1).</w:t>
      </w:r>
      <w:r>
        <w:rPr/>
        <w:t>经营租赁的会计处理方法</w:t>
      </w:r>
      <w:r>
        <w:rPr>
          <w:b w:val="0"/>
          <w:bCs w:val="0"/>
        </w:rPr>
      </w:r>
    </w:p>
    <w:p>
      <w:pPr>
        <w:pStyle w:val="BodyText"/>
        <w:tabs>
          <w:tab w:pos="979" w:val="left" w:leader="none"/>
        </w:tabs>
        <w:spacing w:line="272" w:lineRule="exact" w:before="86"/>
        <w:ind w:left="557" w:right="118" w:hanging="420"/>
        <w:jc w:val="left"/>
      </w:pPr>
      <w:r>
        <w:rPr/>
        <w:t>√适用</w:t>
        <w:tab/>
        <w:t>□不适用</w:t>
      </w:r>
      <w:r>
        <w:rPr>
          <w:w w:val="100"/>
        </w:rPr>
        <w:t> </w:t>
      </w:r>
      <w:r>
        <w:rPr>
          <w:spacing w:val="-2"/>
        </w:rPr>
        <w:t>经营租赁的租金支出在租赁期内的各个期间按直线法计入当期损益。初始直接费用计入当期</w:t>
      </w:r>
    </w:p>
    <w:p>
      <w:pPr>
        <w:pStyle w:val="BodyText"/>
        <w:spacing w:line="240" w:lineRule="auto" w:before="108"/>
        <w:ind w:left="137" w:right="0"/>
        <w:jc w:val="both"/>
      </w:pPr>
      <w:r>
        <w:rPr/>
        <w:t>损益。或有租金于实际发生时计入当期损益。</w:t>
      </w:r>
    </w:p>
    <w:p>
      <w:pPr>
        <w:spacing w:after="0" w:line="240" w:lineRule="auto"/>
        <w:jc w:val="both"/>
        <w:sectPr>
          <w:footerReference w:type="default" r:id="rId59"/>
          <w:pgSz w:w="11910" w:h="16840"/>
          <w:pgMar w:footer="1217" w:header="857" w:top="1320" w:bottom="1400" w:left="1140" w:right="1680"/>
          <w:pgNumType w:start="136"/>
        </w:sectPr>
      </w:pPr>
    </w:p>
    <w:p>
      <w:pPr>
        <w:spacing w:line="240" w:lineRule="auto" w:before="0"/>
        <w:rPr>
          <w:rFonts w:ascii="宋体" w:hAnsi="宋体" w:cs="宋体" w:eastAsia="宋体" w:hint="default"/>
          <w:sz w:val="28"/>
          <w:szCs w:val="28"/>
        </w:rPr>
      </w:pPr>
    </w:p>
    <w:p>
      <w:pPr>
        <w:pStyle w:val="Heading5"/>
        <w:spacing w:line="240" w:lineRule="auto" w:before="36"/>
        <w:ind w:left="137" w:right="0"/>
        <w:jc w:val="left"/>
        <w:rPr>
          <w:b w:val="0"/>
          <w:bCs w:val="0"/>
        </w:rPr>
      </w:pPr>
      <w:r>
        <w:rPr>
          <w:rFonts w:ascii="宋体" w:hAnsi="宋体" w:cs="宋体" w:eastAsia="宋体" w:hint="default"/>
        </w:rPr>
        <w:t>(2).</w:t>
      </w:r>
      <w:r>
        <w:rPr/>
        <w:t>融资租赁的会计处理方法</w:t>
      </w:r>
      <w:r>
        <w:rPr>
          <w:b w:val="0"/>
          <w:bCs w:val="0"/>
        </w:rPr>
      </w:r>
    </w:p>
    <w:p>
      <w:pPr>
        <w:pStyle w:val="BodyText"/>
        <w:tabs>
          <w:tab w:pos="979" w:val="left" w:leader="none"/>
        </w:tabs>
        <w:spacing w:line="240" w:lineRule="auto" w:before="58"/>
        <w:ind w:left="137" w:right="0"/>
        <w:jc w:val="left"/>
      </w:pPr>
      <w:r>
        <w:rPr/>
        <w:t>□适用</w:t>
        <w:tab/>
        <w:t>√不适用</w:t>
      </w:r>
    </w:p>
    <w:p>
      <w:pPr>
        <w:spacing w:line="240" w:lineRule="auto" w:before="2"/>
        <w:rPr>
          <w:rFonts w:ascii="宋体" w:hAnsi="宋体" w:cs="宋体" w:eastAsia="宋体" w:hint="default"/>
          <w:sz w:val="28"/>
          <w:szCs w:val="28"/>
        </w:rPr>
      </w:pPr>
    </w:p>
    <w:p>
      <w:pPr>
        <w:pStyle w:val="Heading5"/>
        <w:spacing w:line="240" w:lineRule="auto"/>
        <w:ind w:left="137" w:right="0"/>
        <w:jc w:val="left"/>
        <w:rPr>
          <w:b w:val="0"/>
          <w:bCs w:val="0"/>
        </w:rPr>
      </w:pPr>
      <w:r>
        <w:rPr>
          <w:rFonts w:ascii="宋体" w:hAnsi="宋体" w:cs="宋体" w:eastAsia="宋体" w:hint="default"/>
        </w:rPr>
        <w:t>32. </w:t>
      </w:r>
      <w:r>
        <w:rPr/>
        <w:t>其他重要的会计政策和会计估计</w:t>
      </w:r>
      <w:r>
        <w:rPr>
          <w:b w:val="0"/>
          <w:bCs w:val="0"/>
        </w:rPr>
      </w:r>
    </w:p>
    <w:p>
      <w:pPr>
        <w:pStyle w:val="BodyText"/>
        <w:tabs>
          <w:tab w:pos="979" w:val="left" w:leader="none"/>
        </w:tabs>
        <w:spacing w:line="272" w:lineRule="exact" w:before="86"/>
        <w:ind w:left="557" w:right="1639" w:hanging="420"/>
        <w:jc w:val="left"/>
      </w:pPr>
      <w:r>
        <w:rPr/>
        <w:t>√适用</w:t>
        <w:tab/>
        <w:t>□不适用</w:t>
      </w:r>
      <w:r>
        <w:rPr>
          <w:w w:val="100"/>
        </w:rPr>
        <w:t> </w:t>
      </w:r>
      <w:r>
        <w:rPr>
          <w:rFonts w:ascii="宋体" w:hAnsi="宋体" w:cs="宋体" w:eastAsia="宋体" w:hint="default"/>
          <w:w w:val="100"/>
        </w:rPr>
      </w:r>
      <w:r>
        <w:rPr>
          <w:rFonts w:ascii="宋体" w:hAnsi="宋体" w:cs="宋体" w:eastAsia="宋体" w:hint="default"/>
          <w:w w:val="100"/>
        </w:rPr>
        <w:t>                                                  </w:t>
      </w:r>
      <w:r>
        <w:rPr>
          <w:rFonts w:ascii="宋体" w:hAnsi="宋体" w:cs="宋体" w:eastAsia="宋体" w:hint="default"/>
          <w:u w:val="single" w:color="000000"/>
        </w:rPr>
        <w:t>32.1</w:t>
      </w:r>
      <w:r>
        <w:rPr>
          <w:rFonts w:ascii="宋体" w:hAnsi="宋体" w:cs="宋体" w:eastAsia="宋体" w:hint="default"/>
          <w:spacing w:val="4"/>
          <w:u w:val="single" w:color="000000"/>
        </w:rPr>
        <w:t> </w:t>
      </w:r>
      <w:r>
        <w:rPr>
          <w:spacing w:val="-2"/>
          <w:u w:val="single" w:color="000000"/>
        </w:rPr>
        <w:t>重要会计政策的确定依据和会计估计中所采用的关键假设和不确定因素</w:t>
      </w:r>
      <w:r>
        <w:rPr>
          <w:spacing w:val="-2"/>
        </w:rPr>
      </w:r>
    </w:p>
    <w:p>
      <w:pPr>
        <w:pStyle w:val="BodyText"/>
        <w:spacing w:line="357" w:lineRule="auto" w:before="108"/>
        <w:ind w:left="137" w:right="218" w:firstLine="420"/>
        <w:jc w:val="both"/>
      </w:pPr>
      <w:r>
        <w:rPr>
          <w:spacing w:val="-2"/>
        </w:rPr>
        <w:t>本集团在运用上述所描述的会计政策过程中，由于经营活动内在的不确定性，本集团需要对</w:t>
      </w:r>
      <w:r>
        <w:rPr>
          <w:w w:val="100"/>
        </w:rPr>
        <w:t> </w:t>
      </w:r>
      <w:r>
        <w:rPr>
          <w:spacing w:val="-2"/>
        </w:rPr>
        <w:t>无法准确计量的报表项目的账面价值进行判断、估计和假设。这些判断、估计和假设是基于本集</w:t>
      </w:r>
      <w:r>
        <w:rPr>
          <w:spacing w:val="-25"/>
        </w:rPr>
        <w:t> </w:t>
      </w:r>
      <w:r>
        <w:rPr>
          <w:spacing w:val="-25"/>
        </w:rPr>
      </w:r>
      <w:r>
        <w:rPr>
          <w:spacing w:val="-2"/>
        </w:rPr>
        <w:t>团管理层过去的历史经验，并在考虑其他相关因素的基础上作出的。实际的结果可能与本集团的</w:t>
      </w:r>
      <w:r>
        <w:rPr>
          <w:spacing w:val="-25"/>
        </w:rPr>
        <w:t> </w:t>
      </w:r>
      <w:r>
        <w:rPr>
          <w:spacing w:val="-25"/>
        </w:rPr>
      </w:r>
      <w:r>
        <w:rPr/>
        <w:t>估计存在差异。</w:t>
      </w:r>
    </w:p>
    <w:p>
      <w:pPr>
        <w:pStyle w:val="BodyText"/>
        <w:spacing w:line="357" w:lineRule="auto" w:before="30"/>
        <w:ind w:left="137" w:right="218" w:firstLine="420"/>
        <w:jc w:val="both"/>
      </w:pPr>
      <w:r>
        <w:rPr>
          <w:spacing w:val="-2"/>
        </w:rPr>
        <w:t>本集团对前述判断、估计和假设在持续经营的基础上进行定期复核，会计估计的变更仅影响</w:t>
      </w:r>
      <w:r>
        <w:rPr>
          <w:w w:val="100"/>
        </w:rPr>
        <w:t> </w:t>
      </w:r>
      <w:r>
        <w:rPr>
          <w:spacing w:val="-2"/>
        </w:rPr>
        <w:t>变更当期的，其影响数在变更当期予以确认；既影响变更当期又影响未来期间的，其影响数在变</w:t>
      </w:r>
      <w:r>
        <w:rPr>
          <w:spacing w:val="-25"/>
        </w:rPr>
        <w:t> </w:t>
      </w:r>
      <w:r>
        <w:rPr>
          <w:spacing w:val="-25"/>
        </w:rPr>
      </w:r>
      <w:r>
        <w:rPr/>
        <w:t>更当期和未来期间予以确认。</w:t>
      </w:r>
    </w:p>
    <w:p>
      <w:pPr>
        <w:pStyle w:val="BodyText"/>
        <w:spacing w:line="240" w:lineRule="auto" w:before="30"/>
        <w:ind w:left="557" w:right="0"/>
        <w:jc w:val="left"/>
      </w:pPr>
      <w:r>
        <w:rPr>
          <w:rFonts w:ascii="宋体" w:hAnsi="宋体" w:cs="宋体" w:eastAsia="宋体" w:hint="default"/>
          <w:w w:val="100"/>
        </w:rPr>
      </w:r>
      <w:r>
        <w:rPr>
          <w:rFonts w:ascii="宋体" w:hAnsi="宋体" w:cs="宋体" w:eastAsia="宋体" w:hint="default"/>
          <w:u w:val="single" w:color="000000"/>
        </w:rPr>
        <w:t>32.2</w:t>
      </w:r>
      <w:r>
        <w:rPr>
          <w:rFonts w:ascii="宋体" w:hAnsi="宋体" w:cs="宋体" w:eastAsia="宋体" w:hint="default"/>
          <w:spacing w:val="-55"/>
          <w:u w:val="single" w:color="000000"/>
        </w:rPr>
        <w:t> </w:t>
      </w:r>
      <w:r>
        <w:rPr>
          <w:u w:val="single" w:color="000000"/>
        </w:rPr>
        <w:t>运用会计政策过程中所作的重要判断</w:t>
      </w:r>
      <w:r>
        <w:rPr/>
      </w:r>
    </w:p>
    <w:p>
      <w:pPr>
        <w:pStyle w:val="BodyText"/>
        <w:spacing w:line="240" w:lineRule="auto" w:before="133"/>
        <w:ind w:left="557" w:right="0"/>
        <w:jc w:val="left"/>
      </w:pPr>
      <w:r>
        <w:rPr>
          <w:rFonts w:ascii="宋体" w:hAnsi="宋体" w:cs="宋体" w:eastAsia="宋体" w:hint="default"/>
        </w:rPr>
        <w:t>32.2.1</w:t>
      </w:r>
      <w:r>
        <w:rPr>
          <w:rFonts w:ascii="宋体" w:hAnsi="宋体" w:cs="宋体" w:eastAsia="宋体" w:hint="default"/>
          <w:spacing w:val="-56"/>
        </w:rPr>
        <w:t> </w:t>
      </w:r>
      <w:r>
        <w:rPr/>
        <w:t>不构成业务的反向购买</w:t>
      </w:r>
    </w:p>
    <w:p>
      <w:pPr>
        <w:pStyle w:val="BodyText"/>
        <w:spacing w:line="357" w:lineRule="auto" w:before="133"/>
        <w:ind w:left="137" w:right="0" w:firstLine="420"/>
        <w:jc w:val="left"/>
      </w:pPr>
      <w:r>
        <w:rPr/>
        <w:t>如财务报表附注</w:t>
      </w:r>
      <w:r>
        <w:rPr>
          <w:rFonts w:ascii="宋体" w:hAnsi="宋体" w:cs="宋体" w:eastAsia="宋体" w:hint="default"/>
        </w:rPr>
        <w:t>(</w:t>
      </w:r>
      <w:r>
        <w:rPr/>
        <w:t>三)“1.2</w:t>
      </w:r>
      <w:r>
        <w:rPr>
          <w:spacing w:val="-53"/>
        </w:rPr>
        <w:t> </w:t>
      </w:r>
      <w:r>
        <w:rPr/>
        <w:t>重大资产出售、置换及发行股份购买资产”所述，原江南嘉捷通</w:t>
      </w:r>
      <w:r>
        <w:rPr>
          <w:w w:val="100"/>
        </w:rPr>
        <w:t> </w:t>
      </w:r>
      <w:r>
        <w:rPr>
          <w:spacing w:val="-6"/>
          <w:w w:val="100"/>
        </w:rPr>
        <w:t>过重大资产出售、置换和发行股份购买资产的方式对三六零科技实施重大资产重组。重组完成后，</w:t>
      </w:r>
      <w:r>
        <w:rPr>
          <w:w w:val="100"/>
        </w:rPr>
        <w:t> </w:t>
      </w:r>
      <w:r>
        <w:rPr/>
        <w:t>三六零科技成为原江南嘉捷的全资子公司。截止</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2</w:t>
      </w:r>
      <w:r>
        <w:rPr>
          <w:rFonts w:ascii="宋体" w:hAnsi="宋体" w:cs="宋体" w:eastAsia="宋体" w:hint="default"/>
          <w:spacing w:val="-54"/>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t>日，原江南嘉捷仅持有了货币资</w:t>
      </w:r>
      <w:r>
        <w:rPr>
          <w:w w:val="100"/>
        </w:rPr>
        <w:t> </w:t>
      </w:r>
      <w:r>
        <w:rPr>
          <w:spacing w:val="-4"/>
          <w:w w:val="100"/>
        </w:rPr>
        <w:t>金等不构成业务的资产或负债，本集团管理层判断此次重大资产重组属于不构成业务的反向购买，</w:t>
      </w:r>
      <w:r>
        <w:rPr>
          <w:spacing w:val="-86"/>
          <w:w w:val="100"/>
        </w:rPr>
        <w:t> </w:t>
      </w:r>
      <w:r>
        <w:rPr>
          <w:spacing w:val="-86"/>
          <w:w w:val="100"/>
        </w:rPr>
      </w:r>
      <w:r>
        <w:rPr/>
        <w:t>并按照权益性交易的原则进行处理。</w:t>
      </w:r>
    </w:p>
    <w:p>
      <w:pPr>
        <w:pStyle w:val="BodyText"/>
        <w:spacing w:line="357" w:lineRule="auto" w:before="30"/>
        <w:ind w:left="137" w:right="208" w:firstLine="420"/>
        <w:jc w:val="both"/>
      </w:pPr>
      <w:r>
        <w:rPr>
          <w:spacing w:val="-7"/>
        </w:rPr>
        <w:t>本集团管理层在判断时，依据了财政部《关于做好执行会计准则 </w:t>
      </w:r>
      <w:r>
        <w:rPr>
          <w:rFonts w:ascii="宋体" w:hAnsi="宋体" w:cs="宋体" w:eastAsia="宋体" w:hint="default"/>
        </w:rPr>
        <w:t>2008</w:t>
      </w:r>
      <w:r>
        <w:rPr>
          <w:rFonts w:ascii="宋体" w:hAnsi="宋体" w:cs="宋体" w:eastAsia="宋体" w:hint="default"/>
          <w:spacing w:val="-35"/>
        </w:rPr>
        <w:t> </w:t>
      </w:r>
      <w:r>
        <w:rPr>
          <w:spacing w:val="-8"/>
        </w:rPr>
        <w:t>年年报工作的通知》</w:t>
      </w:r>
      <w:r>
        <w:rPr>
          <w:rFonts w:ascii="宋体" w:hAnsi="宋体" w:cs="宋体" w:eastAsia="宋体" w:hint="default"/>
          <w:spacing w:val="-8"/>
        </w:rPr>
        <w:t>(</w:t>
      </w:r>
      <w:r>
        <w:rPr>
          <w:spacing w:val="-8"/>
        </w:rPr>
        <w:t>财</w:t>
      </w:r>
      <w:r>
        <w:rPr>
          <w:w w:val="100"/>
        </w:rPr>
        <w:t> </w:t>
      </w:r>
      <w:r>
        <w:rPr/>
        <w:t>会函</w:t>
      </w:r>
      <w:r>
        <w:rPr>
          <w:rFonts w:ascii="宋体" w:hAnsi="宋体" w:cs="宋体" w:eastAsia="宋体" w:hint="default"/>
        </w:rPr>
        <w:t>[2008]60</w:t>
      </w:r>
      <w:r>
        <w:rPr>
          <w:rFonts w:ascii="宋体" w:hAnsi="宋体" w:cs="宋体" w:eastAsia="宋体" w:hint="default"/>
          <w:spacing w:val="-56"/>
        </w:rPr>
        <w:t> </w:t>
      </w:r>
      <w:r>
        <w:rPr/>
        <w:t>号</w:t>
      </w:r>
      <w:r>
        <w:rPr>
          <w:rFonts w:ascii="宋体" w:hAnsi="宋体" w:cs="宋体" w:eastAsia="宋体" w:hint="default"/>
        </w:rPr>
        <w:t>)</w:t>
      </w:r>
      <w:r>
        <w:rPr/>
        <w:t>及财政部《关于非上市公司购买上市公司股权实现间接上市会计处理的复函》</w:t>
      </w:r>
      <w:r>
        <w:rPr>
          <w:w w:val="100"/>
        </w:rPr>
        <w:t> </w:t>
      </w:r>
      <w:r>
        <w:rPr>
          <w:rFonts w:ascii="宋体" w:hAnsi="宋体" w:cs="宋体" w:eastAsia="宋体" w:hint="default"/>
        </w:rPr>
        <w:t>(</w:t>
      </w:r>
      <w:r>
        <w:rPr/>
        <w:t>财会便</w:t>
      </w:r>
      <w:r>
        <w:rPr>
          <w:rFonts w:ascii="宋体" w:hAnsi="宋体" w:cs="宋体" w:eastAsia="宋体" w:hint="default"/>
        </w:rPr>
        <w:t>[2009]17</w:t>
      </w:r>
      <w:r>
        <w:rPr>
          <w:rFonts w:ascii="宋体" w:hAnsi="宋体" w:cs="宋体" w:eastAsia="宋体" w:hint="default"/>
          <w:spacing w:val="-57"/>
        </w:rPr>
        <w:t> </w:t>
      </w:r>
      <w:r>
        <w:rPr/>
        <w:t>号</w:t>
      </w:r>
      <w:r>
        <w:rPr>
          <w:rFonts w:ascii="宋体" w:hAnsi="宋体" w:cs="宋体" w:eastAsia="宋体" w:hint="default"/>
        </w:rPr>
        <w:t>)</w:t>
      </w:r>
      <w:r>
        <w:rPr/>
        <w:t>的相关规定。</w:t>
      </w:r>
    </w:p>
    <w:p>
      <w:pPr>
        <w:pStyle w:val="BodyText"/>
        <w:spacing w:line="355" w:lineRule="auto" w:before="30"/>
        <w:ind w:left="557" w:right="0"/>
        <w:jc w:val="left"/>
      </w:pPr>
      <w:r>
        <w:rPr>
          <w:rFonts w:ascii="宋体" w:hAnsi="宋体" w:cs="宋体" w:eastAsia="宋体" w:hint="default"/>
          <w:w w:val="100"/>
        </w:rPr>
      </w:r>
      <w:r>
        <w:rPr>
          <w:rFonts w:ascii="宋体" w:hAnsi="宋体" w:cs="宋体" w:eastAsia="宋体" w:hint="default"/>
          <w:u w:val="single" w:color="000000"/>
        </w:rPr>
        <w:t>32.3</w:t>
      </w:r>
      <w:r>
        <w:rPr>
          <w:rFonts w:ascii="宋体" w:hAnsi="宋体" w:cs="宋体" w:eastAsia="宋体" w:hint="default"/>
          <w:spacing w:val="-55"/>
          <w:u w:val="single" w:color="000000"/>
        </w:rPr>
        <w:t> </w:t>
      </w:r>
      <w:r>
        <w:rPr>
          <w:u w:val="single" w:color="000000"/>
        </w:rPr>
        <w:t>会计估计中采用的关键假设和不确定因素</w:t>
      </w:r>
      <w:r>
        <w:rPr>
          <w:w w:val="100"/>
        </w:rPr>
      </w:r>
      <w:r>
        <w:rPr>
          <w:w w:val="100"/>
        </w:rPr>
        <w:t> </w:t>
      </w:r>
      <w:r>
        <w:rPr>
          <w:spacing w:val="-2"/>
        </w:rPr>
        <w:t>资产负债表日，会计估计中很可能导致未来期间资产、负债账面价值作出重大调整的关键假</w:t>
      </w:r>
    </w:p>
    <w:p>
      <w:pPr>
        <w:pStyle w:val="BodyText"/>
        <w:spacing w:line="240" w:lineRule="auto" w:before="33"/>
        <w:ind w:left="137" w:right="0"/>
        <w:jc w:val="left"/>
      </w:pPr>
      <w:r>
        <w:rPr/>
        <w:t>设和不确定性主要有：</w:t>
      </w:r>
    </w:p>
    <w:p>
      <w:pPr>
        <w:pStyle w:val="Heading4"/>
        <w:spacing w:line="240" w:lineRule="auto" w:before="124"/>
        <w:ind w:right="0"/>
        <w:jc w:val="left"/>
        <w:rPr>
          <w:i w:val="0"/>
        </w:rPr>
      </w:pPr>
      <w:r>
        <w:rPr>
          <w:rFonts w:ascii="宋体" w:hAnsi="宋体" w:cs="宋体" w:eastAsia="宋体" w:hint="default"/>
          <w:w w:val="96"/>
        </w:rPr>
      </w:r>
      <w:r>
        <w:rPr>
          <w:rFonts w:ascii="宋体" w:hAnsi="宋体" w:cs="宋体" w:eastAsia="宋体" w:hint="default"/>
          <w:w w:val="95"/>
          <w:u w:val="single" w:color="000000"/>
        </w:rPr>
        <w:t>32.3.1</w:t>
      </w:r>
      <w:r>
        <w:rPr>
          <w:rFonts w:ascii="宋体" w:hAnsi="宋体" w:cs="宋体" w:eastAsia="宋体" w:hint="default"/>
          <w:spacing w:val="-34"/>
          <w:w w:val="95"/>
          <w:u w:val="single" w:color="000000"/>
        </w:rPr>
        <w:t> </w:t>
      </w:r>
      <w:r>
        <w:rPr>
          <w:w w:val="95"/>
          <w:u w:val="single" w:color="000000"/>
        </w:rPr>
        <w:t>固定资产及无形资产预计可使用年限和预计残值</w:t>
      </w:r>
      <w:r>
        <w:rPr>
          <w:w w:val="95"/>
        </w:rPr>
      </w:r>
      <w:r>
        <w:rPr>
          <w:i w:val="0"/>
        </w:rPr>
      </w:r>
    </w:p>
    <w:p>
      <w:pPr>
        <w:pStyle w:val="BodyText"/>
        <w:spacing w:line="355" w:lineRule="auto" w:before="131"/>
        <w:ind w:left="137" w:right="218" w:firstLine="420"/>
        <w:jc w:val="both"/>
      </w:pPr>
      <w:r>
        <w:rPr>
          <w:spacing w:val="-2"/>
        </w:rPr>
        <w:t>本集团就固定资产及无形资产厘定可使用年限和残值。该估计是根据对类似性质及功能的固</w:t>
      </w:r>
      <w:r>
        <w:rPr>
          <w:w w:val="100"/>
        </w:rPr>
        <w:t> </w:t>
      </w:r>
      <w:r>
        <w:rPr>
          <w:spacing w:val="-2"/>
        </w:rPr>
        <w:t>定资产及无形资产的实际可使用年限和残值的历史经验为基础，并可能因技术革新及严峻的行业</w:t>
      </w:r>
      <w:r>
        <w:rPr>
          <w:spacing w:val="-25"/>
        </w:rPr>
        <w:t> </w:t>
      </w:r>
      <w:r>
        <w:rPr>
          <w:spacing w:val="-25"/>
        </w:rPr>
      </w:r>
      <w:r>
        <w:rPr>
          <w:spacing w:val="-2"/>
        </w:rPr>
        <w:t>竞争而有重大改变。当固定资产或无形资产预计可使用年限和残值少于先前估计，本集团将提高</w:t>
      </w:r>
      <w:r>
        <w:rPr>
          <w:spacing w:val="-25"/>
        </w:rPr>
        <w:t> </w:t>
      </w:r>
      <w:r>
        <w:rPr>
          <w:spacing w:val="-25"/>
        </w:rPr>
      </w:r>
      <w:r>
        <w:rPr/>
        <w:t>折旧</w:t>
      </w:r>
      <w:r>
        <w:rPr>
          <w:rFonts w:ascii="宋体" w:hAnsi="宋体" w:cs="宋体" w:eastAsia="宋体" w:hint="default"/>
        </w:rPr>
        <w:t>/</w:t>
      </w:r>
      <w:r>
        <w:rPr/>
        <w:t>摊销、或冲销或冲减技术陈旧的固定资产或无形资产。</w:t>
      </w:r>
    </w:p>
    <w:p>
      <w:pPr>
        <w:pStyle w:val="Heading4"/>
        <w:spacing w:line="240" w:lineRule="auto" w:before="23"/>
        <w:ind w:right="0"/>
        <w:jc w:val="left"/>
        <w:rPr>
          <w:i w:val="0"/>
        </w:rPr>
      </w:pPr>
      <w:r>
        <w:rPr>
          <w:rFonts w:ascii="宋体" w:hAnsi="宋体" w:cs="宋体" w:eastAsia="宋体" w:hint="default"/>
          <w:w w:val="96"/>
        </w:rPr>
      </w:r>
      <w:r>
        <w:rPr>
          <w:rFonts w:ascii="宋体" w:hAnsi="宋体" w:cs="宋体" w:eastAsia="宋体" w:hint="default"/>
          <w:w w:val="95"/>
          <w:u w:val="single" w:color="000000"/>
        </w:rPr>
        <w:t>32.3.2</w:t>
      </w:r>
      <w:r>
        <w:rPr>
          <w:rFonts w:ascii="宋体" w:hAnsi="宋体" w:cs="宋体" w:eastAsia="宋体" w:hint="default"/>
          <w:spacing w:val="-34"/>
          <w:w w:val="95"/>
          <w:u w:val="single" w:color="000000"/>
        </w:rPr>
        <w:t> </w:t>
      </w:r>
      <w:r>
        <w:rPr>
          <w:spacing w:val="-2"/>
          <w:w w:val="95"/>
          <w:u w:val="single" w:color="000000"/>
        </w:rPr>
        <w:t>应收款项减值</w:t>
      </w:r>
      <w:r>
        <w:rPr>
          <w:spacing w:val="-2"/>
          <w:w w:val="95"/>
        </w:rPr>
      </w:r>
      <w:r>
        <w:rPr>
          <w:i w:val="0"/>
          <w:spacing w:val="-2"/>
        </w:rPr>
      </w:r>
    </w:p>
    <w:p>
      <w:pPr>
        <w:pStyle w:val="BodyText"/>
        <w:spacing w:line="357" w:lineRule="auto" w:before="131"/>
        <w:ind w:left="137" w:right="218" w:firstLine="420"/>
        <w:jc w:val="both"/>
      </w:pPr>
      <w:r>
        <w:rPr>
          <w:spacing w:val="-2"/>
        </w:rPr>
        <w:t>本集团在资产负债表日复核按摊余成本计量的应收款项，以评估是否出现减值情况，并在出</w:t>
      </w:r>
      <w:r>
        <w:rPr>
          <w:w w:val="100"/>
        </w:rPr>
        <w:t> </w:t>
      </w:r>
      <w:r>
        <w:rPr>
          <w:spacing w:val="-2"/>
        </w:rPr>
        <w:t>现减值情况时评估减值损失的具体金额。减值的客观证据包括显示个别或组合应收款项预计未来</w:t>
      </w:r>
    </w:p>
    <w:p>
      <w:pPr>
        <w:spacing w:after="0" w:line="357" w:lineRule="auto"/>
        <w:jc w:val="both"/>
        <w:sectPr>
          <w:pgSz w:w="11910" w:h="16840"/>
          <w:pgMar w:header="857" w:footer="1217" w:top="1320" w:bottom="1400" w:left="1140" w:right="1580"/>
        </w:sectPr>
      </w:pPr>
    </w:p>
    <w:p>
      <w:pPr>
        <w:pStyle w:val="BodyText"/>
        <w:spacing w:line="357" w:lineRule="auto" w:before="72"/>
        <w:ind w:left="217" w:right="238"/>
        <w:jc w:val="both"/>
      </w:pPr>
      <w:r>
        <w:rPr>
          <w:spacing w:val="-2"/>
        </w:rPr>
        <w:t>现金流量出现大幅下降的可观察数据、显示个别或组合应收款项中债务人的财务状况出现重大负</w:t>
      </w:r>
      <w:r>
        <w:rPr>
          <w:spacing w:val="-25"/>
        </w:rPr>
        <w:t> </w:t>
      </w:r>
      <w:r>
        <w:rPr>
          <w:spacing w:val="-25"/>
        </w:rPr>
      </w:r>
      <w:r>
        <w:rPr>
          <w:spacing w:val="-2"/>
        </w:rPr>
        <w:t>面变动的可观察数据等事项。如果有证据表明该应收款项价值已恢复，且客观上与确认该损失后</w:t>
      </w:r>
      <w:r>
        <w:rPr>
          <w:spacing w:val="-25"/>
        </w:rPr>
        <w:t> </w:t>
      </w:r>
      <w:r>
        <w:rPr>
          <w:spacing w:val="-25"/>
        </w:rPr>
      </w:r>
      <w:r>
        <w:rPr>
          <w:spacing w:val="-2"/>
        </w:rPr>
        <w:t>发生的事项有关，则将原确认的减值损失予以转回。减值的确认需要运用判断和估计。如重新估</w:t>
      </w:r>
      <w:r>
        <w:rPr>
          <w:spacing w:val="-25"/>
        </w:rPr>
        <w:t> </w:t>
      </w:r>
      <w:r>
        <w:rPr>
          <w:spacing w:val="-25"/>
        </w:rPr>
      </w:r>
      <w:r>
        <w:rPr/>
        <w:t>计结果与现有估计存在差异，该差异将会影响估计改变期间的利润和应收款项账面价值。</w:t>
      </w:r>
    </w:p>
    <w:p>
      <w:pPr>
        <w:pStyle w:val="Heading4"/>
        <w:spacing w:line="240" w:lineRule="auto"/>
        <w:ind w:left="637" w:right="234"/>
        <w:jc w:val="left"/>
        <w:rPr>
          <w:i w:val="0"/>
        </w:rPr>
      </w:pPr>
      <w:r>
        <w:rPr>
          <w:rFonts w:ascii="宋体" w:hAnsi="宋体" w:cs="宋体" w:eastAsia="宋体" w:hint="default"/>
          <w:w w:val="96"/>
        </w:rPr>
      </w:r>
      <w:r>
        <w:rPr>
          <w:rFonts w:ascii="宋体" w:hAnsi="宋体" w:cs="宋体" w:eastAsia="宋体" w:hint="default"/>
          <w:w w:val="95"/>
          <w:u w:val="single" w:color="000000"/>
        </w:rPr>
        <w:t>32.3.3</w:t>
      </w:r>
      <w:r>
        <w:rPr>
          <w:rFonts w:ascii="宋体" w:hAnsi="宋体" w:cs="宋体" w:eastAsia="宋体" w:hint="default"/>
          <w:spacing w:val="-43"/>
          <w:w w:val="95"/>
          <w:u w:val="single" w:color="000000"/>
        </w:rPr>
        <w:t> </w:t>
      </w:r>
      <w:r>
        <w:rPr>
          <w:w w:val="95"/>
          <w:u w:val="single" w:color="000000"/>
        </w:rPr>
        <w:t>递延所得税资产的确认</w:t>
      </w:r>
      <w:r>
        <w:rPr>
          <w:w w:val="95"/>
        </w:rPr>
      </w:r>
      <w:r>
        <w:rPr>
          <w:i w:val="0"/>
        </w:rPr>
      </w:r>
    </w:p>
    <w:p>
      <w:pPr>
        <w:pStyle w:val="BodyText"/>
        <w:spacing w:line="357" w:lineRule="auto" w:before="131"/>
        <w:ind w:left="217" w:right="228" w:firstLine="420"/>
        <w:jc w:val="both"/>
      </w:pPr>
      <w:r>
        <w:rPr>
          <w:spacing w:val="-2"/>
        </w:rPr>
        <w:t>递延所得税资产的实现主要取决于未来的实际盈利及可抵扣暂时性差异在未来使用年度的实</w:t>
      </w:r>
      <w:r>
        <w:rPr>
          <w:w w:val="100"/>
        </w:rPr>
        <w:t> </w:t>
      </w:r>
      <w:r>
        <w:rPr>
          <w:spacing w:val="-2"/>
        </w:rPr>
        <w:t>际税率。如未来实际产生的盈利少于预期，或实际税率低于预期，确认的递延所得税资产将被转</w:t>
      </w:r>
      <w:r>
        <w:rPr>
          <w:spacing w:val="-25"/>
        </w:rPr>
        <w:t> </w:t>
      </w:r>
      <w:r>
        <w:rPr>
          <w:spacing w:val="-25"/>
        </w:rPr>
      </w:r>
      <w:r>
        <w:rPr>
          <w:spacing w:val="-2"/>
        </w:rPr>
        <w:t>回，确认在转回发生期间的合并利润表中。如未来实际产生的盈利多于预期，或实际税率高于预</w:t>
      </w:r>
      <w:r>
        <w:rPr>
          <w:spacing w:val="-25"/>
        </w:rPr>
        <w:t> </w:t>
      </w:r>
      <w:r>
        <w:rPr>
          <w:spacing w:val="-25"/>
        </w:rPr>
      </w:r>
      <w:r>
        <w:rPr>
          <w:spacing w:val="-6"/>
        </w:rPr>
        <w:t>期，将调整相应的递延所得税资产，确认在该情况发生期间的合并利润表中。详情请见附注</w:t>
      </w:r>
      <w:r>
        <w:rPr>
          <w:rFonts w:ascii="宋体" w:hAnsi="宋体" w:cs="宋体" w:eastAsia="宋体" w:hint="default"/>
          <w:spacing w:val="-6"/>
        </w:rPr>
        <w:t>(</w:t>
      </w:r>
      <w:r>
        <w:rPr>
          <w:spacing w:val="-6"/>
        </w:rPr>
        <w:t>七</w:t>
      </w:r>
      <w:r>
        <w:rPr>
          <w:rFonts w:ascii="宋体" w:hAnsi="宋体" w:cs="宋体" w:eastAsia="宋体" w:hint="default"/>
          <w:spacing w:val="-6"/>
        </w:rPr>
        <w:t>)</w:t>
      </w:r>
      <w:r>
        <w:rPr>
          <w:spacing w:val="-6"/>
        </w:rPr>
        <w:t>、</w:t>
      </w:r>
      <w:r>
        <w:rPr>
          <w:spacing w:val="-48"/>
        </w:rPr>
        <w:t> </w:t>
      </w:r>
      <w:r>
        <w:rPr>
          <w:rFonts w:ascii="宋体" w:hAnsi="宋体" w:cs="宋体" w:eastAsia="宋体" w:hint="default"/>
        </w:rPr>
        <w:t>24</w:t>
      </w:r>
      <w:r>
        <w:rPr/>
        <w:t>。</w:t>
      </w:r>
    </w:p>
    <w:p>
      <w:pPr>
        <w:pStyle w:val="Heading4"/>
        <w:spacing w:line="240" w:lineRule="auto"/>
        <w:ind w:left="637" w:right="234"/>
        <w:jc w:val="left"/>
        <w:rPr>
          <w:i w:val="0"/>
        </w:rPr>
      </w:pPr>
      <w:r>
        <w:rPr>
          <w:rFonts w:ascii="宋体" w:hAnsi="宋体" w:cs="宋体" w:eastAsia="宋体" w:hint="default"/>
          <w:w w:val="95"/>
        </w:rPr>
      </w:r>
      <w:r>
        <w:rPr>
          <w:rFonts w:ascii="宋体" w:hAnsi="宋体" w:cs="宋体" w:eastAsia="宋体" w:hint="default"/>
          <w:w w:val="95"/>
          <w:u w:val="single" w:color="000000"/>
        </w:rPr>
        <w:t>32.3.4</w:t>
      </w:r>
      <w:r>
        <w:rPr>
          <w:rFonts w:ascii="宋体" w:hAnsi="宋体" w:cs="宋体" w:eastAsia="宋体" w:hint="default"/>
          <w:spacing w:val="-48"/>
          <w:w w:val="95"/>
          <w:u w:val="single" w:color="000000"/>
        </w:rPr>
        <w:t> </w:t>
      </w:r>
      <w:r>
        <w:rPr>
          <w:w w:val="95"/>
          <w:u w:val="single" w:color="000000"/>
        </w:rPr>
        <w:t>商誉减值</w:t>
      </w:r>
      <w:r>
        <w:rPr>
          <w:w w:val="95"/>
        </w:rPr>
      </w:r>
      <w:r>
        <w:rPr>
          <w:i w:val="0"/>
        </w:rPr>
      </w:r>
    </w:p>
    <w:p>
      <w:pPr>
        <w:pStyle w:val="BodyText"/>
        <w:spacing w:line="357" w:lineRule="auto" w:before="131"/>
        <w:ind w:left="217" w:right="238" w:firstLine="420"/>
        <w:jc w:val="both"/>
      </w:pPr>
      <w:r>
        <w:rPr>
          <w:spacing w:val="-2"/>
        </w:rPr>
        <w:t>本集团至少每年测试商誉是否减值。这要求管理层对包含商誉的资产组的可收回金额进行确</w:t>
      </w:r>
      <w:r>
        <w:rPr>
          <w:w w:val="100"/>
        </w:rPr>
        <w:t> </w:t>
      </w:r>
      <w:r>
        <w:rPr>
          <w:spacing w:val="-2"/>
        </w:rPr>
        <w:t>定。确定可收回金额时，本集团需要预计资产组的未来现金流量，同时选择恰当的折现率确定未</w:t>
      </w:r>
      <w:r>
        <w:rPr>
          <w:spacing w:val="-25"/>
        </w:rPr>
        <w:t> </w:t>
      </w:r>
      <w:r>
        <w:rPr>
          <w:spacing w:val="-25"/>
        </w:rPr>
      </w:r>
      <w:r>
        <w:rPr/>
        <w:t>来现金流量的现值，因而涉及不确定因素。商誉分摊及减值测试相关情况参见附注</w:t>
      </w:r>
      <w:r>
        <w:rPr>
          <w:rFonts w:ascii="宋体" w:hAnsi="宋体" w:cs="宋体" w:eastAsia="宋体" w:hint="default"/>
        </w:rPr>
        <w:t>(</w:t>
      </w:r>
      <w:r>
        <w:rPr/>
        <w:t>七</w:t>
      </w:r>
      <w:r>
        <w:rPr>
          <w:rFonts w:ascii="宋体" w:hAnsi="宋体" w:cs="宋体" w:eastAsia="宋体" w:hint="default"/>
        </w:rPr>
        <w:t>)</w:t>
      </w:r>
      <w:r>
        <w:rPr/>
        <w:t>、</w:t>
      </w:r>
      <w:r>
        <w:rPr>
          <w:rFonts w:ascii="宋体" w:hAnsi="宋体" w:cs="宋体" w:eastAsia="宋体" w:hint="default"/>
        </w:rPr>
        <w:t>22</w:t>
      </w:r>
      <w:r>
        <w:rPr/>
        <w:t>。</w:t>
      </w:r>
    </w:p>
    <w:p>
      <w:pPr>
        <w:pStyle w:val="Heading4"/>
        <w:spacing w:line="240" w:lineRule="auto"/>
        <w:ind w:left="637" w:right="234"/>
        <w:jc w:val="left"/>
        <w:rPr>
          <w:i w:val="0"/>
        </w:rPr>
      </w:pPr>
      <w:r>
        <w:rPr>
          <w:rFonts w:ascii="宋体" w:hAnsi="宋体" w:cs="宋体" w:eastAsia="宋体" w:hint="default"/>
          <w:w w:val="95"/>
        </w:rPr>
      </w:r>
      <w:r>
        <w:rPr>
          <w:rFonts w:ascii="宋体" w:hAnsi="宋体" w:cs="宋体" w:eastAsia="宋体" w:hint="default"/>
          <w:w w:val="95"/>
          <w:u w:val="single" w:color="000000"/>
        </w:rPr>
        <w:t>32.3.5</w:t>
      </w:r>
      <w:r>
        <w:rPr>
          <w:rFonts w:ascii="宋体" w:hAnsi="宋体" w:cs="宋体" w:eastAsia="宋体" w:hint="default"/>
          <w:spacing w:val="-42"/>
          <w:w w:val="95"/>
          <w:u w:val="single" w:color="000000"/>
        </w:rPr>
        <w:t> </w:t>
      </w:r>
      <w:r>
        <w:rPr>
          <w:w w:val="95"/>
          <w:u w:val="single" w:color="000000"/>
        </w:rPr>
        <w:t>除商誉以外的长期资产减值</w:t>
      </w:r>
      <w:r>
        <w:rPr>
          <w:w w:val="95"/>
        </w:rPr>
      </w:r>
      <w:r>
        <w:rPr>
          <w:i w:val="0"/>
        </w:rPr>
      </w:r>
    </w:p>
    <w:p>
      <w:pPr>
        <w:pStyle w:val="BodyText"/>
        <w:spacing w:line="357" w:lineRule="auto" w:before="131"/>
        <w:ind w:left="217" w:right="229" w:firstLine="420"/>
        <w:jc w:val="both"/>
      </w:pPr>
      <w:r>
        <w:rPr>
          <w:spacing w:val="-3"/>
        </w:rPr>
        <w:t>如附注</w:t>
      </w:r>
      <w:r>
        <w:rPr>
          <w:rFonts w:ascii="宋体" w:hAnsi="宋体" w:cs="宋体" w:eastAsia="宋体" w:hint="default"/>
          <w:spacing w:val="-3"/>
        </w:rPr>
        <w:t>(</w:t>
      </w:r>
      <w:r>
        <w:rPr>
          <w:spacing w:val="-3"/>
        </w:rPr>
        <w:t>五</w:t>
      </w:r>
      <w:r>
        <w:rPr>
          <w:rFonts w:ascii="宋体" w:hAnsi="宋体" w:cs="宋体" w:eastAsia="宋体" w:hint="default"/>
          <w:spacing w:val="-3"/>
        </w:rPr>
        <w:t>)</w:t>
      </w:r>
      <w:r>
        <w:rPr>
          <w:spacing w:val="-3"/>
        </w:rPr>
        <w:t>、</w:t>
      </w:r>
      <w:r>
        <w:rPr>
          <w:rFonts w:ascii="宋体" w:hAnsi="宋体" w:cs="宋体" w:eastAsia="宋体" w:hint="default"/>
          <w:spacing w:val="-3"/>
        </w:rPr>
        <w:t>22</w:t>
      </w:r>
      <w:r>
        <w:rPr>
          <w:rFonts w:ascii="宋体" w:hAnsi="宋体" w:cs="宋体" w:eastAsia="宋体" w:hint="default"/>
          <w:spacing w:val="3"/>
        </w:rPr>
        <w:t> </w:t>
      </w:r>
      <w:r>
        <w:rPr>
          <w:spacing w:val="-3"/>
        </w:rPr>
        <w:t>所述，本集团在资产负债表日对长期资产进行减值评估，以确定资产可收回</w:t>
      </w:r>
      <w:r>
        <w:rPr>
          <w:w w:val="100"/>
        </w:rPr>
        <w:t> </w:t>
      </w:r>
      <w:r>
        <w:rPr>
          <w:spacing w:val="-2"/>
        </w:rPr>
        <w:t>金额是否下跌至低于其账面价值。如果有证据表明长期资产的账面价值可能无法全部收回，有关</w:t>
      </w:r>
      <w:r>
        <w:rPr>
          <w:spacing w:val="-25"/>
        </w:rPr>
        <w:t> </w:t>
      </w:r>
      <w:r>
        <w:rPr>
          <w:spacing w:val="-25"/>
        </w:rPr>
      </w:r>
      <w:r>
        <w:rPr/>
        <w:t>资产便会视为已减值，并相应确认减值损失。</w:t>
      </w:r>
    </w:p>
    <w:p>
      <w:pPr>
        <w:pStyle w:val="BodyText"/>
        <w:spacing w:line="357" w:lineRule="auto" w:before="30"/>
        <w:ind w:left="217" w:right="238" w:firstLine="420"/>
        <w:jc w:val="both"/>
      </w:pPr>
      <w:r>
        <w:rPr>
          <w:spacing w:val="-2"/>
        </w:rPr>
        <w:t>可收回金额是资产</w:t>
      </w:r>
      <w:r>
        <w:rPr>
          <w:rFonts w:ascii="宋体" w:hAnsi="宋体" w:cs="宋体" w:eastAsia="宋体" w:hint="default"/>
          <w:spacing w:val="-2"/>
        </w:rPr>
        <w:t>(</w:t>
      </w:r>
      <w:r>
        <w:rPr>
          <w:spacing w:val="-2"/>
        </w:rPr>
        <w:t>或资产组</w:t>
      </w:r>
      <w:r>
        <w:rPr>
          <w:rFonts w:ascii="宋体" w:hAnsi="宋体" w:cs="宋体" w:eastAsia="宋体" w:hint="default"/>
          <w:spacing w:val="-2"/>
        </w:rPr>
        <w:t>)</w:t>
      </w:r>
      <w:r>
        <w:rPr>
          <w:spacing w:val="-2"/>
        </w:rPr>
        <w:t>的公允价值减去处置费用后的净额与资产</w:t>
      </w:r>
      <w:r>
        <w:rPr>
          <w:rFonts w:ascii="宋体" w:hAnsi="宋体" w:cs="宋体" w:eastAsia="宋体" w:hint="default"/>
          <w:spacing w:val="-2"/>
        </w:rPr>
        <w:t>(</w:t>
      </w:r>
      <w:r>
        <w:rPr>
          <w:spacing w:val="-2"/>
        </w:rPr>
        <w:t>或资产组</w:t>
      </w:r>
      <w:r>
        <w:rPr>
          <w:rFonts w:ascii="宋体" w:hAnsi="宋体" w:cs="宋体" w:eastAsia="宋体" w:hint="default"/>
          <w:spacing w:val="-2"/>
        </w:rPr>
        <w:t>)</w:t>
      </w:r>
      <w:r>
        <w:rPr>
          <w:spacing w:val="-2"/>
        </w:rPr>
        <w:t>预计未来</w:t>
      </w:r>
      <w:r>
        <w:rPr>
          <w:w w:val="100"/>
        </w:rPr>
        <w:t> </w:t>
      </w:r>
      <w:r>
        <w:rPr>
          <w:spacing w:val="-2"/>
        </w:rPr>
        <w:t>现金流量的现值两者之间的较高者。由于本集团不能获得资产</w:t>
      </w:r>
      <w:r>
        <w:rPr>
          <w:rFonts w:ascii="宋体" w:hAnsi="宋体" w:cs="宋体" w:eastAsia="宋体" w:hint="default"/>
          <w:spacing w:val="-2"/>
        </w:rPr>
        <w:t>(</w:t>
      </w:r>
      <w:r>
        <w:rPr>
          <w:spacing w:val="-2"/>
        </w:rPr>
        <w:t>或资产组</w:t>
      </w:r>
      <w:r>
        <w:rPr>
          <w:rFonts w:ascii="宋体" w:hAnsi="宋体" w:cs="宋体" w:eastAsia="宋体" w:hint="default"/>
          <w:spacing w:val="-2"/>
        </w:rPr>
        <w:t>)</w:t>
      </w:r>
      <w:r>
        <w:rPr>
          <w:spacing w:val="-2"/>
        </w:rPr>
        <w:t>的公开市价，因此不能</w:t>
      </w:r>
      <w:r>
        <w:rPr>
          <w:spacing w:val="-24"/>
        </w:rPr>
        <w:t> </w:t>
      </w:r>
      <w:r>
        <w:rPr>
          <w:spacing w:val="-24"/>
        </w:rPr>
      </w:r>
      <w:r>
        <w:rPr>
          <w:spacing w:val="-2"/>
        </w:rPr>
        <w:t>准确估计资产或资产组的公允价值。在预计未来现金流量现值时，需要对该资产</w:t>
      </w:r>
      <w:r>
        <w:rPr>
          <w:rFonts w:ascii="宋体" w:hAnsi="宋体" w:cs="宋体" w:eastAsia="宋体" w:hint="default"/>
          <w:spacing w:val="-2"/>
        </w:rPr>
        <w:t>(</w:t>
      </w:r>
      <w:r>
        <w:rPr>
          <w:spacing w:val="-2"/>
        </w:rPr>
        <w:t>或资产组</w:t>
      </w:r>
      <w:r>
        <w:rPr>
          <w:rFonts w:ascii="宋体" w:hAnsi="宋体" w:cs="宋体" w:eastAsia="宋体" w:hint="default"/>
          <w:spacing w:val="-2"/>
        </w:rPr>
        <w:t>)</w:t>
      </w:r>
      <w:r>
        <w:rPr>
          <w:spacing w:val="-2"/>
        </w:rPr>
        <w:t>持续</w:t>
      </w:r>
      <w:r>
        <w:rPr>
          <w:spacing w:val="-24"/>
        </w:rPr>
        <w:t> </w:t>
      </w:r>
      <w:r>
        <w:rPr>
          <w:spacing w:val="-2"/>
        </w:rPr>
        <w:t>使用或持有带来的收益以及计算现值时使用的折现率等作出重大判断。本集团在估计可收回金额</w:t>
      </w:r>
      <w:r>
        <w:rPr>
          <w:spacing w:val="-25"/>
        </w:rPr>
        <w:t> </w:t>
      </w:r>
      <w:r>
        <w:rPr>
          <w:spacing w:val="-25"/>
        </w:rPr>
      </w:r>
      <w:r>
        <w:rPr>
          <w:spacing w:val="-2"/>
        </w:rPr>
        <w:t>时会采用所有能够获得的相关资料，包括根据合理和可支持的假设所作出有关收益的预测和折现</w:t>
      </w:r>
      <w:r>
        <w:rPr>
          <w:spacing w:val="-25"/>
        </w:rPr>
        <w:t> </w:t>
      </w:r>
      <w:r>
        <w:rPr>
          <w:spacing w:val="-25"/>
        </w:rPr>
      </w:r>
      <w:r>
        <w:rPr/>
        <w:t>率的选择。由于管理层须就未来现金流量及折现率作出假设，</w:t>
      </w:r>
      <w:r>
        <w:rPr>
          <w:spacing w:val="-6"/>
        </w:rPr>
        <w:t> </w:t>
      </w:r>
      <w:r>
        <w:rPr/>
        <w:t>因而牵涉不确定因素。</w:t>
      </w:r>
    </w:p>
    <w:p>
      <w:pPr>
        <w:spacing w:line="240" w:lineRule="auto" w:before="0"/>
        <w:rPr>
          <w:rFonts w:ascii="宋体" w:hAnsi="宋体" w:cs="宋体" w:eastAsia="宋体" w:hint="default"/>
          <w:sz w:val="20"/>
          <w:szCs w:val="20"/>
        </w:rPr>
      </w:pPr>
    </w:p>
    <w:p>
      <w:pPr>
        <w:pStyle w:val="Heading5"/>
        <w:spacing w:line="290" w:lineRule="auto" w:before="141"/>
        <w:ind w:left="217" w:right="5675"/>
        <w:jc w:val="left"/>
        <w:rPr>
          <w:b w:val="0"/>
          <w:bCs w:val="0"/>
        </w:rPr>
      </w:pPr>
      <w:r>
        <w:rPr>
          <w:rFonts w:ascii="宋体" w:hAnsi="宋体" w:cs="宋体" w:eastAsia="宋体" w:hint="default"/>
        </w:rPr>
        <w:t>33.</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4"/>
        <w:ind w:left="217" w:right="0"/>
        <w:jc w:val="both"/>
      </w:pPr>
      <w:r>
        <w:rPr/>
        <w:t>√适用 □不适用</w:t>
      </w:r>
    </w:p>
    <w:p>
      <w:pPr>
        <w:spacing w:line="240" w:lineRule="auto" w:before="3"/>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3654"/>
        <w:gridCol w:w="2552"/>
        <w:gridCol w:w="2845"/>
      </w:tblGrid>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9"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47"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名称和金额</w:t>
            </w:r>
            <w:r>
              <w:rPr>
                <w:rFonts w:ascii="宋体" w:hAnsi="宋体" w:cs="宋体" w:eastAsia="宋体" w:hint="default"/>
                <w:sz w:val="21"/>
                <w:szCs w:val="21"/>
              </w:rPr>
              <w:t>)</w:t>
            </w:r>
          </w:p>
        </w:tc>
      </w:tr>
      <w:tr>
        <w:trPr>
          <w:trHeight w:val="1918"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根据财政部</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日颁布的</w:t>
            </w:r>
          </w:p>
          <w:p>
            <w:pPr>
              <w:pStyle w:val="TableParagraph"/>
              <w:spacing w:line="355" w:lineRule="auto" w:before="133"/>
              <w:ind w:left="103" w:right="98"/>
              <w:jc w:val="left"/>
              <w:rPr>
                <w:rFonts w:ascii="宋体" w:hAnsi="宋体" w:cs="宋体" w:eastAsia="宋体" w:hint="default"/>
                <w:sz w:val="21"/>
                <w:szCs w:val="21"/>
              </w:rPr>
            </w:pPr>
            <w:r>
              <w:rPr>
                <w:rFonts w:ascii="宋体" w:hAnsi="宋体" w:cs="宋体" w:eastAsia="宋体" w:hint="default"/>
                <w:sz w:val="21"/>
                <w:szCs w:val="21"/>
              </w:rPr>
              <w:t>《财政部关于修订印发</w:t>
            </w:r>
            <w:r>
              <w:rPr>
                <w:rFonts w:ascii="宋体" w:hAnsi="宋体" w:cs="宋体" w:eastAsia="宋体" w:hint="default"/>
                <w:spacing w:val="-68"/>
                <w:sz w:val="21"/>
                <w:szCs w:val="21"/>
              </w:rPr>
              <w:t> </w:t>
            </w:r>
            <w:r>
              <w:rPr>
                <w:rFonts w:ascii="宋体" w:hAnsi="宋体" w:cs="宋体" w:eastAsia="宋体" w:hint="default"/>
                <w:sz w:val="21"/>
                <w:szCs w:val="21"/>
              </w:rPr>
              <w:t>2018</w:t>
            </w:r>
            <w:r>
              <w:rPr>
                <w:rFonts w:ascii="宋体" w:hAnsi="宋体" w:cs="宋体" w:eastAsia="宋体" w:hint="default"/>
                <w:spacing w:val="-68"/>
                <w:sz w:val="21"/>
                <w:szCs w:val="21"/>
              </w:rPr>
              <w:t> </w:t>
            </w:r>
            <w:r>
              <w:rPr>
                <w:rFonts w:ascii="宋体" w:hAnsi="宋体" w:cs="宋体" w:eastAsia="宋体" w:hint="default"/>
                <w:sz w:val="21"/>
                <w:szCs w:val="21"/>
              </w:rPr>
              <w:t>年度一般</w:t>
            </w:r>
            <w:r>
              <w:rPr>
                <w:rFonts w:ascii="宋体" w:hAnsi="宋体" w:cs="宋体" w:eastAsia="宋体" w:hint="default"/>
                <w:w w:val="100"/>
                <w:sz w:val="21"/>
                <w:szCs w:val="21"/>
              </w:rPr>
              <w:t> </w:t>
            </w:r>
            <w:r>
              <w:rPr>
                <w:rFonts w:ascii="宋体" w:hAnsi="宋体" w:cs="宋体" w:eastAsia="宋体" w:hint="default"/>
                <w:sz w:val="21"/>
                <w:szCs w:val="21"/>
              </w:rPr>
              <w:t>企业财务报表格式的通知》</w:t>
            </w:r>
            <w:r>
              <w:rPr>
                <w:rFonts w:ascii="宋体" w:hAnsi="宋体" w:cs="宋体" w:eastAsia="宋体" w:hint="default"/>
                <w:sz w:val="21"/>
                <w:szCs w:val="21"/>
              </w:rPr>
              <w:t>(</w:t>
            </w:r>
            <w:r>
              <w:rPr>
                <w:rFonts w:ascii="宋体" w:hAnsi="宋体" w:cs="宋体" w:eastAsia="宋体" w:hint="default"/>
                <w:sz w:val="21"/>
                <w:szCs w:val="21"/>
              </w:rPr>
              <w:t>财会</w:t>
            </w:r>
          </w:p>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2018</w:t>
            </w:r>
            <w:r>
              <w:rPr>
                <w:rFonts w:ascii="宋体" w:hAnsi="宋体" w:cs="宋体" w:eastAsia="宋体" w:hint="default"/>
                <w:sz w:val="21"/>
                <w:szCs w:val="21"/>
              </w:rPr>
              <w:t>〕</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，在资产负债表中将</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 </w:t>
            </w:r>
            <w:r>
              <w:rPr>
                <w:rFonts w:ascii="宋体" w:hAnsi="宋体" w:cs="宋体" w:eastAsia="宋体" w:hint="default"/>
                <w:sz w:val="21"/>
                <w:szCs w:val="21"/>
              </w:rPr>
              <w:t>10 </w:t>
            </w:r>
            <w:r>
              <w:rPr>
                <w:rFonts w:ascii="宋体" w:hAnsi="宋体" w:cs="宋体" w:eastAsia="宋体" w:hint="default"/>
                <w:sz w:val="21"/>
                <w:szCs w:val="21"/>
              </w:rPr>
              <w:t>月 </w:t>
            </w:r>
            <w:r>
              <w:rPr>
                <w:rFonts w:ascii="宋体" w:hAnsi="宋体" w:cs="宋体" w:eastAsia="宋体" w:hint="default"/>
                <w:sz w:val="21"/>
                <w:szCs w:val="21"/>
              </w:rPr>
              <w:t>29 </w:t>
            </w:r>
            <w:r>
              <w:rPr>
                <w:rFonts w:ascii="宋体" w:hAnsi="宋体" w:cs="宋体" w:eastAsia="宋体" w:hint="default"/>
                <w:sz w:val="21"/>
                <w:szCs w:val="21"/>
              </w:rPr>
              <w:t>日</w:t>
            </w:r>
          </w:p>
          <w:p>
            <w:pPr>
              <w:pStyle w:val="TableParagraph"/>
              <w:spacing w:line="237" w:lineRule="auto" w:before="2"/>
              <w:ind w:left="100" w:right="125"/>
              <w:jc w:val="both"/>
              <w:rPr>
                <w:rFonts w:ascii="宋体" w:hAnsi="宋体" w:cs="宋体" w:eastAsia="宋体" w:hint="default"/>
                <w:sz w:val="21"/>
                <w:szCs w:val="21"/>
              </w:rPr>
            </w:pPr>
            <w:r>
              <w:rPr>
                <w:rFonts w:ascii="宋体" w:hAnsi="宋体" w:cs="宋体" w:eastAsia="宋体" w:hint="default"/>
                <w:spacing w:val="-2"/>
                <w:sz w:val="21"/>
                <w:szCs w:val="21"/>
              </w:rPr>
              <w:t>公司第五届董事会第七次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会议及第五届监事会第六</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次会议，审议通过了《关</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于公司会计政策变更的议</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案》，同意公司实施会计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政策变更。</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对本集团</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w:t>
            </w:r>
          </w:p>
          <w:p>
            <w:pPr>
              <w:pStyle w:val="TableParagraph"/>
              <w:spacing w:line="357" w:lineRule="auto" w:before="133"/>
              <w:ind w:left="103" w:right="98"/>
              <w:jc w:val="both"/>
              <w:rPr>
                <w:rFonts w:ascii="宋体" w:hAnsi="宋体" w:cs="宋体" w:eastAsia="宋体" w:hint="default"/>
                <w:sz w:val="21"/>
                <w:szCs w:val="21"/>
              </w:rPr>
            </w:pPr>
            <w:r>
              <w:rPr>
                <w:rFonts w:ascii="宋体" w:hAnsi="宋体" w:cs="宋体" w:eastAsia="宋体" w:hint="default"/>
                <w:sz w:val="21"/>
                <w:szCs w:val="21"/>
              </w:rPr>
              <w:t>和</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日的财务</w:t>
            </w:r>
            <w:r>
              <w:rPr>
                <w:rFonts w:ascii="宋体" w:hAnsi="宋体" w:cs="宋体" w:eastAsia="宋体" w:hint="default"/>
                <w:w w:val="100"/>
                <w:sz w:val="21"/>
                <w:szCs w:val="21"/>
              </w:rPr>
              <w:t> </w:t>
            </w:r>
            <w:r>
              <w:rPr>
                <w:rFonts w:ascii="宋体" w:hAnsi="宋体" w:cs="宋体" w:eastAsia="宋体" w:hint="default"/>
                <w:spacing w:val="-10"/>
                <w:w w:val="100"/>
                <w:sz w:val="21"/>
                <w:szCs w:val="21"/>
              </w:rPr>
              <w:t>报表的影响为：其他应收款分</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别增加人民币</w:t>
            </w:r>
            <w:r>
              <w:rPr>
                <w:rFonts w:ascii="宋体" w:hAnsi="宋体" w:cs="宋体" w:eastAsia="宋体" w:hint="default"/>
                <w:spacing w:val="-53"/>
                <w:sz w:val="21"/>
                <w:szCs w:val="21"/>
              </w:rPr>
              <w:t> </w:t>
            </w:r>
            <w:r>
              <w:rPr>
                <w:rFonts w:ascii="宋体" w:hAnsi="宋体" w:cs="宋体" w:eastAsia="宋体" w:hint="default"/>
                <w:sz w:val="21"/>
                <w:szCs w:val="21"/>
              </w:rPr>
              <w:t>267,891</w:t>
            </w:r>
            <w:r>
              <w:rPr>
                <w:rFonts w:ascii="宋体" w:hAnsi="宋体" w:cs="宋体" w:eastAsia="宋体" w:hint="default"/>
                <w:spacing w:val="-52"/>
                <w:sz w:val="21"/>
                <w:szCs w:val="21"/>
              </w:rPr>
              <w:t> </w:t>
            </w:r>
            <w:r>
              <w:rPr>
                <w:rFonts w:ascii="宋体" w:hAnsi="宋体" w:cs="宋体" w:eastAsia="宋体" w:hint="default"/>
                <w:spacing w:val="-3"/>
                <w:sz w:val="21"/>
                <w:szCs w:val="21"/>
              </w:rPr>
              <w:t>千元</w:t>
            </w:r>
            <w:r>
              <w:rPr>
                <w:rFonts w:ascii="宋体" w:hAnsi="宋体" w:cs="宋体" w:eastAsia="宋体" w:hint="default"/>
                <w:sz w:val="21"/>
                <w:szCs w:val="21"/>
              </w:rPr>
            </w:r>
          </w:p>
        </w:tc>
      </w:tr>
    </w:tbl>
    <w:p>
      <w:pPr>
        <w:spacing w:after="0" w:line="357" w:lineRule="auto"/>
        <w:jc w:val="both"/>
        <w:rPr>
          <w:rFonts w:ascii="宋体" w:hAnsi="宋体" w:cs="宋体" w:eastAsia="宋体" w:hint="default"/>
          <w:sz w:val="21"/>
          <w:szCs w:val="21"/>
        </w:rPr>
        <w:sectPr>
          <w:pgSz w:w="11910" w:h="16840"/>
          <w:pgMar w:header="857" w:footer="1217" w:top="1320" w:bottom="1400" w:left="1060" w:right="1560"/>
        </w:sectPr>
      </w:pP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3654"/>
        <w:gridCol w:w="2552"/>
        <w:gridCol w:w="2845"/>
      </w:tblGrid>
      <w:tr>
        <w:trPr>
          <w:trHeight w:val="555"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59"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47"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名称和金额</w:t>
            </w:r>
            <w:r>
              <w:rPr>
                <w:rFonts w:ascii="宋体" w:hAnsi="宋体" w:cs="宋体" w:eastAsia="宋体" w:hint="default"/>
                <w:sz w:val="21"/>
                <w:szCs w:val="21"/>
              </w:rPr>
              <w:t>)</w:t>
            </w:r>
          </w:p>
        </w:tc>
      </w:tr>
      <w:tr>
        <w:trPr>
          <w:trHeight w:val="164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“应收利息”项目并入“其他应收</w:t>
            </w:r>
          </w:p>
          <w:p>
            <w:pPr>
              <w:pStyle w:val="TableParagraph"/>
              <w:spacing w:line="355" w:lineRule="auto" w:before="135"/>
              <w:ind w:left="103" w:right="173"/>
              <w:jc w:val="left"/>
              <w:rPr>
                <w:rFonts w:ascii="宋体" w:hAnsi="宋体" w:cs="宋体" w:eastAsia="宋体" w:hint="default"/>
                <w:sz w:val="21"/>
                <w:szCs w:val="21"/>
              </w:rPr>
            </w:pPr>
            <w:r>
              <w:rPr>
                <w:rFonts w:ascii="宋体" w:hAnsi="宋体" w:cs="宋体" w:eastAsia="宋体" w:hint="default"/>
                <w:sz w:val="21"/>
                <w:szCs w:val="21"/>
              </w:rPr>
              <w:t>款”项目列报。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本集团采用追溯调整法对可比年度财</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务报表进行调整。</w:t>
            </w:r>
          </w:p>
        </w:tc>
        <w:tc>
          <w:tcPr>
            <w:tcW w:w="2552"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spacing w:val="-54"/>
                <w:sz w:val="21"/>
                <w:szCs w:val="21"/>
              </w:rPr>
              <w:t> </w:t>
            </w:r>
            <w:r>
              <w:rPr>
                <w:rFonts w:ascii="宋体" w:hAnsi="宋体" w:cs="宋体" w:eastAsia="宋体" w:hint="default"/>
                <w:sz w:val="21"/>
                <w:szCs w:val="21"/>
              </w:rPr>
              <w:t>52,064</w:t>
            </w:r>
            <w:r>
              <w:rPr>
                <w:rFonts w:ascii="宋体" w:hAnsi="宋体" w:cs="宋体" w:eastAsia="宋体" w:hint="default"/>
                <w:spacing w:val="-56"/>
                <w:sz w:val="21"/>
                <w:szCs w:val="21"/>
              </w:rPr>
              <w:t> </w:t>
            </w:r>
            <w:r>
              <w:rPr>
                <w:rFonts w:ascii="宋体" w:hAnsi="宋体" w:cs="宋体" w:eastAsia="宋体" w:hint="default"/>
                <w:sz w:val="21"/>
                <w:szCs w:val="21"/>
              </w:rPr>
              <w:t>千元，不再单独列</w:t>
            </w:r>
          </w:p>
          <w:p>
            <w:pPr>
              <w:pStyle w:val="TableParagraph"/>
              <w:spacing w:line="240" w:lineRule="auto" w:before="135"/>
              <w:ind w:left="103" w:right="0"/>
              <w:jc w:val="left"/>
              <w:rPr>
                <w:rFonts w:ascii="宋体" w:hAnsi="宋体" w:cs="宋体" w:eastAsia="宋体" w:hint="default"/>
                <w:sz w:val="21"/>
                <w:szCs w:val="21"/>
              </w:rPr>
            </w:pPr>
            <w:r>
              <w:rPr>
                <w:rFonts w:ascii="宋体" w:hAnsi="宋体" w:cs="宋体" w:eastAsia="宋体" w:hint="default"/>
                <w:sz w:val="21"/>
                <w:szCs w:val="21"/>
              </w:rPr>
              <w:t>报应收利息项目。</w:t>
            </w:r>
          </w:p>
        </w:tc>
      </w:tr>
      <w:tr>
        <w:trPr>
          <w:trHeight w:val="491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根据财政部</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日颁布的</w:t>
            </w:r>
          </w:p>
          <w:p>
            <w:pPr>
              <w:pStyle w:val="TableParagraph"/>
              <w:spacing w:line="355" w:lineRule="auto" w:before="135"/>
              <w:ind w:left="103" w:right="98"/>
              <w:jc w:val="left"/>
              <w:rPr>
                <w:rFonts w:ascii="宋体" w:hAnsi="宋体" w:cs="宋体" w:eastAsia="宋体" w:hint="default"/>
                <w:sz w:val="21"/>
                <w:szCs w:val="21"/>
              </w:rPr>
            </w:pPr>
            <w:r>
              <w:rPr>
                <w:rFonts w:ascii="宋体" w:hAnsi="宋体" w:cs="宋体" w:eastAsia="宋体" w:hint="default"/>
                <w:sz w:val="21"/>
                <w:szCs w:val="21"/>
              </w:rPr>
              <w:t>《财政部关于修订印发</w:t>
            </w:r>
            <w:r>
              <w:rPr>
                <w:rFonts w:ascii="宋体" w:hAnsi="宋体" w:cs="宋体" w:eastAsia="宋体" w:hint="default"/>
                <w:spacing w:val="-68"/>
                <w:sz w:val="21"/>
                <w:szCs w:val="21"/>
              </w:rPr>
              <w:t> </w:t>
            </w:r>
            <w:r>
              <w:rPr>
                <w:rFonts w:ascii="宋体" w:hAnsi="宋体" w:cs="宋体" w:eastAsia="宋体" w:hint="default"/>
                <w:sz w:val="21"/>
                <w:szCs w:val="21"/>
              </w:rPr>
              <w:t>2018</w:t>
            </w:r>
            <w:r>
              <w:rPr>
                <w:rFonts w:ascii="宋体" w:hAnsi="宋体" w:cs="宋体" w:eastAsia="宋体" w:hint="default"/>
                <w:spacing w:val="-68"/>
                <w:sz w:val="21"/>
                <w:szCs w:val="21"/>
              </w:rPr>
              <w:t> </w:t>
            </w:r>
            <w:r>
              <w:rPr>
                <w:rFonts w:ascii="宋体" w:hAnsi="宋体" w:cs="宋体" w:eastAsia="宋体" w:hint="default"/>
                <w:sz w:val="21"/>
                <w:szCs w:val="21"/>
              </w:rPr>
              <w:t>年度一般</w:t>
            </w:r>
            <w:r>
              <w:rPr>
                <w:rFonts w:ascii="宋体" w:hAnsi="宋体" w:cs="宋体" w:eastAsia="宋体" w:hint="default"/>
                <w:w w:val="100"/>
                <w:sz w:val="21"/>
                <w:szCs w:val="21"/>
              </w:rPr>
              <w:t> </w:t>
            </w:r>
            <w:r>
              <w:rPr>
                <w:rFonts w:ascii="宋体" w:hAnsi="宋体" w:cs="宋体" w:eastAsia="宋体" w:hint="default"/>
                <w:sz w:val="21"/>
                <w:szCs w:val="21"/>
              </w:rPr>
              <w:t>企业财务报表格式的通知》</w:t>
            </w:r>
            <w:r>
              <w:rPr>
                <w:rFonts w:ascii="宋体" w:hAnsi="宋体" w:cs="宋体" w:eastAsia="宋体" w:hint="default"/>
                <w:sz w:val="21"/>
                <w:szCs w:val="21"/>
              </w:rPr>
              <w:t>(</w:t>
            </w:r>
            <w:r>
              <w:rPr>
                <w:rFonts w:ascii="宋体" w:hAnsi="宋体" w:cs="宋体" w:eastAsia="宋体" w:hint="default"/>
                <w:sz w:val="21"/>
                <w:szCs w:val="21"/>
              </w:rPr>
              <w:t>财会</w:t>
            </w:r>
          </w:p>
          <w:p>
            <w:pPr>
              <w:pStyle w:val="TableParagraph"/>
              <w:spacing w:line="357" w:lineRule="auto" w:before="33"/>
              <w:ind w:left="103" w:right="98"/>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宋体" w:hAnsi="宋体" w:cs="宋体" w:eastAsia="宋体" w:hint="default"/>
                <w:spacing w:val="-6"/>
                <w:sz w:val="21"/>
                <w:szCs w:val="21"/>
              </w:rPr>
              <w:t>2018</w:t>
            </w:r>
            <w:r>
              <w:rPr>
                <w:rFonts w:ascii="宋体" w:hAnsi="宋体" w:cs="宋体" w:eastAsia="宋体" w:hint="default"/>
                <w:spacing w:val="-6"/>
                <w:sz w:val="21"/>
                <w:szCs w:val="21"/>
              </w:rPr>
              <w:t>〕</w:t>
            </w:r>
            <w:r>
              <w:rPr>
                <w:rFonts w:ascii="宋体" w:hAnsi="宋体" w:cs="宋体" w:eastAsia="宋体" w:hint="default"/>
                <w:spacing w:val="-6"/>
                <w:sz w:val="21"/>
                <w:szCs w:val="21"/>
              </w:rPr>
              <w:t>15</w:t>
            </w:r>
            <w:r>
              <w:rPr>
                <w:rFonts w:ascii="宋体" w:hAnsi="宋体" w:cs="宋体" w:eastAsia="宋体" w:hint="default"/>
                <w:spacing w:val="-35"/>
                <w:sz w:val="21"/>
                <w:szCs w:val="21"/>
              </w:rPr>
              <w:t> </w:t>
            </w:r>
            <w:r>
              <w:rPr>
                <w:rFonts w:ascii="宋体" w:hAnsi="宋体" w:cs="宋体" w:eastAsia="宋体" w:hint="default"/>
                <w:spacing w:val="-5"/>
                <w:sz w:val="21"/>
                <w:szCs w:val="21"/>
              </w:rPr>
              <w:t>号</w:t>
            </w:r>
            <w:r>
              <w:rPr>
                <w:rFonts w:ascii="宋体" w:hAnsi="宋体" w:cs="宋体" w:eastAsia="宋体" w:hint="default"/>
                <w:spacing w:val="-5"/>
                <w:sz w:val="21"/>
                <w:szCs w:val="21"/>
              </w:rPr>
              <w:t>)</w:t>
            </w:r>
            <w:r>
              <w:rPr>
                <w:rFonts w:ascii="宋体" w:hAnsi="宋体" w:cs="宋体" w:eastAsia="宋体" w:hint="default"/>
                <w:spacing w:val="-5"/>
                <w:sz w:val="21"/>
                <w:szCs w:val="21"/>
              </w:rPr>
              <w:t>，从“管理费用”项目</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中分拆“研发费用”项目，在利润表</w:t>
            </w:r>
            <w:r>
              <w:rPr>
                <w:rFonts w:ascii="宋体" w:hAnsi="宋体" w:cs="宋体" w:eastAsia="宋体" w:hint="default"/>
                <w:w w:val="100"/>
                <w:sz w:val="21"/>
                <w:szCs w:val="21"/>
              </w:rPr>
              <w:t> </w:t>
            </w:r>
            <w:r>
              <w:rPr>
                <w:rFonts w:ascii="宋体" w:hAnsi="宋体" w:cs="宋体" w:eastAsia="宋体" w:hint="default"/>
                <w:sz w:val="21"/>
                <w:szCs w:val="21"/>
              </w:rPr>
              <w:t>中新增“研发费用”项目；在利润表</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pacing w:val="-3"/>
                <w:sz w:val="21"/>
                <w:szCs w:val="21"/>
              </w:rPr>
              <w:t> </w:t>
            </w:r>
            <w:r>
              <w:rPr>
                <w:rFonts w:ascii="宋体" w:hAnsi="宋体" w:cs="宋体" w:eastAsia="宋体" w:hint="default"/>
                <w:sz w:val="21"/>
                <w:szCs w:val="21"/>
              </w:rPr>
              <w:t>“财务费用”项目下增加“利息</w:t>
            </w:r>
            <w:r>
              <w:rPr>
                <w:rFonts w:ascii="宋体" w:hAnsi="宋体" w:cs="宋体" w:eastAsia="宋体" w:hint="default"/>
                <w:spacing w:val="-3"/>
                <w:w w:val="100"/>
                <w:sz w:val="21"/>
                <w:szCs w:val="21"/>
              </w:rPr>
              <w:t> </w:t>
            </w:r>
            <w:r>
              <w:rPr>
                <w:rFonts w:ascii="宋体" w:hAnsi="宋体" w:cs="宋体" w:eastAsia="宋体" w:hint="default"/>
                <w:sz w:val="21"/>
                <w:szCs w:val="21"/>
              </w:rPr>
              <w:t>费用”和“利息收入”明细项目。</w:t>
            </w:r>
            <w:r>
              <w:rPr>
                <w:rFonts w:ascii="宋体" w:hAnsi="宋体" w:cs="宋体" w:eastAsia="宋体" w:hint="default"/>
                <w:w w:val="100"/>
                <w:sz w:val="21"/>
                <w:szCs w:val="21"/>
              </w:rPr>
              <w:t> </w:t>
            </w:r>
            <w:r>
              <w:rPr>
                <w:rFonts w:ascii="宋体" w:hAnsi="宋体" w:cs="宋体" w:eastAsia="宋体" w:hint="default"/>
                <w:sz w:val="21"/>
                <w:szCs w:val="21"/>
              </w:rPr>
              <w:t>本集团采用追溯调整法对可比年度财</w:t>
            </w:r>
            <w:r>
              <w:rPr>
                <w:rFonts w:ascii="宋体" w:hAnsi="宋体" w:cs="宋体" w:eastAsia="宋体" w:hint="default"/>
                <w:w w:val="100"/>
                <w:sz w:val="21"/>
                <w:szCs w:val="21"/>
              </w:rPr>
              <w:t> </w:t>
            </w:r>
            <w:r>
              <w:rPr>
                <w:rFonts w:ascii="宋体" w:hAnsi="宋体" w:cs="宋体" w:eastAsia="宋体" w:hint="default"/>
                <w:sz w:val="21"/>
                <w:szCs w:val="21"/>
              </w:rPr>
              <w:t>务报表进行调整。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 </w:t>
            </w:r>
            <w:r>
              <w:rPr>
                <w:rFonts w:ascii="宋体" w:hAnsi="宋体" w:cs="宋体" w:eastAsia="宋体" w:hint="default"/>
                <w:sz w:val="21"/>
                <w:szCs w:val="21"/>
              </w:rPr>
              <w:t>10 </w:t>
            </w:r>
            <w:r>
              <w:rPr>
                <w:rFonts w:ascii="宋体" w:hAnsi="宋体" w:cs="宋体" w:eastAsia="宋体" w:hint="default"/>
                <w:sz w:val="21"/>
                <w:szCs w:val="21"/>
              </w:rPr>
              <w:t>月 </w:t>
            </w:r>
            <w:r>
              <w:rPr>
                <w:rFonts w:ascii="宋体" w:hAnsi="宋体" w:cs="宋体" w:eastAsia="宋体" w:hint="default"/>
                <w:sz w:val="21"/>
                <w:szCs w:val="21"/>
              </w:rPr>
              <w:t>29 </w:t>
            </w:r>
            <w:r>
              <w:rPr>
                <w:rFonts w:ascii="宋体" w:hAnsi="宋体" w:cs="宋体" w:eastAsia="宋体" w:hint="default"/>
                <w:sz w:val="21"/>
                <w:szCs w:val="21"/>
              </w:rPr>
              <w:t>日</w:t>
            </w:r>
          </w:p>
          <w:p>
            <w:pPr>
              <w:pStyle w:val="TableParagraph"/>
              <w:spacing w:line="237" w:lineRule="auto" w:before="2"/>
              <w:ind w:left="100" w:right="125"/>
              <w:jc w:val="both"/>
              <w:rPr>
                <w:rFonts w:ascii="宋体" w:hAnsi="宋体" w:cs="宋体" w:eastAsia="宋体" w:hint="default"/>
                <w:sz w:val="21"/>
                <w:szCs w:val="21"/>
              </w:rPr>
            </w:pPr>
            <w:r>
              <w:rPr>
                <w:rFonts w:ascii="宋体" w:hAnsi="宋体" w:cs="宋体" w:eastAsia="宋体" w:hint="default"/>
                <w:spacing w:val="-2"/>
                <w:sz w:val="21"/>
                <w:szCs w:val="21"/>
              </w:rPr>
              <w:t>公司第五届董事会第七次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会议及第五届监事会第六</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次会议，审议通过了《关</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于公司会计政策变更的议</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案》，同意公司实施会计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政策变更。</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对本集团</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年度和</w:t>
            </w:r>
            <w:r>
              <w:rPr>
                <w:rFonts w:ascii="宋体" w:hAnsi="宋体" w:cs="宋体" w:eastAsia="宋体" w:hint="default"/>
                <w:spacing w:val="-53"/>
                <w:sz w:val="21"/>
                <w:szCs w:val="21"/>
              </w:rPr>
              <w:t> </w:t>
            </w:r>
            <w:r>
              <w:rPr>
                <w:rFonts w:ascii="宋体" w:hAnsi="宋体" w:cs="宋体" w:eastAsia="宋体" w:hint="default"/>
                <w:sz w:val="21"/>
                <w:szCs w:val="21"/>
              </w:rPr>
              <w:t>2017</w:t>
            </w:r>
          </w:p>
          <w:p>
            <w:pPr>
              <w:pStyle w:val="TableParagraph"/>
              <w:spacing w:line="357" w:lineRule="auto" w:before="135"/>
              <w:ind w:left="103" w:right="98"/>
              <w:jc w:val="left"/>
              <w:rPr>
                <w:rFonts w:ascii="宋体" w:hAnsi="宋体" w:cs="宋体" w:eastAsia="宋体" w:hint="default"/>
                <w:sz w:val="21"/>
                <w:szCs w:val="21"/>
              </w:rPr>
            </w:pPr>
            <w:r>
              <w:rPr>
                <w:rFonts w:ascii="宋体" w:hAnsi="宋体" w:cs="宋体" w:eastAsia="宋体" w:hint="default"/>
                <w:spacing w:val="-10"/>
                <w:w w:val="100"/>
                <w:sz w:val="21"/>
                <w:szCs w:val="21"/>
              </w:rPr>
              <w:t>年度财务报表的影响为：管理</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费用分别减少人民币</w:t>
            </w:r>
            <w:r>
              <w:rPr>
                <w:rFonts w:ascii="宋体" w:hAnsi="宋体" w:cs="宋体" w:eastAsia="宋体" w:hint="default"/>
                <w:w w:val="100"/>
                <w:sz w:val="21"/>
                <w:szCs w:val="21"/>
              </w:rPr>
              <w:t> </w:t>
            </w:r>
            <w:r>
              <w:rPr>
                <w:rFonts w:ascii="宋体" w:hAnsi="宋体" w:cs="宋体" w:eastAsia="宋体" w:hint="default"/>
                <w:sz w:val="21"/>
                <w:szCs w:val="21"/>
              </w:rPr>
              <w:t>2,546,310</w:t>
            </w:r>
            <w:r>
              <w:rPr>
                <w:rFonts w:ascii="宋体" w:hAnsi="宋体" w:cs="宋体" w:eastAsia="宋体" w:hint="default"/>
                <w:spacing w:val="-56"/>
                <w:sz w:val="21"/>
                <w:szCs w:val="21"/>
              </w:rPr>
              <w:t> </w:t>
            </w:r>
            <w:r>
              <w:rPr>
                <w:rFonts w:ascii="宋体" w:hAnsi="宋体" w:cs="宋体" w:eastAsia="宋体" w:hint="default"/>
                <w:sz w:val="21"/>
                <w:szCs w:val="21"/>
              </w:rPr>
              <w:t>千元及</w:t>
            </w:r>
            <w:r>
              <w:rPr>
                <w:rFonts w:ascii="宋体" w:hAnsi="宋体" w:cs="宋体" w:eastAsia="宋体" w:hint="default"/>
                <w:spacing w:val="-53"/>
                <w:sz w:val="21"/>
                <w:szCs w:val="21"/>
              </w:rPr>
              <w:t> </w:t>
            </w:r>
            <w:r>
              <w:rPr>
                <w:rFonts w:ascii="宋体" w:hAnsi="宋体" w:cs="宋体" w:eastAsia="宋体" w:hint="default"/>
                <w:sz w:val="21"/>
                <w:szCs w:val="21"/>
              </w:rPr>
              <w:t>2,417,482</w:t>
            </w:r>
          </w:p>
          <w:p>
            <w:pPr>
              <w:pStyle w:val="TableParagraph"/>
              <w:spacing w:line="355" w:lineRule="auto" w:before="30"/>
              <w:ind w:left="103" w:right="98"/>
              <w:jc w:val="left"/>
              <w:rPr>
                <w:rFonts w:ascii="宋体" w:hAnsi="宋体" w:cs="宋体" w:eastAsia="宋体" w:hint="default"/>
                <w:sz w:val="21"/>
                <w:szCs w:val="21"/>
              </w:rPr>
            </w:pPr>
            <w:r>
              <w:rPr>
                <w:rFonts w:ascii="宋体" w:hAnsi="宋体" w:cs="宋体" w:eastAsia="宋体" w:hint="default"/>
                <w:spacing w:val="-10"/>
                <w:w w:val="100"/>
                <w:sz w:val="21"/>
                <w:szCs w:val="21"/>
              </w:rPr>
              <w:t>千元，研发费用分别增加人民</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币</w:t>
            </w:r>
            <w:r>
              <w:rPr>
                <w:rFonts w:ascii="宋体" w:hAnsi="宋体" w:cs="宋体" w:eastAsia="宋体" w:hint="default"/>
                <w:spacing w:val="-53"/>
                <w:sz w:val="21"/>
                <w:szCs w:val="21"/>
              </w:rPr>
              <w:t> </w:t>
            </w:r>
            <w:r>
              <w:rPr>
                <w:rFonts w:ascii="宋体" w:hAnsi="宋体" w:cs="宋体" w:eastAsia="宋体" w:hint="default"/>
                <w:sz w:val="21"/>
                <w:szCs w:val="21"/>
              </w:rPr>
              <w:t>2,546,310</w:t>
            </w:r>
            <w:r>
              <w:rPr>
                <w:rFonts w:ascii="宋体" w:hAnsi="宋体" w:cs="宋体" w:eastAsia="宋体" w:hint="default"/>
                <w:spacing w:val="-53"/>
                <w:sz w:val="21"/>
                <w:szCs w:val="21"/>
              </w:rPr>
              <w:t> </w:t>
            </w:r>
            <w:r>
              <w:rPr>
                <w:rFonts w:ascii="宋体" w:hAnsi="宋体" w:cs="宋体" w:eastAsia="宋体" w:hint="default"/>
                <w:sz w:val="21"/>
                <w:szCs w:val="21"/>
              </w:rPr>
              <w:t>千元及</w:t>
            </w:r>
          </w:p>
          <w:p>
            <w:pPr>
              <w:pStyle w:val="TableParagraph"/>
              <w:spacing w:line="355" w:lineRule="auto" w:before="34"/>
              <w:ind w:left="103" w:right="99"/>
              <w:jc w:val="left"/>
              <w:rPr>
                <w:rFonts w:ascii="宋体" w:hAnsi="宋体" w:cs="宋体" w:eastAsia="宋体" w:hint="default"/>
                <w:sz w:val="21"/>
                <w:szCs w:val="21"/>
              </w:rPr>
            </w:pPr>
            <w:r>
              <w:rPr>
                <w:rFonts w:ascii="宋体" w:hAnsi="宋体" w:cs="宋体" w:eastAsia="宋体" w:hint="default"/>
                <w:sz w:val="21"/>
                <w:szCs w:val="21"/>
              </w:rPr>
              <w:t>2,417,482</w:t>
            </w:r>
            <w:r>
              <w:rPr>
                <w:rFonts w:ascii="宋体" w:hAnsi="宋体" w:cs="宋体" w:eastAsia="宋体" w:hint="default"/>
                <w:spacing w:val="-43"/>
                <w:sz w:val="21"/>
                <w:szCs w:val="21"/>
              </w:rPr>
              <w:t> </w:t>
            </w:r>
            <w:r>
              <w:rPr>
                <w:rFonts w:ascii="宋体" w:hAnsi="宋体" w:cs="宋体" w:eastAsia="宋体" w:hint="default"/>
                <w:spacing w:val="-8"/>
                <w:sz w:val="21"/>
                <w:szCs w:val="21"/>
              </w:rPr>
              <w:t>千元；财务费用项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目下增加的明细项目利息费</w:t>
            </w:r>
            <w:r>
              <w:rPr>
                <w:rFonts w:ascii="宋体" w:hAnsi="宋体" w:cs="宋体" w:eastAsia="宋体" w:hint="default"/>
                <w:w w:val="100"/>
                <w:sz w:val="21"/>
                <w:szCs w:val="21"/>
              </w:rPr>
              <w:t> </w:t>
            </w:r>
            <w:r>
              <w:rPr>
                <w:rFonts w:ascii="宋体" w:hAnsi="宋体" w:cs="宋体" w:eastAsia="宋体" w:hint="default"/>
                <w:sz w:val="21"/>
                <w:szCs w:val="21"/>
              </w:rPr>
              <w:t>用分别为人民币</w:t>
            </w:r>
            <w:r>
              <w:rPr>
                <w:rFonts w:ascii="宋体" w:hAnsi="宋体" w:cs="宋体" w:eastAsia="宋体" w:hint="default"/>
                <w:spacing w:val="-52"/>
                <w:sz w:val="21"/>
                <w:szCs w:val="21"/>
              </w:rPr>
              <w:t> </w:t>
            </w:r>
            <w:r>
              <w:rPr>
                <w:rFonts w:ascii="宋体" w:hAnsi="宋体" w:cs="宋体" w:eastAsia="宋体" w:hint="default"/>
                <w:sz w:val="21"/>
                <w:szCs w:val="21"/>
              </w:rPr>
              <w:t>1,179</w:t>
            </w:r>
            <w:r>
              <w:rPr>
                <w:rFonts w:ascii="宋体" w:hAnsi="宋体" w:cs="宋体" w:eastAsia="宋体" w:hint="default"/>
                <w:spacing w:val="-53"/>
                <w:sz w:val="21"/>
                <w:szCs w:val="21"/>
              </w:rPr>
              <w:t> </w:t>
            </w:r>
            <w:r>
              <w:rPr>
                <w:rFonts w:ascii="宋体" w:hAnsi="宋体" w:cs="宋体" w:eastAsia="宋体" w:hint="default"/>
                <w:spacing w:val="-3"/>
                <w:sz w:val="21"/>
                <w:szCs w:val="21"/>
              </w:rPr>
              <w:t>千元</w:t>
            </w:r>
            <w:r>
              <w:rPr>
                <w:rFonts w:ascii="宋体" w:hAnsi="宋体" w:cs="宋体" w:eastAsia="宋体" w:hint="default"/>
                <w:sz w:val="21"/>
                <w:szCs w:val="21"/>
              </w:rPr>
            </w:r>
          </w:p>
          <w:p>
            <w:pPr>
              <w:pStyle w:val="TableParagraph"/>
              <w:spacing w:line="240" w:lineRule="auto" w:before="32"/>
              <w:ind w:left="103" w:right="0"/>
              <w:jc w:val="left"/>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spacing w:val="-54"/>
                <w:sz w:val="21"/>
                <w:szCs w:val="21"/>
              </w:rPr>
              <w:t> </w:t>
            </w:r>
            <w:r>
              <w:rPr>
                <w:rFonts w:ascii="宋体" w:hAnsi="宋体" w:cs="宋体" w:eastAsia="宋体" w:hint="default"/>
                <w:sz w:val="21"/>
                <w:szCs w:val="21"/>
              </w:rPr>
              <w:t>78,707</w:t>
            </w:r>
            <w:r>
              <w:rPr>
                <w:rFonts w:ascii="宋体" w:hAnsi="宋体" w:cs="宋体" w:eastAsia="宋体" w:hint="default"/>
                <w:spacing w:val="-56"/>
                <w:sz w:val="21"/>
                <w:szCs w:val="21"/>
              </w:rPr>
              <w:t> </w:t>
            </w:r>
            <w:r>
              <w:rPr>
                <w:rFonts w:ascii="宋体" w:hAnsi="宋体" w:cs="宋体" w:eastAsia="宋体" w:hint="default"/>
                <w:sz w:val="21"/>
                <w:szCs w:val="21"/>
              </w:rPr>
              <w:t>千元，利息收入分</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别为人民币</w:t>
            </w:r>
            <w:r>
              <w:rPr>
                <w:rFonts w:ascii="宋体" w:hAnsi="宋体" w:cs="宋体" w:eastAsia="宋体" w:hint="default"/>
                <w:spacing w:val="-53"/>
                <w:sz w:val="21"/>
                <w:szCs w:val="21"/>
              </w:rPr>
              <w:t> </w:t>
            </w:r>
            <w:r>
              <w:rPr>
                <w:rFonts w:ascii="宋体" w:hAnsi="宋体" w:cs="宋体" w:eastAsia="宋体" w:hint="default"/>
                <w:sz w:val="21"/>
                <w:szCs w:val="21"/>
              </w:rPr>
              <w:t>344,438</w:t>
            </w:r>
            <w:r>
              <w:rPr>
                <w:rFonts w:ascii="宋体" w:hAnsi="宋体" w:cs="宋体" w:eastAsia="宋体" w:hint="default"/>
                <w:spacing w:val="-55"/>
                <w:sz w:val="21"/>
                <w:szCs w:val="21"/>
              </w:rPr>
              <w:t> </w:t>
            </w:r>
            <w:r>
              <w:rPr>
                <w:rFonts w:ascii="宋体" w:hAnsi="宋体" w:cs="宋体" w:eastAsia="宋体" w:hint="default"/>
                <w:sz w:val="21"/>
                <w:szCs w:val="21"/>
              </w:rPr>
              <w:t>千元及</w:t>
            </w:r>
          </w:p>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124,840</w:t>
            </w:r>
            <w:r>
              <w:rPr>
                <w:rFonts w:ascii="宋体" w:hAnsi="宋体" w:cs="宋体" w:eastAsia="宋体" w:hint="default"/>
                <w:spacing w:val="-52"/>
                <w:sz w:val="21"/>
                <w:szCs w:val="21"/>
              </w:rPr>
              <w:t> </w:t>
            </w:r>
            <w:r>
              <w:rPr>
                <w:rFonts w:ascii="宋体" w:hAnsi="宋体" w:cs="宋体" w:eastAsia="宋体" w:hint="default"/>
                <w:sz w:val="21"/>
                <w:szCs w:val="21"/>
              </w:rPr>
              <w:t>千元。</w:t>
            </w:r>
          </w:p>
        </w:tc>
      </w:tr>
    </w:tbl>
    <w:p>
      <w:pPr>
        <w:spacing w:line="240" w:lineRule="auto" w:before="7"/>
        <w:rPr>
          <w:rFonts w:ascii="宋体" w:hAnsi="宋体" w:cs="宋体" w:eastAsia="宋体" w:hint="default"/>
          <w:sz w:val="15"/>
          <w:szCs w:val="15"/>
        </w:rPr>
      </w:pPr>
    </w:p>
    <w:p>
      <w:pPr>
        <w:pStyle w:val="BodyText"/>
        <w:spacing w:line="272" w:lineRule="exact" w:before="64"/>
        <w:ind w:left="217" w:right="8209"/>
        <w:jc w:val="left"/>
      </w:pPr>
      <w:r>
        <w:rPr/>
        <w:t>其他说明</w:t>
      </w:r>
      <w:r>
        <w:rPr>
          <w:w w:val="100"/>
        </w:rPr>
        <w:t> </w:t>
      </w:r>
      <w:r>
        <w:rPr/>
        <w:t>无。</w:t>
      </w:r>
    </w:p>
    <w:p>
      <w:pPr>
        <w:spacing w:line="240" w:lineRule="auto" w:before="3"/>
        <w:rPr>
          <w:rFonts w:ascii="宋体" w:hAnsi="宋体" w:cs="宋体" w:eastAsia="宋体" w:hint="default"/>
          <w:sz w:val="26"/>
          <w:szCs w:val="26"/>
        </w:rPr>
      </w:pPr>
    </w:p>
    <w:p>
      <w:pPr>
        <w:pStyle w:val="Heading5"/>
        <w:spacing w:line="240" w:lineRule="auto"/>
        <w:ind w:left="217" w:right="234"/>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8"/>
        <w:ind w:left="217" w:right="234"/>
        <w:jc w:val="left"/>
      </w:pPr>
      <w:r>
        <w:rPr/>
        <w:t>□适用 √不适用</w:t>
      </w:r>
    </w:p>
    <w:p>
      <w:pPr>
        <w:spacing w:line="240" w:lineRule="auto" w:before="2"/>
        <w:rPr>
          <w:rFonts w:ascii="宋体" w:hAnsi="宋体" w:cs="宋体" w:eastAsia="宋体" w:hint="default"/>
          <w:sz w:val="28"/>
          <w:szCs w:val="28"/>
        </w:rPr>
      </w:pPr>
    </w:p>
    <w:p>
      <w:pPr>
        <w:pStyle w:val="Heading5"/>
        <w:spacing w:line="240" w:lineRule="auto"/>
        <w:ind w:left="217" w:right="234"/>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tabs>
          <w:tab w:pos="1059" w:val="left" w:leader="none"/>
        </w:tabs>
        <w:spacing w:line="240" w:lineRule="auto" w:before="56"/>
        <w:ind w:left="217" w:right="234"/>
        <w:jc w:val="left"/>
      </w:pPr>
      <w:r>
        <w:rPr/>
        <w:t>□适用</w:t>
        <w:tab/>
        <w:t>√不适用</w:t>
      </w:r>
    </w:p>
    <w:p>
      <w:pPr>
        <w:spacing w:line="240" w:lineRule="auto" w:before="3"/>
        <w:rPr>
          <w:rFonts w:ascii="宋体" w:hAnsi="宋体" w:cs="宋体" w:eastAsia="宋体" w:hint="default"/>
          <w:sz w:val="28"/>
          <w:szCs w:val="28"/>
        </w:rPr>
      </w:pPr>
    </w:p>
    <w:p>
      <w:pPr>
        <w:pStyle w:val="Heading5"/>
        <w:spacing w:line="240" w:lineRule="auto"/>
        <w:ind w:left="217" w:right="234"/>
        <w:jc w:val="left"/>
        <w:rPr>
          <w:b w:val="0"/>
          <w:bCs w:val="0"/>
        </w:rPr>
      </w:pPr>
      <w:r>
        <w:rPr/>
        <w:t>六、税项</w:t>
      </w:r>
      <w:r>
        <w:rPr>
          <w:b w:val="0"/>
          <w:bCs w:val="0"/>
        </w:rPr>
      </w:r>
    </w:p>
    <w:p>
      <w:pPr>
        <w:tabs>
          <w:tab w:pos="641" w:val="left" w:leader="none"/>
        </w:tabs>
        <w:spacing w:line="290" w:lineRule="auto" w:before="58"/>
        <w:ind w:left="217"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30" w:lineRule="exact"/>
        <w:ind w:left="217" w:right="234"/>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83"/>
        <w:gridCol w:w="3147"/>
        <w:gridCol w:w="3121"/>
      </w:tblGrid>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17%/16%/6%/3%</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应税广告及服务费收入</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应交流转税</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应交流转税</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应交流转税</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w:t>
            </w:r>
          </w:p>
        </w:tc>
      </w:tr>
      <w:tr>
        <w:trPr>
          <w:trHeight w:val="284"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0%-25%</w:t>
            </w:r>
          </w:p>
        </w:tc>
      </w:tr>
    </w:tbl>
    <w:p>
      <w:pPr>
        <w:spacing w:after="0" w:line="241" w:lineRule="exact"/>
        <w:jc w:val="right"/>
        <w:rPr>
          <w:rFonts w:ascii="宋体" w:hAnsi="宋体" w:cs="宋体" w:eastAsia="宋体" w:hint="default"/>
          <w:sz w:val="21"/>
          <w:szCs w:val="21"/>
        </w:rPr>
        <w:sectPr>
          <w:pgSz w:w="11910" w:h="16840"/>
          <w:pgMar w:header="857" w:footer="1217" w:top="1320" w:bottom="1400" w:left="1060" w:right="1560"/>
        </w:sectPr>
      </w:pPr>
    </w:p>
    <w:p>
      <w:pPr>
        <w:pStyle w:val="BodyText"/>
        <w:spacing w:line="355" w:lineRule="auto" w:before="72"/>
        <w:ind w:left="657" w:right="127"/>
        <w:jc w:val="left"/>
      </w:pPr>
      <w:r>
        <w:rPr/>
        <w:t>注</w:t>
      </w:r>
      <w:r>
        <w:rPr>
          <w:spacing w:val="-53"/>
        </w:rPr>
        <w:t> </w:t>
      </w:r>
      <w:r>
        <w:rPr>
          <w:rFonts w:ascii="宋体" w:hAnsi="宋体" w:cs="宋体" w:eastAsia="宋体" w:hint="default"/>
        </w:rPr>
        <w:t>1</w:t>
      </w:r>
      <w:r>
        <w:rPr/>
        <w:t>：</w:t>
      </w:r>
      <w:r>
        <w:rPr>
          <w:w w:val="100"/>
        </w:rPr>
        <w:t> </w:t>
      </w:r>
      <w:r>
        <w:rPr>
          <w:spacing w:val="-2"/>
        </w:rPr>
        <w:t>按税法规定计算的销售货物和应税服务为基础计算销项税额，抵扣当期允许抵扣的进项税额</w:t>
      </w:r>
    </w:p>
    <w:p>
      <w:pPr>
        <w:pStyle w:val="BodyText"/>
        <w:spacing w:line="357" w:lineRule="auto" w:before="32"/>
        <w:ind w:left="237" w:right="127"/>
        <w:jc w:val="left"/>
      </w:pPr>
      <w:r>
        <w:rPr>
          <w:spacing w:val="-2"/>
        </w:rPr>
        <w:t>后，差额部分为应交增值税。本集团亦有部分子公司按小规模纳税人征收增值税，不抵扣进项税</w:t>
      </w:r>
      <w:r>
        <w:rPr>
          <w:spacing w:val="-25"/>
        </w:rPr>
        <w:t> </w:t>
      </w:r>
      <w:r>
        <w:rPr>
          <w:spacing w:val="-25"/>
        </w:rPr>
      </w:r>
      <w:r>
        <w:rPr/>
        <w:t>额。</w:t>
      </w:r>
    </w:p>
    <w:p>
      <w:pPr>
        <w:pStyle w:val="BodyText"/>
        <w:spacing w:line="355" w:lineRule="auto" w:before="30"/>
        <w:ind w:left="237" w:right="127" w:firstLine="420"/>
        <w:jc w:val="left"/>
      </w:pPr>
      <w:r>
        <w:rPr>
          <w:spacing w:val="-4"/>
        </w:rPr>
        <w:t>根据《财政部税务总局关于调整增值税税率的通知》</w:t>
      </w:r>
      <w:r>
        <w:rPr>
          <w:rFonts w:ascii="宋体" w:hAnsi="宋体" w:cs="宋体" w:eastAsia="宋体" w:hint="default"/>
          <w:spacing w:val="-4"/>
        </w:rPr>
        <w:t>(</w:t>
      </w:r>
      <w:r>
        <w:rPr>
          <w:spacing w:val="-4"/>
        </w:rPr>
        <w:t>财税〔</w:t>
      </w:r>
      <w:r>
        <w:rPr>
          <w:rFonts w:ascii="宋体" w:hAnsi="宋体" w:cs="宋体" w:eastAsia="宋体" w:hint="default"/>
          <w:spacing w:val="-4"/>
        </w:rPr>
        <w:t>2018</w:t>
      </w:r>
      <w:r>
        <w:rPr>
          <w:spacing w:val="-4"/>
        </w:rPr>
        <w:t>〕</w:t>
      </w:r>
      <w:r>
        <w:rPr>
          <w:rFonts w:ascii="宋体" w:hAnsi="宋体" w:cs="宋体" w:eastAsia="宋体" w:hint="default"/>
          <w:spacing w:val="-4"/>
        </w:rPr>
        <w:t>32</w:t>
      </w:r>
      <w:r>
        <w:rPr>
          <w:rFonts w:ascii="宋体" w:hAnsi="宋体" w:cs="宋体" w:eastAsia="宋体" w:hint="default"/>
          <w:spacing w:val="-46"/>
        </w:rPr>
        <w:t> </w:t>
      </w:r>
      <w:r>
        <w:rPr>
          <w:spacing w:val="-6"/>
        </w:rPr>
        <w:t>号</w:t>
      </w:r>
      <w:r>
        <w:rPr>
          <w:rFonts w:ascii="宋体" w:hAnsi="宋体" w:cs="宋体" w:eastAsia="宋体" w:hint="default"/>
          <w:spacing w:val="-6"/>
        </w:rPr>
        <w:t>)</w:t>
      </w:r>
      <w:r>
        <w:rPr>
          <w:spacing w:val="-6"/>
        </w:rPr>
        <w:t>，自</w:t>
      </w:r>
      <w:r>
        <w:rPr>
          <w:spacing w:val="-43"/>
        </w:rPr>
        <w:t> </w:t>
      </w:r>
      <w:r>
        <w:rPr>
          <w:rFonts w:ascii="宋体" w:hAnsi="宋体" w:cs="宋体" w:eastAsia="宋体" w:hint="default"/>
        </w:rPr>
        <w:t>2018</w:t>
      </w:r>
      <w:r>
        <w:rPr>
          <w:rFonts w:ascii="宋体" w:hAnsi="宋体" w:cs="宋体" w:eastAsia="宋体" w:hint="default"/>
          <w:spacing w:val="-42"/>
        </w:rPr>
        <w:t> </w:t>
      </w:r>
      <w:r>
        <w:rPr/>
        <w:t>年</w:t>
      </w:r>
      <w:r>
        <w:rPr>
          <w:spacing w:val="-46"/>
        </w:rPr>
        <w:t> </w:t>
      </w:r>
      <w:r>
        <w:rPr>
          <w:rFonts w:ascii="宋体" w:hAnsi="宋体" w:cs="宋体" w:eastAsia="宋体" w:hint="default"/>
        </w:rPr>
        <w:t>5</w:t>
      </w:r>
      <w:r>
        <w:rPr>
          <w:rFonts w:ascii="宋体" w:hAnsi="宋体" w:cs="宋体" w:eastAsia="宋体" w:hint="default"/>
          <w:spacing w:val="-43"/>
        </w:rPr>
        <w:t> </w:t>
      </w:r>
      <w:r>
        <w:rPr/>
        <w:t>月</w:t>
      </w:r>
      <w:r>
        <w:rPr>
          <w:spacing w:val="-46"/>
        </w:rPr>
        <w:t> </w:t>
      </w:r>
      <w:r>
        <w:rPr>
          <w:rFonts w:ascii="宋体" w:hAnsi="宋体" w:cs="宋体" w:eastAsia="宋体" w:hint="default"/>
        </w:rPr>
        <w:t>1</w:t>
      </w:r>
      <w:r>
        <w:rPr>
          <w:rFonts w:ascii="宋体" w:hAnsi="宋体" w:cs="宋体" w:eastAsia="宋体" w:hint="default"/>
          <w:w w:val="100"/>
        </w:rPr>
        <w:t> </w:t>
      </w:r>
      <w:r>
        <w:rPr/>
        <w:t>日起，本集团发生增值税应税销售行为，原适用</w:t>
      </w:r>
      <w:r>
        <w:rPr>
          <w:spacing w:val="-58"/>
        </w:rPr>
        <w:t> </w:t>
      </w:r>
      <w:r>
        <w:rPr>
          <w:rFonts w:ascii="宋体" w:hAnsi="宋体" w:cs="宋体" w:eastAsia="宋体" w:hint="default"/>
        </w:rPr>
        <w:t>17%</w:t>
      </w:r>
      <w:r>
        <w:rPr/>
        <w:t>税率的，税率调整为</w:t>
      </w:r>
      <w:r>
        <w:rPr>
          <w:spacing w:val="-58"/>
        </w:rPr>
        <w:t> </w:t>
      </w:r>
      <w:r>
        <w:rPr>
          <w:rFonts w:ascii="宋体" w:hAnsi="宋体" w:cs="宋体" w:eastAsia="宋体" w:hint="default"/>
        </w:rPr>
        <w:t>16%</w:t>
      </w:r>
      <w:r>
        <w:rPr/>
        <w:t>。</w:t>
      </w:r>
    </w:p>
    <w:p>
      <w:pPr>
        <w:spacing w:line="240" w:lineRule="auto" w:before="5"/>
        <w:rPr>
          <w:rFonts w:ascii="宋体" w:hAnsi="宋体" w:cs="宋体" w:eastAsia="宋体" w:hint="default"/>
          <w:sz w:val="23"/>
          <w:szCs w:val="23"/>
        </w:rPr>
      </w:pPr>
    </w:p>
    <w:p>
      <w:pPr>
        <w:pStyle w:val="BodyText"/>
        <w:spacing w:line="273" w:lineRule="exact"/>
        <w:ind w:left="237" w:right="127"/>
        <w:jc w:val="left"/>
      </w:pPr>
      <w:r>
        <w:rPr/>
        <w:t>存在不同企业所得税税率纳税主体的，披露情况说明</w:t>
      </w:r>
    </w:p>
    <w:p>
      <w:pPr>
        <w:pStyle w:val="BodyText"/>
        <w:spacing w:line="273" w:lineRule="exact"/>
        <w:ind w:left="237" w:right="127"/>
        <w:jc w:val="left"/>
      </w:pPr>
      <w:r>
        <w:rPr/>
        <w:t>√适用 □不适用</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604"/>
        <w:gridCol w:w="4446"/>
      </w:tblGrid>
      <w:tr>
        <w:trPr>
          <w:trHeight w:val="284"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425"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本集团于中国内地的业务</w:t>
            </w:r>
            <w:r>
              <w:rPr>
                <w:rFonts w:ascii="宋体" w:hAnsi="宋体" w:cs="宋体" w:eastAsia="宋体" w:hint="default"/>
                <w:sz w:val="21"/>
                <w:szCs w:val="21"/>
              </w:rPr>
              <w:t>(</w:t>
            </w:r>
            <w:r>
              <w:rPr>
                <w:rFonts w:ascii="宋体" w:hAnsi="宋体" w:cs="宋体" w:eastAsia="宋体" w:hint="default"/>
                <w:sz w:val="21"/>
                <w:szCs w:val="21"/>
              </w:rPr>
              <w:t>除下述税收优惠外</w:t>
            </w:r>
            <w:r>
              <w:rPr>
                <w:rFonts w:ascii="宋体" w:hAnsi="宋体" w:cs="宋体" w:eastAsia="宋体" w:hint="default"/>
                <w:sz w:val="21"/>
                <w:szCs w:val="21"/>
              </w:rPr>
              <w:t>)</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25.00</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本集团于中国内地的业务</w:t>
            </w:r>
            <w:r>
              <w:rPr>
                <w:rFonts w:ascii="宋体" w:hAnsi="宋体" w:cs="宋体" w:eastAsia="宋体" w:hint="default"/>
                <w:sz w:val="21"/>
                <w:szCs w:val="21"/>
              </w:rPr>
              <w:t>(</w:t>
            </w:r>
            <w:r>
              <w:rPr>
                <w:rFonts w:ascii="宋体" w:hAnsi="宋体" w:cs="宋体" w:eastAsia="宋体" w:hint="default"/>
                <w:sz w:val="21"/>
                <w:szCs w:val="21"/>
              </w:rPr>
              <w:t>下述税收优惠部分</w:t>
            </w:r>
            <w:r>
              <w:rPr>
                <w:rFonts w:ascii="宋体" w:hAnsi="宋体" w:cs="宋体" w:eastAsia="宋体" w:hint="default"/>
                <w:sz w:val="21"/>
                <w:szCs w:val="21"/>
              </w:rPr>
              <w:t>)</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15.00</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本集团于开曼群岛的业务</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本集团于维京群岛的业务</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本集团于美国的业务</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21.00</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本集团于中国香港的业务</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8.25/16.50</w:t>
            </w:r>
          </w:p>
        </w:tc>
      </w:tr>
    </w:tbl>
    <w:p>
      <w:pPr>
        <w:spacing w:line="240" w:lineRule="auto" w:before="1"/>
        <w:rPr>
          <w:rFonts w:ascii="宋体" w:hAnsi="宋体" w:cs="宋体" w:eastAsia="宋体" w:hint="default"/>
          <w:sz w:val="23"/>
          <w:szCs w:val="23"/>
        </w:rPr>
      </w:pPr>
    </w:p>
    <w:p>
      <w:pPr>
        <w:pStyle w:val="Heading5"/>
        <w:tabs>
          <w:tab w:pos="661" w:val="left" w:leader="none"/>
        </w:tabs>
        <w:spacing w:line="240" w:lineRule="auto" w:before="36"/>
        <w:ind w:left="237" w:right="127"/>
        <w:jc w:val="left"/>
        <w:rPr>
          <w:b w:val="0"/>
          <w:bCs w:val="0"/>
        </w:rPr>
      </w:pPr>
      <w:r>
        <w:rPr>
          <w:rFonts w:ascii="宋体" w:hAnsi="宋体" w:cs="宋体" w:eastAsia="宋体" w:hint="default"/>
          <w:w w:val="95"/>
        </w:rPr>
        <w:t>2.</w:t>
        <w:tab/>
      </w:r>
      <w:r>
        <w:rPr/>
        <w:t>税收优惠</w:t>
      </w:r>
      <w:r>
        <w:rPr>
          <w:b w:val="0"/>
          <w:bCs w:val="0"/>
        </w:rPr>
      </w:r>
    </w:p>
    <w:p>
      <w:pPr>
        <w:pStyle w:val="BodyText"/>
        <w:tabs>
          <w:tab w:pos="1079" w:val="left" w:leader="none"/>
        </w:tabs>
        <w:spacing w:line="240" w:lineRule="auto" w:before="56"/>
        <w:ind w:left="657" w:right="240" w:hanging="420"/>
        <w:jc w:val="left"/>
        <w:rPr>
          <w:rFonts w:ascii="宋体" w:hAnsi="宋体" w:cs="宋体" w:eastAsia="宋体" w:hint="default"/>
        </w:rPr>
      </w:pPr>
      <w:r>
        <w:rPr/>
        <w:t>√适用</w:t>
        <w:tab/>
        <w:t>□不适用</w:t>
      </w:r>
      <w:r>
        <w:rPr>
          <w:w w:val="100"/>
        </w:rPr>
        <w:t> </w:t>
      </w:r>
      <w:r>
        <w:rPr>
          <w:spacing w:val="-2"/>
        </w:rPr>
        <w:t>根据《国家税务总局关于实施高新技术企业所得税优惠有关问题的通知》</w:t>
      </w:r>
      <w:r>
        <w:rPr>
          <w:rFonts w:ascii="宋体" w:hAnsi="宋体" w:cs="宋体" w:eastAsia="宋体" w:hint="default"/>
          <w:spacing w:val="-2"/>
        </w:rPr>
        <w:t>(</w:t>
      </w:r>
      <w:r>
        <w:rPr>
          <w:spacing w:val="-2"/>
        </w:rPr>
        <w:t>国税函</w:t>
      </w:r>
      <w:r>
        <w:rPr>
          <w:rFonts w:ascii="宋体" w:hAnsi="宋体" w:cs="宋体" w:eastAsia="宋体" w:hint="default"/>
          <w:spacing w:val="-2"/>
        </w:rPr>
        <w:t>[2009]203</w:t>
      </w:r>
    </w:p>
    <w:p>
      <w:pPr>
        <w:pStyle w:val="BodyText"/>
        <w:spacing w:line="355" w:lineRule="auto" w:before="133"/>
        <w:ind w:left="237" w:right="231"/>
        <w:jc w:val="both"/>
      </w:pPr>
      <w:r>
        <w:rPr/>
        <w:t>号</w:t>
      </w:r>
      <w:r>
        <w:rPr>
          <w:rFonts w:ascii="宋体" w:hAnsi="宋体" w:cs="宋体" w:eastAsia="宋体" w:hint="default"/>
        </w:rPr>
        <w:t>)</w:t>
      </w:r>
      <w:r>
        <w:rPr/>
        <w:t>，本公司下属子公司三六零科技取得高新技术企业认证，自</w:t>
      </w:r>
      <w:r>
        <w:rPr>
          <w:spacing w:val="-57"/>
        </w:rPr>
        <w:t> </w:t>
      </w:r>
      <w:r>
        <w:rPr>
          <w:rFonts w:ascii="宋体" w:hAnsi="宋体" w:cs="宋体" w:eastAsia="宋体" w:hint="default"/>
        </w:rPr>
        <w:t>2015</w:t>
      </w:r>
      <w:r>
        <w:rPr>
          <w:rFonts w:ascii="宋体" w:hAnsi="宋体" w:cs="宋体" w:eastAsia="宋体" w:hint="default"/>
          <w:spacing w:val="-57"/>
        </w:rPr>
        <w:t> </w:t>
      </w:r>
      <w:r>
        <w:rPr/>
        <w:t>年起至今，享受高新技术企</w:t>
      </w:r>
      <w:r>
        <w:rPr>
          <w:w w:val="100"/>
        </w:rPr>
        <w:t> </w:t>
      </w:r>
      <w:r>
        <w:rPr/>
        <w:t>业税收优惠政策，企业所得税税率减按</w:t>
      </w:r>
      <w:r>
        <w:rPr>
          <w:spacing w:val="-55"/>
        </w:rPr>
        <w:t> </w:t>
      </w:r>
      <w:r>
        <w:rPr>
          <w:rFonts w:ascii="宋体" w:hAnsi="宋体" w:cs="宋体" w:eastAsia="宋体" w:hint="default"/>
        </w:rPr>
        <w:t>15%</w:t>
      </w:r>
      <w:r>
        <w:rPr/>
        <w:t>征收；北京奇虎科技有限公司及北京世界星辉科技有</w:t>
      </w:r>
      <w:r>
        <w:rPr>
          <w:w w:val="100"/>
        </w:rPr>
        <w:t> </w:t>
      </w:r>
      <w:r>
        <w:rPr/>
        <w:t>限责任公司自</w:t>
      </w:r>
      <w:r>
        <w:rPr>
          <w:spacing w:val="-35"/>
        </w:rPr>
        <w:t> </w:t>
      </w:r>
      <w:r>
        <w:rPr>
          <w:rFonts w:ascii="宋体" w:hAnsi="宋体" w:cs="宋体" w:eastAsia="宋体" w:hint="default"/>
        </w:rPr>
        <w:t>2011</w:t>
      </w:r>
      <w:r>
        <w:rPr>
          <w:rFonts w:ascii="宋体" w:hAnsi="宋体" w:cs="宋体" w:eastAsia="宋体" w:hint="default"/>
          <w:spacing w:val="-38"/>
        </w:rPr>
        <w:t> </w:t>
      </w:r>
      <w:r>
        <w:rPr>
          <w:spacing w:val="-3"/>
        </w:rPr>
        <w:t>年起至今享受高新技术企业税收优惠政策，企业所得税税率减按</w:t>
      </w:r>
      <w:r>
        <w:rPr>
          <w:spacing w:val="-33"/>
        </w:rPr>
        <w:t> </w:t>
      </w:r>
      <w:r>
        <w:rPr>
          <w:rFonts w:ascii="宋体" w:hAnsi="宋体" w:cs="宋体" w:eastAsia="宋体" w:hint="default"/>
          <w:spacing w:val="-4"/>
        </w:rPr>
        <w:t>15%</w:t>
      </w:r>
      <w:r>
        <w:rPr>
          <w:spacing w:val="-4"/>
        </w:rPr>
        <w:t>征收；北</w:t>
      </w:r>
      <w:r>
        <w:rPr>
          <w:spacing w:val="-98"/>
        </w:rPr>
        <w:t> </w:t>
      </w:r>
      <w:r>
        <w:rPr>
          <w:spacing w:val="-98"/>
        </w:rPr>
      </w:r>
      <w:r>
        <w:rPr/>
        <w:t>京奇付通科技有限公司自 </w:t>
      </w:r>
      <w:r>
        <w:rPr>
          <w:rFonts w:ascii="宋体" w:hAnsi="宋体" w:cs="宋体" w:eastAsia="宋体" w:hint="default"/>
        </w:rPr>
        <w:t>2014</w:t>
      </w:r>
      <w:r>
        <w:rPr>
          <w:rFonts w:ascii="宋体" w:hAnsi="宋体" w:cs="宋体" w:eastAsia="宋体" w:hint="default"/>
          <w:spacing w:val="-63"/>
        </w:rPr>
        <w:t> </w:t>
      </w:r>
      <w:r>
        <w:rPr>
          <w:spacing w:val="-5"/>
        </w:rPr>
        <w:t>年起至今，享受高新技术企业税收优惠政策，企业所得税税率减按</w:t>
      </w:r>
    </w:p>
    <w:p>
      <w:pPr>
        <w:pStyle w:val="BodyText"/>
        <w:spacing w:line="355" w:lineRule="auto" w:before="34"/>
        <w:ind w:left="237" w:right="127"/>
        <w:jc w:val="left"/>
      </w:pPr>
      <w:r>
        <w:rPr>
          <w:rFonts w:ascii="宋体" w:hAnsi="宋体" w:cs="宋体" w:eastAsia="宋体" w:hint="default"/>
        </w:rPr>
        <w:t>15%</w:t>
      </w:r>
      <w:r>
        <w:rPr/>
        <w:t>征收；北京奇元科技有限公司自</w:t>
      </w:r>
      <w:r>
        <w:rPr>
          <w:spacing w:val="-55"/>
        </w:rPr>
        <w:t> </w:t>
      </w:r>
      <w:r>
        <w:rPr>
          <w:rFonts w:ascii="宋体" w:hAnsi="宋体" w:cs="宋体" w:eastAsia="宋体" w:hint="default"/>
        </w:rPr>
        <w:t>2015</w:t>
      </w:r>
      <w:r>
        <w:rPr>
          <w:rFonts w:ascii="宋体" w:hAnsi="宋体" w:cs="宋体" w:eastAsia="宋体" w:hint="default"/>
          <w:spacing w:val="-57"/>
        </w:rPr>
        <w:t> </w:t>
      </w:r>
      <w:r>
        <w:rPr/>
        <w:t>年至今享受高新技术企业税收优惠政策，企业所得税税</w:t>
      </w:r>
      <w:r>
        <w:rPr>
          <w:w w:val="100"/>
        </w:rPr>
        <w:t> </w:t>
      </w:r>
      <w:r>
        <w:rPr/>
        <w:t>率减按</w:t>
      </w:r>
      <w:r>
        <w:rPr>
          <w:spacing w:val="-38"/>
        </w:rPr>
        <w:t> </w:t>
      </w:r>
      <w:r>
        <w:rPr>
          <w:rFonts w:ascii="宋体" w:hAnsi="宋体" w:cs="宋体" w:eastAsia="宋体" w:hint="default"/>
        </w:rPr>
        <w:t>15%</w:t>
      </w:r>
      <w:r>
        <w:rPr/>
        <w:t>征收；深圳市奇付通科技有限公司自</w:t>
      </w:r>
      <w:r>
        <w:rPr>
          <w:spacing w:val="-35"/>
        </w:rPr>
        <w:t> </w:t>
      </w:r>
      <w:r>
        <w:rPr>
          <w:rFonts w:ascii="宋体" w:hAnsi="宋体" w:cs="宋体" w:eastAsia="宋体" w:hint="default"/>
        </w:rPr>
        <w:t>2018</w:t>
      </w:r>
      <w:r>
        <w:rPr>
          <w:rFonts w:ascii="宋体" w:hAnsi="宋体" w:cs="宋体" w:eastAsia="宋体" w:hint="default"/>
          <w:spacing w:val="-35"/>
        </w:rPr>
        <w:t> </w:t>
      </w:r>
      <w:r>
        <w:rPr/>
        <w:t>年起至今享受高新技术企业税收优惠政策，</w:t>
      </w:r>
      <w:r>
        <w:rPr>
          <w:spacing w:val="-101"/>
        </w:rPr>
        <w:t> </w:t>
      </w:r>
      <w:r>
        <w:rPr>
          <w:spacing w:val="-101"/>
        </w:rPr>
      </w:r>
      <w:r>
        <w:rPr/>
        <w:t>企业所得税税率减按</w:t>
      </w:r>
      <w:r>
        <w:rPr>
          <w:spacing w:val="-52"/>
        </w:rPr>
        <w:t> </w:t>
      </w:r>
      <w:r>
        <w:rPr>
          <w:rFonts w:ascii="宋体" w:hAnsi="宋体" w:cs="宋体" w:eastAsia="宋体" w:hint="default"/>
        </w:rPr>
        <w:t>15%</w:t>
      </w:r>
      <w:r>
        <w:rPr/>
        <w:t>征收。</w:t>
      </w:r>
    </w:p>
    <w:p>
      <w:pPr>
        <w:spacing w:line="240" w:lineRule="auto" w:before="0"/>
        <w:rPr>
          <w:rFonts w:ascii="宋体" w:hAnsi="宋体" w:cs="宋体" w:eastAsia="宋体" w:hint="default"/>
          <w:sz w:val="20"/>
          <w:szCs w:val="20"/>
        </w:rPr>
      </w:pPr>
    </w:p>
    <w:p>
      <w:pPr>
        <w:pStyle w:val="Heading5"/>
        <w:tabs>
          <w:tab w:pos="661" w:val="left" w:leader="none"/>
        </w:tabs>
        <w:spacing w:line="240" w:lineRule="auto" w:before="143"/>
        <w:ind w:left="237" w:right="127"/>
        <w:jc w:val="left"/>
        <w:rPr>
          <w:b w:val="0"/>
          <w:bCs w:val="0"/>
        </w:rPr>
      </w:pPr>
      <w:r>
        <w:rPr>
          <w:rFonts w:ascii="宋体" w:hAnsi="宋体" w:cs="宋体" w:eastAsia="宋体" w:hint="default"/>
          <w:w w:val="95"/>
        </w:rPr>
        <w:t>3.</w:t>
        <w:tab/>
      </w:r>
      <w:r>
        <w:rPr/>
        <w:t>其他</w:t>
      </w:r>
      <w:r>
        <w:rPr>
          <w:b w:val="0"/>
          <w:bCs w:val="0"/>
        </w:rPr>
      </w:r>
    </w:p>
    <w:p>
      <w:pPr>
        <w:pStyle w:val="BodyText"/>
        <w:tabs>
          <w:tab w:pos="1079" w:val="left" w:leader="none"/>
        </w:tabs>
        <w:spacing w:line="240" w:lineRule="auto" w:before="56"/>
        <w:ind w:left="237" w:right="127"/>
        <w:jc w:val="left"/>
      </w:pPr>
      <w:r>
        <w:rPr/>
        <w:t>□适用</w:t>
        <w:tab/>
        <w:t>√不适用</w:t>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57" w:footer="1217" w:top="1320" w:bottom="1400" w:left="1040" w:right="1560"/>
        </w:sectPr>
      </w:pPr>
    </w:p>
    <w:p>
      <w:pPr>
        <w:pStyle w:val="Heading5"/>
        <w:spacing w:line="290" w:lineRule="auto" w:before="36"/>
        <w:ind w:left="237"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1079" w:val="left" w:leader="none"/>
        </w:tabs>
        <w:spacing w:line="240" w:lineRule="auto" w:before="14"/>
        <w:ind w:left="237"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2772" w:space="3538"/>
            <w:col w:w="3000"/>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090"/>
        <w:gridCol w:w="3120"/>
        <w:gridCol w:w="2852"/>
      </w:tblGrid>
      <w:tr>
        <w:trPr>
          <w:trHeight w:val="283"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34</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45</w:t>
            </w:r>
          </w:p>
        </w:tc>
      </w:tr>
      <w:tr>
        <w:trPr>
          <w:trHeight w:val="281"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14,846,738</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9,871,101</w:t>
            </w:r>
          </w:p>
        </w:tc>
      </w:tr>
      <w:tr>
        <w:trPr>
          <w:trHeight w:val="284"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130,216</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141,549</w:t>
            </w:r>
          </w:p>
        </w:tc>
      </w:tr>
      <w:tr>
        <w:trPr>
          <w:trHeight w:val="283"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14,976,988</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10,012,695</w:t>
            </w:r>
          </w:p>
        </w:tc>
      </w:tr>
      <w:tr>
        <w:trPr>
          <w:trHeight w:val="283"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pacing w:val="-8"/>
                <w:sz w:val="21"/>
                <w:szCs w:val="21"/>
              </w:rPr>
              <w:t>其中：存放在境外的款项总额</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1,716,907</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833,447</w:t>
            </w:r>
          </w:p>
        </w:tc>
      </w:tr>
    </w:tbl>
    <w:p>
      <w:pPr>
        <w:spacing w:after="0" w:line="241" w:lineRule="exact"/>
        <w:jc w:val="right"/>
        <w:rPr>
          <w:rFonts w:ascii="宋体" w:hAnsi="宋体" w:cs="宋体" w:eastAsia="宋体" w:hint="default"/>
          <w:sz w:val="21"/>
          <w:szCs w:val="21"/>
        </w:rPr>
        <w:sectPr>
          <w:type w:val="continuous"/>
          <w:pgSz w:w="11910" w:h="16840"/>
          <w:pgMar w:top="1320" w:bottom="1400" w:left="1040" w:right="1560"/>
        </w:sectPr>
      </w:pPr>
    </w:p>
    <w:p>
      <w:pPr>
        <w:pStyle w:val="BodyText"/>
        <w:spacing w:line="272" w:lineRule="exact" w:before="99"/>
        <w:ind w:left="237" w:right="0"/>
        <w:jc w:val="left"/>
      </w:pPr>
      <w:r>
        <w:rPr/>
        <w:t>其他说明</w:t>
      </w:r>
      <w:r>
        <w:rPr>
          <w:w w:val="100"/>
        </w:rPr>
        <w:t> </w:t>
      </w:r>
      <w:r>
        <w:rPr>
          <w:spacing w:val="-2"/>
        </w:rPr>
        <w:t>其中受限的货币资金明细如下：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tabs>
          <w:tab w:pos="1499" w:val="left" w:leader="none"/>
        </w:tabs>
        <w:spacing w:line="240" w:lineRule="auto"/>
        <w:ind w:left="237" w:right="0"/>
        <w:jc w:val="left"/>
      </w:pPr>
      <w:r>
        <w:rPr>
          <w:spacing w:val="-2"/>
        </w:rPr>
        <w:t>单位：千元</w:t>
        <w:tab/>
        <w:t>币种：人民币</w:t>
      </w:r>
    </w:p>
    <w:p>
      <w:pPr>
        <w:spacing w:after="0" w:line="240" w:lineRule="auto"/>
        <w:jc w:val="left"/>
        <w:sectPr>
          <w:pgSz w:w="11910" w:h="16840"/>
          <w:pgMar w:header="857" w:footer="1217" w:top="1320" w:bottom="1400" w:left="1040" w:right="1560"/>
          <w:cols w:num="2" w:equalWidth="0">
            <w:col w:w="3183" w:space="3118"/>
            <w:col w:w="3009"/>
          </w:cols>
        </w:sectPr>
      </w:pPr>
    </w:p>
    <w:p>
      <w:pPr>
        <w:spacing w:line="240" w:lineRule="auto" w:before="10"/>
        <w:rPr>
          <w:rFonts w:ascii="宋体" w:hAnsi="宋体" w:cs="宋体" w:eastAsia="宋体"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3018"/>
        <w:gridCol w:w="3015"/>
        <w:gridCol w:w="3017"/>
      </w:tblGrid>
      <w:tr>
        <w:trPr>
          <w:trHeight w:val="418"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8" w:right="0"/>
              <w:jc w:val="left"/>
              <w:rPr>
                <w:rFonts w:ascii="宋体" w:hAnsi="宋体" w:cs="宋体" w:eastAsia="宋体" w:hint="default"/>
                <w:sz w:val="21"/>
                <w:szCs w:val="21"/>
              </w:rPr>
            </w:pPr>
            <w:r>
              <w:rPr>
                <w:rFonts w:ascii="宋体" w:hAnsi="宋体" w:cs="宋体" w:eastAsia="宋体" w:hint="default"/>
                <w:sz w:val="21"/>
                <w:szCs w:val="21"/>
              </w:rPr>
              <w:t>所有权受限制的资产类别</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20"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128,724</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140,988</w:t>
            </w:r>
          </w:p>
        </w:tc>
      </w:tr>
      <w:tr>
        <w:trPr>
          <w:trHeight w:val="418"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128,724</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140,988</w:t>
            </w:r>
          </w:p>
        </w:tc>
      </w:tr>
    </w:tbl>
    <w:p>
      <w:pPr>
        <w:pStyle w:val="BodyText"/>
        <w:spacing w:line="241" w:lineRule="exact"/>
        <w:ind w:left="657" w:right="127"/>
        <w:jc w:val="left"/>
      </w:pPr>
      <w:r>
        <w:rPr>
          <w:spacing w:val="-3"/>
        </w:rPr>
        <w:t>注：</w:t>
      </w:r>
      <w:r>
        <w:rPr>
          <w:rFonts w:ascii="宋体" w:hAnsi="宋体" w:cs="宋体" w:eastAsia="宋体" w:hint="default"/>
          <w:spacing w:val="-3"/>
        </w:rPr>
        <w:t>2018</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spacing w:val="-3"/>
        </w:rPr>
        <w:t>日，本集团的所有权受到限制的货币资金为人民币</w:t>
      </w:r>
      <w:r>
        <w:rPr>
          <w:spacing w:val="-43"/>
        </w:rPr>
        <w:t> </w:t>
      </w:r>
      <w:r>
        <w:rPr>
          <w:rFonts w:ascii="宋体" w:hAnsi="宋体" w:cs="宋体" w:eastAsia="宋体" w:hint="default"/>
        </w:rPr>
        <w:t>128,724</w:t>
      </w:r>
      <w:r>
        <w:rPr>
          <w:rFonts w:ascii="宋体" w:hAnsi="宋体" w:cs="宋体" w:eastAsia="宋体" w:hint="default"/>
          <w:spacing w:val="-43"/>
        </w:rPr>
        <w:t> </w:t>
      </w:r>
      <w:r>
        <w:rPr>
          <w:spacing w:val="-5"/>
        </w:rPr>
        <w:t>千元，主要</w:t>
      </w:r>
    </w:p>
    <w:p>
      <w:pPr>
        <w:pStyle w:val="BodyText"/>
        <w:spacing w:line="240" w:lineRule="auto" w:before="133"/>
        <w:ind w:left="237" w:right="127"/>
        <w:jc w:val="left"/>
      </w:pPr>
      <w:r>
        <w:rPr>
          <w:w w:val="100"/>
        </w:rPr>
        <w:t>为签</w:t>
      </w:r>
      <w:r>
        <w:rPr>
          <w:spacing w:val="-3"/>
          <w:w w:val="100"/>
        </w:rPr>
        <w:t>订</w:t>
      </w:r>
      <w:r>
        <w:rPr>
          <w:w w:val="100"/>
        </w:rPr>
        <w:t>项</w:t>
      </w:r>
      <w:r>
        <w:rPr>
          <w:spacing w:val="-3"/>
          <w:w w:val="100"/>
        </w:rPr>
        <w:t>目</w:t>
      </w:r>
      <w:r>
        <w:rPr>
          <w:w w:val="100"/>
        </w:rPr>
        <w:t>履</w:t>
      </w:r>
      <w:r>
        <w:rPr>
          <w:spacing w:val="-3"/>
          <w:w w:val="100"/>
        </w:rPr>
        <w:t>约</w:t>
      </w:r>
      <w:r>
        <w:rPr>
          <w:w w:val="100"/>
        </w:rPr>
        <w:t>保</w:t>
      </w:r>
      <w:r>
        <w:rPr>
          <w:spacing w:val="-3"/>
          <w:w w:val="100"/>
        </w:rPr>
        <w:t>函</w:t>
      </w:r>
      <w:r>
        <w:rPr>
          <w:w w:val="100"/>
        </w:rPr>
        <w:t>而</w:t>
      </w:r>
      <w:r>
        <w:rPr>
          <w:spacing w:val="-3"/>
          <w:w w:val="100"/>
        </w:rPr>
        <w:t>存</w:t>
      </w:r>
      <w:r>
        <w:rPr>
          <w:w w:val="100"/>
        </w:rPr>
        <w:t>入银</w:t>
      </w:r>
      <w:r>
        <w:rPr>
          <w:spacing w:val="-3"/>
          <w:w w:val="100"/>
        </w:rPr>
        <w:t>行</w:t>
      </w:r>
      <w:r>
        <w:rPr>
          <w:w w:val="100"/>
        </w:rPr>
        <w:t>保</w:t>
      </w:r>
      <w:r>
        <w:rPr>
          <w:spacing w:val="-3"/>
          <w:w w:val="100"/>
        </w:rPr>
        <w:t>证</w:t>
      </w:r>
      <w:r>
        <w:rPr>
          <w:w w:val="100"/>
        </w:rPr>
        <w:t>金</w:t>
      </w:r>
      <w:r>
        <w:rPr>
          <w:spacing w:val="-3"/>
          <w:w w:val="100"/>
        </w:rPr>
        <w:t>账</w:t>
      </w:r>
      <w:r>
        <w:rPr>
          <w:w w:val="100"/>
        </w:rPr>
        <w:t>户</w:t>
      </w:r>
      <w:r>
        <w:rPr>
          <w:spacing w:val="-3"/>
          <w:w w:val="100"/>
        </w:rPr>
        <w:t>的</w:t>
      </w:r>
      <w:r>
        <w:rPr>
          <w:w w:val="100"/>
        </w:rPr>
        <w:t>余</w:t>
      </w:r>
      <w:r>
        <w:rPr>
          <w:spacing w:val="-5"/>
          <w:w w:val="100"/>
        </w:rPr>
        <w:t>额</w:t>
      </w:r>
      <w:r>
        <w:rPr>
          <w:spacing w:val="-209"/>
          <w:w w:val="100"/>
        </w:rPr>
        <w:t>（</w:t>
      </w:r>
      <w:r>
        <w:rPr>
          <w:spacing w:val="-3"/>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60"/>
        </w:rPr>
        <w:t> </w:t>
      </w:r>
      <w:r>
        <w:rPr>
          <w:w w:val="100"/>
        </w:rPr>
        <w:t>年</w:t>
      </w:r>
      <w:r>
        <w:rPr>
          <w:spacing w:val="-57"/>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60"/>
        </w:rPr>
        <w:t> </w:t>
      </w:r>
      <w:r>
        <w:rPr>
          <w:w w:val="100"/>
        </w:rPr>
        <w:t>月</w:t>
      </w:r>
      <w:r>
        <w:rPr>
          <w:spacing w:val="-57"/>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7"/>
        </w:rPr>
        <w:t> </w:t>
      </w:r>
      <w:r>
        <w:rPr>
          <w:w w:val="100"/>
        </w:rPr>
        <w:t>日</w:t>
      </w:r>
      <w:r>
        <w:rPr>
          <w:spacing w:val="-108"/>
          <w:w w:val="100"/>
        </w:rPr>
        <w:t>：</w:t>
      </w:r>
      <w:r>
        <w:rPr>
          <w:w w:val="100"/>
        </w:rPr>
        <w:t>人</w:t>
      </w:r>
      <w:r>
        <w:rPr>
          <w:spacing w:val="-3"/>
          <w:w w:val="100"/>
        </w:rPr>
        <w:t>民</w:t>
      </w:r>
      <w:r>
        <w:rPr>
          <w:w w:val="100"/>
        </w:rPr>
        <w:t>币</w:t>
      </w:r>
      <w:r>
        <w:rPr>
          <w:spacing w:val="-58"/>
        </w:rPr>
        <w:t> </w:t>
      </w:r>
      <w:r>
        <w:rPr>
          <w:rFonts w:ascii="宋体" w:hAnsi="宋体" w:cs="宋体" w:eastAsia="宋体" w:hint="default"/>
          <w:w w:val="100"/>
        </w:rPr>
        <w:t>1</w:t>
      </w:r>
      <w:r>
        <w:rPr>
          <w:rFonts w:ascii="宋体" w:hAnsi="宋体" w:cs="宋体" w:eastAsia="宋体" w:hint="default"/>
          <w:spacing w:val="-3"/>
          <w:w w:val="100"/>
        </w:rPr>
        <w:t>4</w:t>
      </w:r>
      <w:r>
        <w:rPr>
          <w:rFonts w:ascii="宋体" w:hAnsi="宋体" w:cs="宋体" w:eastAsia="宋体" w:hint="default"/>
          <w:w w:val="100"/>
        </w:rPr>
        <w:t>0,9</w:t>
      </w:r>
      <w:r>
        <w:rPr>
          <w:rFonts w:ascii="宋体" w:hAnsi="宋体" w:cs="宋体" w:eastAsia="宋体" w:hint="default"/>
          <w:spacing w:val="-3"/>
          <w:w w:val="100"/>
        </w:rPr>
        <w:t>8</w:t>
      </w:r>
      <w:r>
        <w:rPr>
          <w:rFonts w:ascii="宋体" w:hAnsi="宋体" w:cs="宋体" w:eastAsia="宋体" w:hint="default"/>
          <w:w w:val="100"/>
        </w:rPr>
        <w:t>8</w:t>
      </w:r>
      <w:r>
        <w:rPr>
          <w:rFonts w:ascii="宋体" w:hAnsi="宋体" w:cs="宋体" w:eastAsia="宋体" w:hint="default"/>
          <w:spacing w:val="-59"/>
        </w:rPr>
        <w:t> </w:t>
      </w:r>
      <w:r>
        <w:rPr>
          <w:w w:val="100"/>
        </w:rPr>
        <w:t>千</w:t>
      </w:r>
      <w:r>
        <w:rPr>
          <w:spacing w:val="-3"/>
          <w:w w:val="100"/>
        </w:rPr>
        <w:t>元</w:t>
      </w:r>
      <w:r>
        <w:rPr>
          <w:spacing w:val="-108"/>
          <w:w w:val="100"/>
        </w:rPr>
        <w:t>）</w:t>
      </w:r>
      <w:r>
        <w:rPr>
          <w:w w:val="100"/>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5"/>
        <w:spacing w:line="240" w:lineRule="auto"/>
        <w:ind w:left="237" w:right="127"/>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8"/>
        <w:ind w:left="237" w:right="127"/>
        <w:jc w:val="left"/>
      </w:pPr>
      <w:r>
        <w:rPr/>
        <w:t>□适用 √不适用</w:t>
      </w:r>
    </w:p>
    <w:p>
      <w:pPr>
        <w:spacing w:line="240" w:lineRule="auto" w:before="2"/>
        <w:rPr>
          <w:rFonts w:ascii="宋体" w:hAnsi="宋体" w:cs="宋体" w:eastAsia="宋体" w:hint="default"/>
          <w:sz w:val="28"/>
          <w:szCs w:val="28"/>
        </w:rPr>
      </w:pPr>
    </w:p>
    <w:p>
      <w:pPr>
        <w:pStyle w:val="Heading5"/>
        <w:spacing w:line="240" w:lineRule="auto"/>
        <w:ind w:left="237" w:right="127"/>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6"/>
        <w:ind w:left="237" w:right="127"/>
        <w:jc w:val="left"/>
      </w:pPr>
      <w:r>
        <w:rPr/>
        <w:t>□适用 √不适用</w:t>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320" w:bottom="1400" w:left="1040" w:right="1560"/>
        </w:sectPr>
      </w:pPr>
    </w:p>
    <w:p>
      <w:pPr>
        <w:pStyle w:val="Heading5"/>
        <w:spacing w:line="290" w:lineRule="auto" w:before="36"/>
        <w:ind w:left="237" w:right="-19"/>
        <w:jc w:val="left"/>
        <w:rPr>
          <w:b w:val="0"/>
          <w:bCs w:val="0"/>
        </w:rPr>
      </w:pPr>
      <w:r>
        <w:rPr>
          <w:rFonts w:ascii="宋体" w:hAnsi="宋体" w:cs="宋体" w:eastAsia="宋体" w:hint="default"/>
        </w:rPr>
        <w:t>4</w:t>
      </w:r>
      <w:r>
        <w:rPr/>
        <w:t>、 应收票据及应收账款</w:t>
      </w:r>
      <w:r>
        <w:rPr>
          <w:w w:val="100"/>
        </w:rPr>
        <w:t> </w:t>
      </w:r>
      <w:r>
        <w:rPr/>
        <w:t>总表情况</w:t>
      </w:r>
      <w:r>
        <w:rPr>
          <w:b w:val="0"/>
          <w:bCs w:val="0"/>
        </w:rPr>
      </w:r>
    </w:p>
    <w:p>
      <w:pPr>
        <w:pStyle w:val="Heading5"/>
        <w:spacing w:line="240" w:lineRule="auto" w:before="14"/>
        <w:ind w:left="237" w:right="-19"/>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6"/>
        <w:ind w:left="2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2559" w:space="3649"/>
            <w:col w:w="3102"/>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2,345,506</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2,437,595</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2,345,506</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2,437,595</w:t>
            </w:r>
          </w:p>
        </w:tc>
      </w:tr>
    </w:tbl>
    <w:p>
      <w:pPr>
        <w:spacing w:line="240" w:lineRule="auto" w:before="6"/>
        <w:rPr>
          <w:rFonts w:ascii="宋体" w:hAnsi="宋体" w:cs="宋体" w:eastAsia="宋体" w:hint="default"/>
          <w:sz w:val="18"/>
          <w:szCs w:val="18"/>
        </w:rPr>
      </w:pPr>
    </w:p>
    <w:p>
      <w:pPr>
        <w:pStyle w:val="BodyText"/>
        <w:spacing w:line="273" w:lineRule="exact" w:before="36"/>
        <w:ind w:left="237" w:right="127"/>
        <w:jc w:val="left"/>
      </w:pPr>
      <w:r>
        <w:rPr/>
        <w:t>其他说明：</w:t>
      </w:r>
    </w:p>
    <w:p>
      <w:pPr>
        <w:pStyle w:val="BodyText"/>
        <w:spacing w:line="273" w:lineRule="exact"/>
        <w:ind w:left="237" w:right="127"/>
        <w:jc w:val="left"/>
      </w:pPr>
      <w:r>
        <w:rPr/>
        <w:t>□适用 √不适用</w:t>
      </w:r>
    </w:p>
    <w:p>
      <w:pPr>
        <w:spacing w:line="240" w:lineRule="auto" w:before="2"/>
        <w:rPr>
          <w:rFonts w:ascii="宋体" w:hAnsi="宋体" w:cs="宋体" w:eastAsia="宋体" w:hint="default"/>
          <w:sz w:val="28"/>
          <w:szCs w:val="28"/>
        </w:rPr>
      </w:pPr>
    </w:p>
    <w:p>
      <w:pPr>
        <w:pStyle w:val="Heading5"/>
        <w:spacing w:line="240" w:lineRule="auto"/>
        <w:ind w:left="237" w:right="127"/>
        <w:jc w:val="left"/>
        <w:rPr>
          <w:b w:val="0"/>
          <w:bCs w:val="0"/>
        </w:rPr>
      </w:pPr>
      <w:r>
        <w:rPr/>
        <w:t>应收票据</w:t>
      </w:r>
      <w:r>
        <w:rPr>
          <w:b w:val="0"/>
          <w:bCs w:val="0"/>
        </w:rPr>
      </w:r>
    </w:p>
    <w:p>
      <w:pPr>
        <w:pStyle w:val="Heading5"/>
        <w:spacing w:line="240" w:lineRule="auto" w:before="58"/>
        <w:ind w:left="237" w:right="127"/>
        <w:jc w:val="left"/>
        <w:rPr>
          <w:b w:val="0"/>
          <w:bCs w:val="0"/>
        </w:rPr>
      </w:pPr>
      <w:r>
        <w:rPr>
          <w:rFonts w:ascii="宋体" w:hAnsi="宋体" w:cs="宋体" w:eastAsia="宋体" w:hint="default"/>
        </w:rPr>
        <w:t>(2).</w:t>
      </w:r>
      <w:r>
        <w:rPr>
          <w:rFonts w:ascii="宋体" w:hAnsi="宋体" w:cs="宋体" w:eastAsia="宋体" w:hint="default"/>
          <w:spacing w:val="1"/>
        </w:rPr>
        <w:t> </w:t>
      </w:r>
      <w:r>
        <w:rPr/>
        <w:t>应收票据分类列示</w:t>
      </w:r>
      <w:r>
        <w:rPr>
          <w:b w:val="0"/>
          <w:bCs w:val="0"/>
        </w:rPr>
      </w:r>
    </w:p>
    <w:p>
      <w:pPr>
        <w:pStyle w:val="BodyText"/>
        <w:spacing w:line="240" w:lineRule="auto" w:before="57"/>
        <w:ind w:left="237" w:right="127"/>
        <w:jc w:val="left"/>
      </w:pPr>
      <w:r>
        <w:rPr/>
        <w:t>□适用 √不适用</w:t>
      </w:r>
    </w:p>
    <w:p>
      <w:pPr>
        <w:pStyle w:val="Heading5"/>
        <w:spacing w:line="240" w:lineRule="auto" w:before="58"/>
        <w:ind w:left="237" w:right="127"/>
        <w:jc w:val="left"/>
        <w:rPr>
          <w:b w:val="0"/>
          <w:bCs w:val="0"/>
        </w:rPr>
      </w:pPr>
      <w:r>
        <w:rPr>
          <w:rFonts w:ascii="宋体" w:hAnsi="宋体" w:cs="宋体" w:eastAsia="宋体" w:hint="default"/>
        </w:rPr>
        <w:t>(3).</w:t>
      </w:r>
      <w:r>
        <w:rPr>
          <w:rFonts w:ascii="宋体" w:hAnsi="宋体" w:cs="宋体" w:eastAsia="宋体" w:hint="default"/>
          <w:spacing w:val="-5"/>
        </w:rPr>
        <w:t> </w:t>
      </w:r>
      <w:r>
        <w:rPr/>
        <w:t>期末公司已质押的应收票据</w:t>
      </w:r>
      <w:r>
        <w:rPr>
          <w:b w:val="0"/>
          <w:bCs w:val="0"/>
        </w:rPr>
      </w:r>
    </w:p>
    <w:p>
      <w:pPr>
        <w:pStyle w:val="BodyText"/>
        <w:spacing w:line="240" w:lineRule="auto" w:before="56"/>
        <w:ind w:left="237" w:right="127"/>
        <w:jc w:val="left"/>
      </w:pPr>
      <w:r>
        <w:rPr/>
        <w:t>□适用 √不适用</w:t>
      </w:r>
    </w:p>
    <w:p>
      <w:pPr>
        <w:pStyle w:val="Heading5"/>
        <w:spacing w:line="240" w:lineRule="auto" w:before="58"/>
        <w:ind w:left="237" w:right="127"/>
        <w:jc w:val="left"/>
        <w:rPr>
          <w:b w:val="0"/>
          <w:bCs w:val="0"/>
        </w:rPr>
      </w:pPr>
      <w:r>
        <w:rPr>
          <w:rFonts w:ascii="宋体" w:hAnsi="宋体" w:cs="宋体" w:eastAsia="宋体" w:hint="default"/>
        </w:rPr>
        <w:t>(4).</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left="237" w:right="127"/>
        <w:jc w:val="left"/>
      </w:pPr>
      <w:r>
        <w:rPr/>
        <w:t>□适用 √不适用</w:t>
      </w:r>
    </w:p>
    <w:p>
      <w:pPr>
        <w:pStyle w:val="Heading5"/>
        <w:spacing w:line="240" w:lineRule="auto" w:before="58"/>
        <w:ind w:left="237" w:right="127"/>
        <w:jc w:val="left"/>
        <w:rPr>
          <w:b w:val="0"/>
          <w:bCs w:val="0"/>
        </w:rPr>
      </w:pPr>
      <w:r>
        <w:rPr>
          <w:rFonts w:ascii="宋体" w:hAnsi="宋体" w:cs="宋体" w:eastAsia="宋体" w:hint="default"/>
        </w:rPr>
        <w:t>(5).</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6"/>
        <w:ind w:left="237" w:right="7474"/>
        <w:jc w:val="left"/>
      </w:pPr>
      <w:r>
        <w:rPr/>
        <w:t>□适用 √不适用</w:t>
      </w:r>
      <w:r>
        <w:rPr>
          <w:w w:val="100"/>
        </w:rPr>
        <w:t> </w:t>
      </w:r>
      <w:r>
        <w:rPr/>
        <w:t>其他说明</w:t>
      </w:r>
    </w:p>
    <w:p>
      <w:pPr>
        <w:pStyle w:val="BodyText"/>
        <w:spacing w:line="271" w:lineRule="exact"/>
        <w:ind w:left="237" w:right="127"/>
        <w:jc w:val="left"/>
      </w:pPr>
      <w:r>
        <w:rPr/>
        <w:t>□适用 √不适用</w:t>
      </w:r>
    </w:p>
    <w:p>
      <w:pPr>
        <w:spacing w:after="0" w:line="271" w:lineRule="exact"/>
        <w:jc w:val="left"/>
        <w:sectPr>
          <w:type w:val="continuous"/>
          <w:pgSz w:w="11910" w:h="16840"/>
          <w:pgMar w:top="1320" w:bottom="1400" w:left="1040" w:right="1560"/>
        </w:sectPr>
      </w:pPr>
    </w:p>
    <w:p>
      <w:pPr>
        <w:spacing w:line="240" w:lineRule="auto" w:before="11"/>
        <w:rPr>
          <w:rFonts w:ascii="宋体" w:hAnsi="宋体" w:cs="宋体" w:eastAsia="宋体" w:hint="default"/>
          <w:sz w:val="15"/>
          <w:szCs w:val="15"/>
        </w:rPr>
      </w:pPr>
    </w:p>
    <w:p>
      <w:pPr>
        <w:spacing w:before="44"/>
        <w:ind w:left="3644" w:right="0" w:firstLine="0"/>
        <w:jc w:val="left"/>
        <w:rPr>
          <w:rFonts w:ascii="宋体" w:hAnsi="宋体" w:cs="宋体" w:eastAsia="宋体" w:hint="default"/>
          <w:sz w:val="18"/>
          <w:szCs w:val="18"/>
        </w:rPr>
      </w:pPr>
      <w:r>
        <w:rPr/>
        <w:pict>
          <v:shape style="position:absolute;margin-left:76.25pt;margin-top:-6.848299pt;width:69.361pt;height:19.52pt;mso-position-horizontal-relative:page;mso-position-vertical-relative:paragraph;z-index:1168" type="#_x0000_t75" stroked="false">
            <v:imagedata r:id="rId21" o:title=""/>
          </v:shape>
        </w:pic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3"/>
          <w:szCs w:val="3"/>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60"/>
          <w:footerReference w:type="default" r:id="rId61"/>
          <w:pgSz w:w="16840" w:h="11910" w:orient="landscape"/>
          <w:pgMar w:header="0" w:footer="0" w:top="780" w:bottom="280" w:left="1380" w:right="1280"/>
        </w:sectPr>
      </w:pPr>
    </w:p>
    <w:p>
      <w:pPr>
        <w:pStyle w:val="Heading5"/>
        <w:spacing w:line="290" w:lineRule="auto" w:before="36"/>
        <w:ind w:left="144" w:right="-13"/>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spacing w:line="240" w:lineRule="auto" w:before="12"/>
        <w:ind w:left="144"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406" w:val="left" w:leader="none"/>
        </w:tabs>
        <w:spacing w:line="240" w:lineRule="auto"/>
        <w:ind w:left="144" w:right="0"/>
        <w:jc w:val="left"/>
      </w:pPr>
      <w:r>
        <w:rPr>
          <w:spacing w:val="-1"/>
        </w:rPr>
        <w:t>单位：千元</w:t>
        <w:tab/>
      </w:r>
      <w:r>
        <w:rPr>
          <w:spacing w:val="-2"/>
        </w:rPr>
        <w:t>币种：人民币</w:t>
      </w:r>
    </w:p>
    <w:p>
      <w:pPr>
        <w:spacing w:after="0" w:line="240" w:lineRule="auto"/>
        <w:jc w:val="left"/>
        <w:sectPr>
          <w:type w:val="continuous"/>
          <w:pgSz w:w="16840" w:h="11910" w:orient="landscape"/>
          <w:pgMar w:top="1320" w:bottom="1400" w:left="1380" w:right="1280"/>
          <w:cols w:num="2" w:equalWidth="0">
            <w:col w:w="2262" w:space="8987"/>
            <w:col w:w="2931"/>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293"/>
        <w:gridCol w:w="1275"/>
        <w:gridCol w:w="994"/>
        <w:gridCol w:w="991"/>
        <w:gridCol w:w="992"/>
        <w:gridCol w:w="1421"/>
        <w:gridCol w:w="1133"/>
        <w:gridCol w:w="850"/>
        <w:gridCol w:w="854"/>
        <w:gridCol w:w="991"/>
        <w:gridCol w:w="1143"/>
      </w:tblGrid>
      <w:tr>
        <w:trPr>
          <w:trHeight w:val="283" w:hRule="exact"/>
        </w:trPr>
        <w:tc>
          <w:tcPr>
            <w:tcW w:w="32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67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9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93" w:type="dxa"/>
            <w:vMerge/>
            <w:tcBorders>
              <w:left w:val="single" w:sz="4" w:space="0" w:color="000000"/>
              <w:right w:val="single" w:sz="4" w:space="0" w:color="000000"/>
            </w:tcBorders>
          </w:tcPr>
          <w:p>
            <w:pP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1" w:type="dxa"/>
            <w:vMerge w:val="restart"/>
            <w:tcBorders>
              <w:top w:val="single" w:sz="4" w:space="0" w:color="000000"/>
              <w:left w:val="single" w:sz="4" w:space="0" w:color="000000"/>
              <w:right w:val="single" w:sz="4" w:space="0" w:color="000000"/>
            </w:tcBorders>
          </w:tcPr>
          <w:p>
            <w:pPr>
              <w:pStyle w:val="TableParagraph"/>
              <w:spacing w:line="272" w:lineRule="exact" w:before="135"/>
              <w:ind w:left="496" w:right="491"/>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19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43" w:type="dxa"/>
            <w:vMerge w:val="restart"/>
            <w:tcBorders>
              <w:top w:val="single" w:sz="4" w:space="0" w:color="000000"/>
              <w:left w:val="single" w:sz="4" w:space="0" w:color="000000"/>
              <w:right w:val="single" w:sz="4" w:space="0" w:color="000000"/>
            </w:tcBorders>
          </w:tcPr>
          <w:p>
            <w:pPr>
              <w:pStyle w:val="TableParagraph"/>
              <w:spacing w:line="272" w:lineRule="exact" w:before="135"/>
              <w:ind w:left="355" w:right="35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555" w:hRule="exact"/>
        </w:trPr>
        <w:tc>
          <w:tcPr>
            <w:tcW w:w="3293"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3" w:lineRule="exact"/>
              <w:ind w:left="2" w:right="0"/>
              <w:jc w:val="center"/>
              <w:rPr>
                <w:rFonts w:ascii="宋体" w:hAnsi="宋体" w:cs="宋体" w:eastAsia="宋体" w:hint="default"/>
                <w:sz w:val="21"/>
                <w:szCs w:val="21"/>
              </w:rPr>
            </w:pPr>
            <w:r>
              <w:rPr>
                <w:rFonts w:ascii="宋体"/>
                <w:sz w:val="21"/>
              </w:rPr>
              <w:t>(%)</w:t>
            </w:r>
          </w:p>
        </w:tc>
        <w:tc>
          <w:tcPr>
            <w:tcW w:w="1421"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5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5"/>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3" w:lineRule="exact"/>
              <w:ind w:left="2" w:right="0"/>
              <w:jc w:val="center"/>
              <w:rPr>
                <w:rFonts w:ascii="宋体" w:hAnsi="宋体" w:cs="宋体" w:eastAsia="宋体" w:hint="default"/>
                <w:sz w:val="21"/>
                <w:szCs w:val="21"/>
              </w:rPr>
            </w:pPr>
            <w:r>
              <w:rPr>
                <w:rFonts w:ascii="宋体"/>
                <w:sz w:val="21"/>
              </w:rPr>
              <w:t>(%)</w:t>
            </w:r>
          </w:p>
        </w:tc>
        <w:tc>
          <w:tcPr>
            <w:tcW w:w="1143" w:type="dxa"/>
            <w:vMerge/>
            <w:tcBorders>
              <w:left w:val="single" w:sz="4" w:space="0" w:color="000000"/>
              <w:bottom w:val="single" w:sz="4" w:space="0" w:color="000000"/>
              <w:right w:val="single" w:sz="4" w:space="0" w:color="000000"/>
            </w:tcBorders>
          </w:tcPr>
          <w:p>
            <w:pPr/>
          </w:p>
        </w:tc>
      </w:tr>
      <w:tr>
        <w:trPr>
          <w:trHeight w:val="554"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单项金额重大并单独计提坏账准备</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的应收账款</w:t>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的应收账款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2,367,203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8" w:right="0"/>
              <w:jc w:val="left"/>
              <w:rPr>
                <w:rFonts w:ascii="宋体" w:hAnsi="宋体" w:cs="宋体" w:eastAsia="宋体" w:hint="default"/>
                <w:sz w:val="21"/>
                <w:szCs w:val="21"/>
              </w:rPr>
            </w:pPr>
            <w:r>
              <w:rPr>
                <w:rFonts w:ascii="宋体"/>
                <w:sz w:val="21"/>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6" w:right="0"/>
              <w:jc w:val="left"/>
              <w:rPr>
                <w:rFonts w:ascii="宋体" w:hAnsi="宋体" w:cs="宋体" w:eastAsia="宋体" w:hint="default"/>
                <w:sz w:val="21"/>
                <w:szCs w:val="21"/>
              </w:rPr>
            </w:pPr>
            <w:r>
              <w:rPr>
                <w:rFonts w:ascii="宋体"/>
                <w:sz w:val="21"/>
              </w:rPr>
              <w:t>21,697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7" w:right="0"/>
              <w:jc w:val="left"/>
              <w:rPr>
                <w:rFonts w:ascii="宋体" w:hAnsi="宋体" w:cs="宋体" w:eastAsia="宋体" w:hint="default"/>
                <w:sz w:val="21"/>
                <w:szCs w:val="21"/>
              </w:rPr>
            </w:pPr>
            <w:r>
              <w:rPr>
                <w:rFonts w:ascii="宋体"/>
                <w:sz w:val="21"/>
              </w:rPr>
              <w:t>0.92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2,345,506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2,461,124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100.00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9" w:right="0"/>
              <w:jc w:val="left"/>
              <w:rPr>
                <w:rFonts w:ascii="宋体" w:hAnsi="宋体" w:cs="宋体" w:eastAsia="宋体" w:hint="default"/>
                <w:sz w:val="21"/>
                <w:szCs w:val="21"/>
              </w:rPr>
            </w:pPr>
            <w:r>
              <w:rPr>
                <w:rFonts w:ascii="宋体"/>
                <w:sz w:val="21"/>
              </w:rPr>
              <w:t>23,529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7" w:right="0"/>
              <w:jc w:val="left"/>
              <w:rPr>
                <w:rFonts w:ascii="宋体" w:hAnsi="宋体" w:cs="宋体" w:eastAsia="宋体" w:hint="default"/>
                <w:sz w:val="21"/>
                <w:szCs w:val="21"/>
              </w:rPr>
            </w:pPr>
            <w:r>
              <w:rPr>
                <w:rFonts w:ascii="宋体"/>
                <w:sz w:val="21"/>
              </w:rPr>
              <w:t>0.96</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2,437,595</w:t>
            </w:r>
          </w:p>
        </w:tc>
      </w:tr>
      <w:tr>
        <w:trPr>
          <w:trHeight w:val="554"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单项金额不重大但单独计提坏账准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备的应收账款</w:t>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2,367,203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sz w:val="21"/>
              </w:rPr>
              <w:t>21,697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2,345,506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2,461,124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sz w:val="21"/>
              </w:rPr>
              <w:t>23,529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2,437,595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44"/>
        <w:ind w:left="6654" w:right="6669" w:firstLine="0"/>
        <w:jc w:val="center"/>
        <w:rPr>
          <w:rFonts w:ascii="宋体" w:hAnsi="宋体" w:cs="宋体" w:eastAsia="宋体" w:hint="default"/>
          <w:sz w:val="18"/>
          <w:szCs w:val="18"/>
        </w:rPr>
      </w:pPr>
      <w:r>
        <w:rPr>
          <w:rFonts w:ascii="宋体"/>
          <w:b/>
          <w:sz w:val="18"/>
        </w:rPr>
        <w:t>142 </w:t>
      </w:r>
      <w:r>
        <w:rPr>
          <w:rFonts w:ascii="宋体"/>
          <w:sz w:val="18"/>
        </w:rPr>
        <w:t>/</w:t>
      </w:r>
      <w:r>
        <w:rPr>
          <w:rFonts w:ascii="宋体"/>
          <w:spacing w:val="-1"/>
          <w:sz w:val="18"/>
        </w:rPr>
        <w:t> </w:t>
      </w:r>
      <w:r>
        <w:rPr>
          <w:rFonts w:ascii="宋体"/>
          <w:b/>
          <w:sz w:val="18"/>
        </w:rPr>
        <w:t>220</w:t>
      </w:r>
      <w:r>
        <w:rPr>
          <w:rFonts w:ascii="宋体"/>
          <w:sz w:val="18"/>
        </w:rPr>
      </w:r>
    </w:p>
    <w:p>
      <w:pPr>
        <w:spacing w:after="0"/>
        <w:jc w:val="center"/>
        <w:rPr>
          <w:rFonts w:ascii="宋体" w:hAnsi="宋体" w:cs="宋体" w:eastAsia="宋体" w:hint="default"/>
          <w:sz w:val="18"/>
          <w:szCs w:val="18"/>
        </w:rPr>
        <w:sectPr>
          <w:type w:val="continuous"/>
          <w:pgSz w:w="16840" w:h="11910" w:orient="landscape"/>
          <w:pgMar w:top="1320" w:bottom="1400" w:left="1380" w:right="1280"/>
        </w:sectPr>
      </w:pPr>
    </w:p>
    <w:p>
      <w:pPr>
        <w:spacing w:line="240" w:lineRule="auto" w:before="7"/>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footerReference w:type="default" r:id="rId62"/>
          <w:pgSz w:w="11910" w:h="16840"/>
          <w:pgMar w:footer="1217" w:header="0" w:top="1320" w:bottom="1400" w:left="1040" w:right="1560"/>
          <w:pgNumType w:start="143"/>
        </w:sectPr>
      </w:pPr>
    </w:p>
    <w:p>
      <w:pPr>
        <w:pStyle w:val="BodyText"/>
        <w:spacing w:line="273" w:lineRule="exact" w:before="36"/>
        <w:ind w:left="237" w:right="0"/>
        <w:jc w:val="left"/>
      </w:pPr>
      <w:r>
        <w:rPr>
          <w:spacing w:val="-2"/>
        </w:rPr>
        <w:t>期末单项金额重大并单项计提坏账准备的应收账款</w:t>
      </w:r>
    </w:p>
    <w:p>
      <w:pPr>
        <w:pStyle w:val="BodyText"/>
        <w:spacing w:line="240" w:lineRule="auto"/>
        <w:ind w:left="237" w:right="0"/>
        <w:jc w:val="left"/>
      </w:pPr>
      <w:r>
        <w:rPr/>
        <w:t>□适用</w:t>
      </w:r>
      <w:r>
        <w:rPr>
          <w:spacing w:val="-2"/>
        </w:rPr>
        <w:t> </w:t>
      </w:r>
      <w:r>
        <w:rPr/>
        <w:t>√不适用</w:t>
      </w:r>
      <w:r>
        <w:rPr>
          <w:spacing w:val="-103"/>
        </w:rPr>
        <w:t> </w:t>
      </w:r>
      <w:r>
        <w:rPr>
          <w:spacing w:val="-103"/>
        </w:rPr>
      </w:r>
      <w:r>
        <w:rPr>
          <w:spacing w:val="-2"/>
        </w:rPr>
        <w:t>组合中，按账龄分析法计提坏账准备的应收账款</w:t>
      </w:r>
    </w:p>
    <w:p>
      <w:pPr>
        <w:pStyle w:val="BodyText"/>
        <w:spacing w:line="271" w:lineRule="exact"/>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4863" w:space="1447"/>
            <w:col w:w="3000"/>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086"/>
        <w:gridCol w:w="2324"/>
        <w:gridCol w:w="2360"/>
        <w:gridCol w:w="2293"/>
      </w:tblGrid>
      <w:tr>
        <w:trPr>
          <w:trHeight w:val="283" w:hRule="exact"/>
        </w:trPr>
        <w:tc>
          <w:tcPr>
            <w:tcW w:w="2086"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086" w:type="dxa"/>
            <w:vMerge/>
            <w:tcBorders>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976"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976"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0-120</w:t>
            </w:r>
            <w:r>
              <w:rPr>
                <w:rFonts w:ascii="宋体" w:hAnsi="宋体" w:cs="宋体" w:eastAsia="宋体" w:hint="default"/>
                <w:spacing w:val="-51"/>
                <w:sz w:val="21"/>
                <w:szCs w:val="21"/>
              </w:rPr>
              <w:t> </w:t>
            </w:r>
            <w:r>
              <w:rPr>
                <w:rFonts w:ascii="宋体" w:hAnsi="宋体" w:cs="宋体" w:eastAsia="宋体" w:hint="default"/>
                <w:sz w:val="21"/>
                <w:szCs w:val="21"/>
              </w:rPr>
              <w:t>天</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2,197,529</w:t>
            </w:r>
          </w:p>
        </w:tc>
        <w:tc>
          <w:tcPr>
            <w:tcW w:w="2360"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121</w:t>
            </w:r>
            <w:r>
              <w:rPr>
                <w:rFonts w:ascii="宋体" w:hAnsi="宋体" w:cs="宋体" w:eastAsia="宋体" w:hint="default"/>
                <w:spacing w:val="-52"/>
                <w:sz w:val="21"/>
                <w:szCs w:val="21"/>
              </w:rPr>
              <w:t> </w:t>
            </w:r>
            <w:r>
              <w:rPr>
                <w:rFonts w:ascii="宋体" w:hAnsi="宋体" w:cs="宋体" w:eastAsia="宋体" w:hint="default"/>
                <w:sz w:val="21"/>
                <w:szCs w:val="21"/>
              </w:rPr>
              <w:t>天</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144,795</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7,240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5.00</w:t>
            </w:r>
          </w:p>
        </w:tc>
      </w:tr>
      <w:tr>
        <w:trPr>
          <w:trHeight w:val="284"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2,342,324</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7,240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0.31</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14,469</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4,341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30.00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588</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294</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50.00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9,822</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9,822</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100.00</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2,367,203</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21,697</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0.92</w:t>
            </w:r>
          </w:p>
        </w:tc>
      </w:tr>
    </w:tbl>
    <w:p>
      <w:pPr>
        <w:spacing w:line="240" w:lineRule="auto" w:before="7"/>
        <w:rPr>
          <w:rFonts w:ascii="宋体" w:hAnsi="宋体" w:cs="宋体" w:eastAsia="宋体" w:hint="default"/>
          <w:sz w:val="15"/>
          <w:szCs w:val="15"/>
        </w:rPr>
      </w:pPr>
    </w:p>
    <w:p>
      <w:pPr>
        <w:pStyle w:val="BodyText"/>
        <w:spacing w:line="272" w:lineRule="exact" w:before="64"/>
        <w:ind w:left="237" w:right="3382"/>
        <w:jc w:val="left"/>
      </w:pPr>
      <w:r>
        <w:rPr/>
        <w:t>确定该组合依据的说明：</w:t>
      </w:r>
      <w:r>
        <w:rPr>
          <w:w w:val="100"/>
        </w:rPr>
        <w:t> </w:t>
      </w:r>
      <w:r>
        <w:rPr/>
        <w:t>本公司以账龄法为信用风险特征组合的确定依据。</w:t>
      </w:r>
    </w:p>
    <w:p>
      <w:pPr>
        <w:spacing w:line="240" w:lineRule="auto" w:before="9"/>
        <w:rPr>
          <w:rFonts w:ascii="宋体" w:hAnsi="宋体" w:cs="宋体" w:eastAsia="宋体" w:hint="default"/>
          <w:sz w:val="21"/>
          <w:szCs w:val="21"/>
        </w:rPr>
      </w:pPr>
    </w:p>
    <w:p>
      <w:pPr>
        <w:pStyle w:val="BodyText"/>
        <w:spacing w:line="274" w:lineRule="exact"/>
        <w:ind w:left="237" w:right="127"/>
        <w:jc w:val="left"/>
      </w:pPr>
      <w:r>
        <w:rPr/>
        <w:t>组合中，采用余额百分比法计提坏账准备的应收账款</w:t>
      </w:r>
    </w:p>
    <w:p>
      <w:pPr>
        <w:pStyle w:val="BodyText"/>
        <w:spacing w:line="274" w:lineRule="exact"/>
        <w:ind w:left="237" w:right="127"/>
        <w:jc w:val="left"/>
      </w:pPr>
      <w:r>
        <w:rPr/>
        <w:t>□适用 √不适用</w:t>
      </w:r>
    </w:p>
    <w:p>
      <w:pPr>
        <w:spacing w:line="240" w:lineRule="auto" w:before="8"/>
        <w:rPr>
          <w:rFonts w:ascii="宋体" w:hAnsi="宋体" w:cs="宋体" w:eastAsia="宋体" w:hint="default"/>
          <w:sz w:val="23"/>
          <w:szCs w:val="23"/>
        </w:rPr>
      </w:pPr>
    </w:p>
    <w:p>
      <w:pPr>
        <w:pStyle w:val="BodyText"/>
        <w:spacing w:line="274" w:lineRule="exact"/>
        <w:ind w:left="237" w:right="127"/>
        <w:jc w:val="left"/>
      </w:pPr>
      <w:r>
        <w:rPr/>
        <w:t>组合中，采用其他方法计提坏账准备的应收账款</w:t>
      </w:r>
    </w:p>
    <w:p>
      <w:pPr>
        <w:pStyle w:val="BodyText"/>
        <w:tabs>
          <w:tab w:pos="1079" w:val="left" w:leader="none"/>
        </w:tabs>
        <w:spacing w:line="274" w:lineRule="exact"/>
        <w:ind w:left="237" w:right="127"/>
        <w:jc w:val="left"/>
      </w:pPr>
      <w:r>
        <w:rPr/>
        <w:t>□适用</w:t>
        <w:tab/>
        <w:t>√不适用</w:t>
      </w:r>
    </w:p>
    <w:p>
      <w:pPr>
        <w:spacing w:line="240" w:lineRule="auto" w:before="2"/>
        <w:rPr>
          <w:rFonts w:ascii="宋体" w:hAnsi="宋体" w:cs="宋体" w:eastAsia="宋体" w:hint="default"/>
          <w:sz w:val="28"/>
          <w:szCs w:val="28"/>
        </w:rPr>
      </w:pPr>
    </w:p>
    <w:p>
      <w:pPr>
        <w:pStyle w:val="Heading5"/>
        <w:spacing w:line="240" w:lineRule="auto"/>
        <w:ind w:left="237" w:right="127"/>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56"/>
        <w:ind w:left="237" w:right="127"/>
        <w:jc w:val="left"/>
      </w:pPr>
      <w:r>
        <w:rPr/>
        <w:t>本期计提坏账准备金额</w:t>
      </w:r>
      <w:r>
        <w:rPr>
          <w:spacing w:val="-54"/>
        </w:rPr>
        <w:t> </w:t>
      </w:r>
      <w:r>
        <w:rPr>
          <w:rFonts w:ascii="宋体" w:hAnsi="宋体" w:cs="宋体" w:eastAsia="宋体" w:hint="default"/>
        </w:rPr>
        <w:t>4,134,039</w:t>
      </w:r>
      <w:r>
        <w:rPr>
          <w:rFonts w:ascii="宋体" w:hAnsi="宋体" w:cs="宋体" w:eastAsia="宋体" w:hint="default"/>
          <w:spacing w:val="-54"/>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spacing w:line="240" w:lineRule="auto" w:before="7"/>
        <w:rPr>
          <w:rFonts w:ascii="宋体" w:hAnsi="宋体" w:cs="宋体" w:eastAsia="宋体" w:hint="default"/>
          <w:sz w:val="23"/>
          <w:szCs w:val="23"/>
        </w:rPr>
      </w:pPr>
    </w:p>
    <w:p>
      <w:pPr>
        <w:pStyle w:val="BodyText"/>
        <w:spacing w:line="274" w:lineRule="exact"/>
        <w:ind w:left="237" w:right="127"/>
        <w:jc w:val="left"/>
      </w:pPr>
      <w:r>
        <w:rPr/>
        <w:t>其中本期坏账准备收回或转回金额重要的：</w:t>
      </w:r>
    </w:p>
    <w:p>
      <w:pPr>
        <w:pStyle w:val="BodyText"/>
        <w:spacing w:line="274" w:lineRule="exact"/>
        <w:ind w:left="237" w:right="127"/>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20" w:bottom="1400" w:left="1040" w:right="1560"/>
        </w:sectPr>
      </w:pPr>
    </w:p>
    <w:p>
      <w:pPr>
        <w:pStyle w:val="Heading5"/>
        <w:spacing w:line="240" w:lineRule="auto" w:before="36"/>
        <w:ind w:left="237" w:right="-16"/>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40" w:lineRule="auto" w:before="57"/>
        <w:ind w:left="23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3406" w:space="2904"/>
            <w:col w:w="3000"/>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273"/>
        <w:gridCol w:w="4777"/>
      </w:tblGrid>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57,869</w:t>
            </w:r>
          </w:p>
        </w:tc>
      </w:tr>
    </w:tbl>
    <w:p>
      <w:pPr>
        <w:spacing w:line="240" w:lineRule="auto" w:before="5"/>
        <w:rPr>
          <w:rFonts w:ascii="宋体" w:hAnsi="宋体" w:cs="宋体" w:eastAsia="宋体" w:hint="default"/>
          <w:sz w:val="15"/>
          <w:szCs w:val="15"/>
        </w:rPr>
      </w:pPr>
    </w:p>
    <w:p>
      <w:pPr>
        <w:pStyle w:val="BodyText"/>
        <w:spacing w:line="274" w:lineRule="exact" w:before="36"/>
        <w:ind w:left="237" w:right="127"/>
        <w:jc w:val="left"/>
      </w:pPr>
      <w:r>
        <w:rPr/>
        <w:t>其中重要的应收账款核销情况</w:t>
      </w:r>
    </w:p>
    <w:p>
      <w:pPr>
        <w:pStyle w:val="BodyText"/>
        <w:spacing w:line="272" w:lineRule="exact" w:before="27"/>
        <w:ind w:left="237" w:right="7168"/>
        <w:jc w:val="left"/>
      </w:pPr>
      <w:r>
        <w:rPr/>
        <w:t>□适用</w:t>
      </w:r>
      <w:r>
        <w:rPr>
          <w:spacing w:val="-2"/>
        </w:rPr>
        <w:t> </w:t>
      </w:r>
      <w:r>
        <w:rPr/>
        <w:t>√不适用</w:t>
      </w:r>
      <w:r>
        <w:rPr>
          <w:w w:val="100"/>
        </w:rPr>
        <w:t> </w:t>
      </w:r>
      <w:r>
        <w:rPr>
          <w:spacing w:val="-1"/>
        </w:rPr>
        <w:t>应收账款核销说明：</w:t>
      </w:r>
    </w:p>
    <w:p>
      <w:pPr>
        <w:pStyle w:val="BodyText"/>
        <w:spacing w:line="247" w:lineRule="exact"/>
        <w:ind w:left="237" w:right="127"/>
        <w:jc w:val="left"/>
      </w:pPr>
      <w:r>
        <w:rPr/>
        <w:t>√适用 □不适用</w:t>
      </w:r>
    </w:p>
    <w:p>
      <w:pPr>
        <w:pStyle w:val="BodyText"/>
        <w:spacing w:line="273" w:lineRule="exact"/>
        <w:ind w:left="237" w:right="127"/>
        <w:jc w:val="left"/>
      </w:pPr>
      <w:r>
        <w:rPr/>
        <w:t>本期收回已核销坏账准备金额为</w:t>
      </w:r>
      <w:r>
        <w:rPr>
          <w:spacing w:val="-53"/>
        </w:rPr>
        <w:t> </w:t>
      </w:r>
      <w:r>
        <w:rPr>
          <w:rFonts w:ascii="宋体" w:hAnsi="宋体" w:cs="宋体" w:eastAsia="宋体" w:hint="default"/>
        </w:rPr>
        <w:t>54,261,038</w:t>
      </w:r>
      <w:r>
        <w:rPr>
          <w:rFonts w:ascii="宋体" w:hAnsi="宋体" w:cs="宋体" w:eastAsia="宋体" w:hint="default"/>
          <w:spacing w:val="-55"/>
        </w:rPr>
        <w:t> </w:t>
      </w:r>
      <w:r>
        <w:rPr/>
        <w:t>元。</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320" w:bottom="1400" w:left="1040" w:right="1560"/>
        </w:sectPr>
      </w:pPr>
    </w:p>
    <w:p>
      <w:pPr>
        <w:pStyle w:val="Heading5"/>
        <w:spacing w:line="240" w:lineRule="auto" w:before="36"/>
        <w:ind w:left="237" w:right="0"/>
        <w:jc w:val="left"/>
        <w:rPr>
          <w:b w:val="0"/>
          <w:bCs w:val="0"/>
        </w:rPr>
      </w:pPr>
      <w:r>
        <w:rPr>
          <w:rFonts w:ascii="宋体" w:hAnsi="宋体" w:cs="宋体" w:eastAsia="宋体" w:hint="default"/>
          <w:spacing w:val="-1"/>
        </w:rPr>
        <w:t>(4).</w:t>
      </w:r>
      <w:r>
        <w:rPr>
          <w:spacing w:val="-1"/>
        </w:rPr>
        <w:t>按欠款方归集的期末余额前五名的应收账款情况</w:t>
      </w:r>
      <w:r>
        <w:rPr>
          <w:b w:val="0"/>
          <w:bCs w:val="0"/>
          <w:spacing w:val="-1"/>
        </w:rPr>
      </w:r>
    </w:p>
    <w:p>
      <w:pPr>
        <w:pStyle w:val="BodyText"/>
        <w:tabs>
          <w:tab w:pos="1079" w:val="left" w:leader="none"/>
        </w:tabs>
        <w:spacing w:line="240" w:lineRule="auto" w:before="59"/>
        <w:ind w:left="237"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5093" w:space="1102"/>
            <w:col w:w="3115"/>
          </w:cols>
        </w:sectPr>
      </w:pPr>
    </w:p>
    <w:p>
      <w:pPr>
        <w:spacing w:line="240" w:lineRule="auto" w:before="1"/>
        <w:rPr>
          <w:rFonts w:ascii="宋体" w:hAnsi="宋体" w:cs="宋体" w:eastAsia="宋体" w:hint="default"/>
          <w:sz w:val="8"/>
          <w:szCs w:val="8"/>
        </w:rPr>
      </w:pPr>
    </w:p>
    <w:tbl>
      <w:tblPr>
        <w:tblW w:w="0" w:type="auto"/>
        <w:jc w:val="left"/>
        <w:tblInd w:w="123" w:type="dxa"/>
        <w:tblLayout w:type="fixed"/>
        <w:tblCellMar>
          <w:top w:w="0" w:type="dxa"/>
          <w:left w:w="0" w:type="dxa"/>
          <w:bottom w:w="0" w:type="dxa"/>
          <w:right w:w="0" w:type="dxa"/>
        </w:tblCellMar>
        <w:tblLook w:val="01E0"/>
      </w:tblPr>
      <w:tblGrid>
        <w:gridCol w:w="2264"/>
        <w:gridCol w:w="2261"/>
        <w:gridCol w:w="2264"/>
        <w:gridCol w:w="2261"/>
      </w:tblGrid>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汇总前五名应收账款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2" w:right="0"/>
              <w:jc w:val="left"/>
              <w:rPr>
                <w:rFonts w:ascii="宋体" w:hAnsi="宋体" w:cs="宋体" w:eastAsia="宋体" w:hint="default"/>
                <w:sz w:val="21"/>
                <w:szCs w:val="21"/>
              </w:rPr>
            </w:pPr>
            <w:r>
              <w:rPr>
                <w:rFonts w:ascii="宋体"/>
                <w:sz w:val="21"/>
              </w:rPr>
              <w:t>1,104,033</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46.64</w:t>
            </w:r>
          </w:p>
        </w:tc>
      </w:tr>
    </w:tbl>
    <w:p>
      <w:pPr>
        <w:spacing w:line="240" w:lineRule="auto" w:before="1"/>
        <w:rPr>
          <w:rFonts w:ascii="宋体" w:hAnsi="宋体" w:cs="宋体" w:eastAsia="宋体" w:hint="default"/>
          <w:sz w:val="23"/>
          <w:szCs w:val="23"/>
        </w:rPr>
      </w:pPr>
    </w:p>
    <w:p>
      <w:pPr>
        <w:pStyle w:val="Heading5"/>
        <w:spacing w:line="240" w:lineRule="auto" w:before="36"/>
        <w:ind w:left="237" w:right="127"/>
        <w:jc w:val="left"/>
        <w:rPr>
          <w:b w:val="0"/>
          <w:bCs w:val="0"/>
        </w:rPr>
      </w:pPr>
      <w:r>
        <w:rPr>
          <w:rFonts w:ascii="宋体" w:hAnsi="宋体" w:cs="宋体" w:eastAsia="宋体" w:hint="default"/>
        </w:rPr>
        <w:t>(5).</w:t>
      </w:r>
      <w:r>
        <w:rPr/>
        <w:t>因金融资产转移而终止确认的应收账款</w:t>
      </w:r>
      <w:r>
        <w:rPr>
          <w:b w:val="0"/>
          <w:bCs w:val="0"/>
        </w:rPr>
      </w:r>
    </w:p>
    <w:p>
      <w:pPr>
        <w:pStyle w:val="BodyText"/>
        <w:tabs>
          <w:tab w:pos="1079" w:val="left" w:leader="none"/>
        </w:tabs>
        <w:spacing w:line="240" w:lineRule="auto" w:before="58"/>
        <w:ind w:left="237" w:right="127"/>
        <w:jc w:val="left"/>
      </w:pPr>
      <w:r>
        <w:rPr/>
        <w:t>□适用</w:t>
        <w:tab/>
        <w:t>√不适用</w:t>
      </w:r>
    </w:p>
    <w:p>
      <w:pPr>
        <w:spacing w:line="240" w:lineRule="auto" w:before="5"/>
        <w:rPr>
          <w:rFonts w:ascii="宋体" w:hAnsi="宋体" w:cs="宋体" w:eastAsia="宋体" w:hint="default"/>
          <w:sz w:val="25"/>
          <w:szCs w:val="25"/>
        </w:rPr>
      </w:pPr>
    </w:p>
    <w:p>
      <w:pPr>
        <w:pStyle w:val="Heading5"/>
        <w:spacing w:line="240" w:lineRule="auto"/>
        <w:ind w:left="237" w:right="127"/>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tabs>
          <w:tab w:pos="1079" w:val="left" w:leader="none"/>
        </w:tabs>
        <w:spacing w:line="240" w:lineRule="auto" w:before="58"/>
        <w:ind w:left="237" w:right="127"/>
        <w:jc w:val="left"/>
      </w:pPr>
      <w:r>
        <w:rPr/>
        <w:t>□适用</w:t>
        <w:tab/>
        <w:t>√不适用</w:t>
      </w:r>
    </w:p>
    <w:p>
      <w:pPr>
        <w:spacing w:line="240" w:lineRule="auto" w:before="4"/>
        <w:rPr>
          <w:rFonts w:ascii="宋体" w:hAnsi="宋体" w:cs="宋体" w:eastAsia="宋体" w:hint="default"/>
          <w:sz w:val="20"/>
          <w:szCs w:val="20"/>
        </w:rPr>
      </w:pPr>
    </w:p>
    <w:p>
      <w:pPr>
        <w:pStyle w:val="Heading3"/>
        <w:spacing w:line="240" w:lineRule="auto"/>
        <w:ind w:left="237" w:right="127"/>
        <w:jc w:val="left"/>
      </w:pPr>
      <w:r>
        <w:rPr/>
        <w:t>其他说明：</w:t>
      </w:r>
    </w:p>
    <w:p>
      <w:pPr>
        <w:pStyle w:val="BodyText"/>
        <w:tabs>
          <w:tab w:pos="1079" w:val="left" w:leader="none"/>
        </w:tabs>
        <w:spacing w:line="240" w:lineRule="auto" w:before="4"/>
        <w:ind w:left="237" w:right="127"/>
        <w:jc w:val="left"/>
      </w:pPr>
      <w:r>
        <w:rPr/>
        <w:t>□适用</w:t>
        <w:tab/>
        <w:t>√不适用</w:t>
      </w: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217" w:top="1320" w:bottom="1400" w:left="1040" w:right="1560"/>
        </w:sectPr>
      </w:pPr>
    </w:p>
    <w:p>
      <w:pPr>
        <w:pStyle w:val="Heading5"/>
        <w:spacing w:line="290" w:lineRule="auto" w:before="36"/>
        <w:ind w:left="237" w:right="-13"/>
        <w:jc w:val="left"/>
        <w:rPr>
          <w:b w:val="0"/>
          <w:bCs w:val="0"/>
        </w:rPr>
      </w:pPr>
      <w:r>
        <w:rPr>
          <w:rFonts w:ascii="宋体" w:hAnsi="宋体" w:cs="宋体" w:eastAsia="宋体" w:hint="default"/>
        </w:rPr>
        <w:t>5</w:t>
      </w:r>
      <w:r>
        <w:rPr/>
        <w:t>、</w:t>
      </w:r>
      <w:r>
        <w:rPr>
          <w:spacing w:val="-3"/>
        </w:rPr>
        <w:t> </w:t>
      </w:r>
      <w:r>
        <w:rPr/>
        <w:t>预付款项</w:t>
      </w:r>
      <w:r>
        <w:rPr>
          <w:w w:val="100"/>
        </w:rPr>
        <w:t> </w:t>
      </w:r>
      <w:r>
        <w:rPr>
          <w:rFonts w:ascii="宋体" w:hAnsi="宋体" w:cs="宋体" w:eastAsia="宋体" w:hint="default"/>
        </w:rPr>
        <w:t>(1).</w:t>
      </w:r>
      <w:r>
        <w:rPr/>
        <w:t>预付款项按账龄列示</w:t>
      </w:r>
      <w:r>
        <w:rPr>
          <w:b w:val="0"/>
          <w:bCs w:val="0"/>
        </w:rPr>
      </w:r>
    </w:p>
    <w:p>
      <w:pPr>
        <w:pStyle w:val="BodyText"/>
        <w:tabs>
          <w:tab w:pos="1079" w:val="left" w:leader="none"/>
        </w:tabs>
        <w:spacing w:line="240" w:lineRule="auto" w:before="14"/>
        <w:ind w:left="237" w:right="-13"/>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2566" w:space="3745"/>
            <w:col w:w="299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85"/>
        <w:gridCol w:w="1928"/>
        <w:gridCol w:w="1911"/>
        <w:gridCol w:w="1910"/>
        <w:gridCol w:w="1928"/>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金额</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z w:val="21"/>
              </w:rPr>
              <w:t>69,366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75.49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78,105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81.66</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8,038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8.75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5,873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6.14</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75"/>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z w:val="21"/>
              </w:rPr>
              <w:t>4,504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sz w:val="21"/>
              </w:rPr>
              <w:t>4.90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sz w:val="21"/>
              </w:rPr>
              <w:t>6,833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z w:val="21"/>
              </w:rPr>
              <w:t>7.14</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9,974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10.86</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4,840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5.06</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z w:val="21"/>
              </w:rPr>
              <w:t>91,882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100.00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95,651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100.00</w:t>
            </w:r>
          </w:p>
        </w:tc>
      </w:tr>
    </w:tbl>
    <w:p>
      <w:pPr>
        <w:spacing w:line="240" w:lineRule="auto" w:before="7"/>
        <w:rPr>
          <w:rFonts w:ascii="宋体" w:hAnsi="宋体" w:cs="宋体" w:eastAsia="宋体" w:hint="default"/>
          <w:sz w:val="15"/>
          <w:szCs w:val="15"/>
        </w:rPr>
      </w:pPr>
    </w:p>
    <w:p>
      <w:pPr>
        <w:pStyle w:val="BodyText"/>
        <w:spacing w:line="272" w:lineRule="exact" w:before="64"/>
        <w:ind w:left="237" w:right="3382"/>
        <w:jc w:val="left"/>
      </w:pP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r>
        <w:rPr>
          <w:w w:val="100"/>
        </w:rPr>
        <w:t> </w:t>
      </w:r>
      <w:r>
        <w:rPr/>
        <w:t>无。</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20" w:bottom="1400" w:left="1040" w:right="1560"/>
        </w:sectPr>
      </w:pPr>
    </w:p>
    <w:p>
      <w:pPr>
        <w:pStyle w:val="Heading5"/>
        <w:spacing w:line="240" w:lineRule="auto" w:before="36"/>
        <w:ind w:left="237" w:right="0"/>
        <w:jc w:val="left"/>
        <w:rPr>
          <w:b w:val="0"/>
          <w:bCs w:val="0"/>
        </w:rPr>
      </w:pPr>
      <w:r>
        <w:rPr>
          <w:rFonts w:ascii="宋体" w:hAnsi="宋体" w:cs="宋体" w:eastAsia="宋体" w:hint="default"/>
          <w:spacing w:val="-1"/>
        </w:rPr>
        <w:t>(2).</w:t>
      </w:r>
      <w:r>
        <w:rPr>
          <w:spacing w:val="-1"/>
        </w:rPr>
        <w:t>按预付对象归集的期末余额前五名的预付款情况</w:t>
      </w:r>
      <w:r>
        <w:rPr>
          <w:b w:val="0"/>
          <w:bCs w:val="0"/>
          <w:spacing w:val="-1"/>
        </w:rPr>
      </w:r>
    </w:p>
    <w:p>
      <w:pPr>
        <w:pStyle w:val="BodyText"/>
        <w:tabs>
          <w:tab w:pos="1079" w:val="left" w:leader="none"/>
        </w:tabs>
        <w:spacing w:line="240" w:lineRule="auto" w:before="58"/>
        <w:ind w:left="237"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52" w:val="left" w:leader="none"/>
        </w:tabs>
        <w:spacing w:line="240" w:lineRule="auto"/>
        <w:ind w:left="237" w:right="0"/>
        <w:jc w:val="left"/>
      </w:pPr>
      <w:r>
        <w:rPr>
          <w:spacing w:val="-11"/>
        </w:rPr>
        <w:t>单位：千元</w:t>
        <w:tab/>
      </w:r>
      <w:r>
        <w:rPr>
          <w:spacing w:val="-10"/>
        </w:rPr>
        <w:t>币种：人民币</w:t>
      </w:r>
    </w:p>
    <w:p>
      <w:pPr>
        <w:spacing w:after="0" w:line="240" w:lineRule="auto"/>
        <w:jc w:val="left"/>
        <w:sectPr>
          <w:type w:val="continuous"/>
          <w:pgSz w:w="11910" w:h="16840"/>
          <w:pgMar w:top="1320" w:bottom="1400" w:left="1040" w:right="1560"/>
          <w:cols w:num="2" w:equalWidth="0">
            <w:col w:w="5093" w:space="1313"/>
            <w:col w:w="2904"/>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18"/>
        <w:gridCol w:w="3015"/>
        <w:gridCol w:w="3017"/>
      </w:tblGrid>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汇总前五名预付款项</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24,179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26.32</w:t>
            </w:r>
          </w:p>
        </w:tc>
      </w:tr>
    </w:tbl>
    <w:p>
      <w:pPr>
        <w:spacing w:line="240" w:lineRule="auto" w:before="11"/>
        <w:rPr>
          <w:rFonts w:ascii="宋体" w:hAnsi="宋体" w:cs="宋体" w:eastAsia="宋体" w:hint="default"/>
          <w:sz w:val="18"/>
          <w:szCs w:val="18"/>
        </w:rPr>
      </w:pPr>
    </w:p>
    <w:p>
      <w:pPr>
        <w:pStyle w:val="Heading3"/>
        <w:spacing w:line="240" w:lineRule="auto" w:before="26"/>
        <w:ind w:left="237" w:right="127"/>
        <w:jc w:val="left"/>
      </w:pPr>
      <w:r>
        <w:rPr/>
        <w:t>其他说明</w:t>
      </w:r>
    </w:p>
    <w:p>
      <w:pPr>
        <w:pStyle w:val="BodyText"/>
        <w:tabs>
          <w:tab w:pos="1079" w:val="left" w:leader="none"/>
        </w:tabs>
        <w:spacing w:line="240" w:lineRule="auto" w:before="4"/>
        <w:ind w:left="237" w:right="127"/>
        <w:jc w:val="left"/>
      </w:pPr>
      <w:r>
        <w:rPr/>
        <w:t>□适用</w:t>
        <w:tab/>
        <w:t>√不适用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320" w:bottom="1400" w:left="1040" w:right="1560"/>
        </w:sectPr>
      </w:pPr>
    </w:p>
    <w:p>
      <w:pPr>
        <w:pStyle w:val="Heading5"/>
        <w:spacing w:line="290" w:lineRule="auto" w:before="36"/>
        <w:ind w:left="237" w:right="82"/>
        <w:jc w:val="left"/>
        <w:rPr>
          <w:b w:val="0"/>
          <w:bCs w:val="0"/>
        </w:rPr>
      </w:pPr>
      <w:r>
        <w:rPr>
          <w:rFonts w:ascii="宋体" w:hAnsi="宋体" w:cs="宋体" w:eastAsia="宋体" w:hint="default"/>
        </w:rPr>
        <w:t>6</w:t>
      </w:r>
      <w:r>
        <w:rPr/>
        <w:t>、</w:t>
      </w:r>
      <w:r>
        <w:rPr>
          <w:spacing w:val="-2"/>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1815" w:space="4496"/>
            <w:col w:w="299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267,891</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52,064</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pacing w:val="-1"/>
                <w:sz w:val="21"/>
              </w:rPr>
              <w:t>249,452</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z w:val="21"/>
              </w:rPr>
              <w:t>76,280</w:t>
            </w:r>
          </w:p>
        </w:tc>
      </w:tr>
      <w:tr>
        <w:trPr>
          <w:trHeight w:val="28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517,343</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128,344</w:t>
            </w:r>
          </w:p>
        </w:tc>
      </w:tr>
    </w:tbl>
    <w:p>
      <w:pPr>
        <w:spacing w:after="0" w:line="241" w:lineRule="exact"/>
        <w:jc w:val="right"/>
        <w:rPr>
          <w:rFonts w:ascii="宋体" w:hAnsi="宋体" w:cs="宋体" w:eastAsia="宋体" w:hint="default"/>
          <w:sz w:val="21"/>
          <w:szCs w:val="21"/>
        </w:rPr>
        <w:sectPr>
          <w:type w:val="continuous"/>
          <w:pgSz w:w="11910" w:h="16840"/>
          <w:pgMar w:top="1320" w:bottom="1400" w:left="1040" w:right="1560"/>
        </w:sectPr>
      </w:pPr>
    </w:p>
    <w:p>
      <w:pPr>
        <w:pStyle w:val="BodyText"/>
        <w:spacing w:line="273" w:lineRule="exact" w:before="72"/>
        <w:ind w:left="137" w:right="5592"/>
        <w:jc w:val="left"/>
      </w:pPr>
      <w:r>
        <w:rPr/>
        <w:t>其他说明：</w:t>
      </w:r>
    </w:p>
    <w:p>
      <w:pPr>
        <w:pStyle w:val="BodyText"/>
        <w:spacing w:line="273" w:lineRule="exact"/>
        <w:ind w:left="137" w:right="5592"/>
        <w:jc w:val="left"/>
      </w:pPr>
      <w:r>
        <w:rPr/>
        <w:t>□适用 √不适用</w:t>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217" w:top="1320" w:bottom="1400" w:left="1140" w:right="1640"/>
        </w:sectPr>
      </w:pPr>
    </w:p>
    <w:p>
      <w:pPr>
        <w:pStyle w:val="Heading5"/>
        <w:spacing w:line="290" w:lineRule="auto" w:before="36"/>
        <w:ind w:left="137" w:right="-14"/>
        <w:jc w:val="left"/>
        <w:rPr>
          <w:b w:val="0"/>
          <w:bCs w:val="0"/>
        </w:rPr>
      </w:pPr>
      <w:r>
        <w:rPr/>
        <w:t>应收利息</w:t>
      </w:r>
      <w:r>
        <w:rPr>
          <w:w w:val="100"/>
        </w:rPr>
        <w:t> </w:t>
      </w:r>
      <w:r>
        <w:rPr>
          <w:rFonts w:ascii="宋体" w:hAnsi="宋体" w:cs="宋体" w:eastAsia="宋体" w:hint="default"/>
        </w:rPr>
        <w:t>(2).</w:t>
      </w:r>
      <w:r>
        <w:rPr/>
        <w:t>应收利息分类</w:t>
      </w:r>
      <w:r>
        <w:rPr>
          <w:b w:val="0"/>
          <w:bCs w:val="0"/>
        </w:rPr>
      </w:r>
    </w:p>
    <w:p>
      <w:pPr>
        <w:pStyle w:val="BodyText"/>
        <w:spacing w:line="240" w:lineRule="auto" w:before="14"/>
        <w:ind w:left="1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399" w:val="left" w:leader="none"/>
        </w:tabs>
        <w:spacing w:line="240" w:lineRule="auto"/>
        <w:ind w:left="1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140" w:right="1640"/>
          <w:cols w:num="2" w:equalWidth="0">
            <w:col w:w="1832" w:space="4478"/>
            <w:col w:w="2820"/>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780"/>
        <w:gridCol w:w="3048"/>
        <w:gridCol w:w="3068"/>
      </w:tblGrid>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
              <w:jc w:val="right"/>
              <w:rPr>
                <w:rFonts w:ascii="宋体" w:hAnsi="宋体" w:cs="宋体" w:eastAsia="宋体" w:hint="default"/>
                <w:sz w:val="21"/>
                <w:szCs w:val="21"/>
              </w:rPr>
            </w:pPr>
            <w:r>
              <w:rPr>
                <w:rFonts w:ascii="宋体"/>
                <w:spacing w:val="-1"/>
                <w:sz w:val="21"/>
              </w:rPr>
              <w:t>267,891</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
              <w:jc w:val="right"/>
              <w:rPr>
                <w:rFonts w:ascii="宋体" w:hAnsi="宋体" w:cs="宋体" w:eastAsia="宋体" w:hint="default"/>
                <w:sz w:val="21"/>
                <w:szCs w:val="21"/>
              </w:rPr>
            </w:pPr>
            <w:r>
              <w:rPr>
                <w:rFonts w:ascii="宋体"/>
                <w:sz w:val="21"/>
              </w:rPr>
              <w:t>52,064</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
              <w:jc w:val="right"/>
              <w:rPr>
                <w:rFonts w:ascii="宋体" w:hAnsi="宋体" w:cs="宋体" w:eastAsia="宋体" w:hint="default"/>
                <w:sz w:val="21"/>
                <w:szCs w:val="21"/>
              </w:rPr>
            </w:pPr>
            <w:r>
              <w:rPr>
                <w:rFonts w:ascii="宋体"/>
                <w:spacing w:val="-1"/>
                <w:sz w:val="21"/>
              </w:rPr>
              <w:t>267,891</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
              <w:jc w:val="right"/>
              <w:rPr>
                <w:rFonts w:ascii="宋体" w:hAnsi="宋体" w:cs="宋体" w:eastAsia="宋体" w:hint="default"/>
                <w:sz w:val="21"/>
                <w:szCs w:val="21"/>
              </w:rPr>
            </w:pPr>
            <w:r>
              <w:rPr>
                <w:rFonts w:ascii="宋体"/>
                <w:sz w:val="21"/>
              </w:rPr>
              <w:t>52,064</w:t>
            </w:r>
          </w:p>
        </w:tc>
      </w:tr>
    </w:tbl>
    <w:p>
      <w:pPr>
        <w:spacing w:line="240" w:lineRule="auto" w:before="12"/>
        <w:rPr>
          <w:rFonts w:ascii="宋体" w:hAnsi="宋体" w:cs="宋体" w:eastAsia="宋体" w:hint="default"/>
          <w:sz w:val="22"/>
          <w:szCs w:val="22"/>
        </w:rPr>
      </w:pPr>
    </w:p>
    <w:p>
      <w:pPr>
        <w:pStyle w:val="Heading5"/>
        <w:spacing w:line="240" w:lineRule="auto" w:before="36"/>
        <w:ind w:left="137" w:right="5592"/>
        <w:jc w:val="left"/>
        <w:rPr>
          <w:b w:val="0"/>
          <w:bCs w:val="0"/>
        </w:rPr>
      </w:pPr>
      <w:r>
        <w:rPr>
          <w:rFonts w:ascii="宋体" w:hAnsi="宋体" w:cs="宋体" w:eastAsia="宋体" w:hint="default"/>
        </w:rPr>
        <w:t>(3).</w:t>
      </w:r>
      <w:r>
        <w:rPr/>
        <w:t>重要逾期利息</w:t>
      </w:r>
      <w:r>
        <w:rPr>
          <w:b w:val="0"/>
          <w:bCs w:val="0"/>
        </w:rPr>
      </w:r>
    </w:p>
    <w:p>
      <w:pPr>
        <w:pStyle w:val="BodyText"/>
        <w:spacing w:line="272" w:lineRule="exact" w:before="86"/>
        <w:ind w:left="137" w:right="7394"/>
        <w:jc w:val="left"/>
      </w:pPr>
      <w:r>
        <w:rPr/>
        <w:t>□适用 √不适用</w:t>
      </w:r>
      <w:r>
        <w:rPr>
          <w:w w:val="100"/>
        </w:rPr>
        <w:t> </w:t>
      </w:r>
      <w:r>
        <w:rPr/>
        <w:t>其他说明：</w:t>
      </w:r>
    </w:p>
    <w:p>
      <w:pPr>
        <w:pStyle w:val="BodyText"/>
        <w:tabs>
          <w:tab w:pos="979" w:val="left" w:leader="none"/>
        </w:tabs>
        <w:spacing w:line="249" w:lineRule="exact"/>
        <w:ind w:left="137" w:right="5592"/>
        <w:jc w:val="left"/>
      </w:pPr>
      <w:r>
        <w:rPr/>
        <w:t>□适用</w:t>
        <w:tab/>
        <w:t>√不适用</w:t>
      </w:r>
    </w:p>
    <w:p>
      <w:pPr>
        <w:spacing w:line="240" w:lineRule="auto" w:before="2"/>
        <w:rPr>
          <w:rFonts w:ascii="宋体" w:hAnsi="宋体" w:cs="宋体" w:eastAsia="宋体" w:hint="default"/>
          <w:sz w:val="28"/>
          <w:szCs w:val="28"/>
        </w:rPr>
      </w:pPr>
    </w:p>
    <w:p>
      <w:pPr>
        <w:pStyle w:val="Heading5"/>
        <w:spacing w:line="290" w:lineRule="auto"/>
        <w:ind w:left="137" w:right="7702"/>
        <w:jc w:val="left"/>
        <w:rPr>
          <w:b w:val="0"/>
          <w:bCs w:val="0"/>
        </w:rPr>
      </w:pPr>
      <w:r>
        <w:rPr/>
        <w:t>应收股利</w:t>
      </w:r>
      <w:r>
        <w:rPr>
          <w:w w:val="100"/>
        </w:rPr>
        <w:t> </w:t>
      </w:r>
      <w:r>
        <w:rPr>
          <w:rFonts w:ascii="宋体" w:hAnsi="宋体" w:cs="宋体" w:eastAsia="宋体" w:hint="default"/>
        </w:rPr>
        <w:t>(4).</w:t>
      </w:r>
      <w:r>
        <w:rPr/>
        <w:t>应收股利</w:t>
      </w:r>
      <w:r>
        <w:rPr>
          <w:b w:val="0"/>
          <w:bCs w:val="0"/>
        </w:rPr>
      </w:r>
    </w:p>
    <w:p>
      <w:pPr>
        <w:spacing w:line="290" w:lineRule="auto" w:before="14"/>
        <w:ind w:left="137" w:right="559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pStyle w:val="BodyText"/>
        <w:spacing w:line="300" w:lineRule="exact" w:before="20"/>
        <w:ind w:left="137" w:right="7394"/>
        <w:jc w:val="left"/>
        <w:rPr>
          <w:sz w:val="24"/>
          <w:szCs w:val="24"/>
        </w:rPr>
      </w:pPr>
      <w:r>
        <w:rPr/>
        <w:t>□适用 √不适用</w:t>
      </w:r>
      <w:r>
        <w:rPr>
          <w:w w:val="100"/>
        </w:rPr>
        <w:t> </w:t>
      </w:r>
      <w:r>
        <w:rPr/>
        <w:t>其他说明</w:t>
      </w:r>
      <w:r>
        <w:rPr>
          <w:sz w:val="24"/>
          <w:szCs w:val="24"/>
        </w:rPr>
        <w:t>：</w:t>
      </w:r>
    </w:p>
    <w:p>
      <w:pPr>
        <w:pStyle w:val="BodyText"/>
        <w:spacing w:line="253" w:lineRule="exact"/>
        <w:ind w:left="137" w:right="5592"/>
        <w:jc w:val="left"/>
      </w:pPr>
      <w:r>
        <w:rPr/>
        <w:t>□适用 √不适用</w:t>
      </w:r>
    </w:p>
    <w:p>
      <w:pPr>
        <w:spacing w:after="0" w:line="253" w:lineRule="exact"/>
        <w:jc w:val="left"/>
        <w:sectPr>
          <w:type w:val="continuous"/>
          <w:pgSz w:w="11910" w:h="16840"/>
          <w:pgMar w:top="1320" w:bottom="1400" w:left="1140" w:right="1640"/>
        </w:sectPr>
      </w:pPr>
    </w:p>
    <w:p>
      <w:pPr>
        <w:spacing w:line="240" w:lineRule="auto" w:before="11"/>
        <w:rPr>
          <w:rFonts w:ascii="宋体" w:hAnsi="宋体" w:cs="宋体" w:eastAsia="宋体" w:hint="default"/>
          <w:sz w:val="15"/>
          <w:szCs w:val="15"/>
        </w:rPr>
      </w:pPr>
    </w:p>
    <w:p>
      <w:pPr>
        <w:spacing w:before="44"/>
        <w:ind w:left="3644" w:right="0" w:firstLine="0"/>
        <w:jc w:val="left"/>
        <w:rPr>
          <w:rFonts w:ascii="宋体" w:hAnsi="宋体" w:cs="宋体" w:eastAsia="宋体" w:hint="default"/>
          <w:sz w:val="18"/>
          <w:szCs w:val="18"/>
        </w:rPr>
      </w:pPr>
      <w:r>
        <w:rPr/>
        <w:pict>
          <v:shape style="position:absolute;margin-left:76.25pt;margin-top:-6.848299pt;width:69.361pt;height:19.52pt;mso-position-horizontal-relative:page;mso-position-vertical-relative:paragraph;z-index:1216" type="#_x0000_t75" stroked="false">
            <v:imagedata r:id="rId21" o:title=""/>
          </v:shape>
        </w:pic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3"/>
          <w:szCs w:val="3"/>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63"/>
          <w:footerReference w:type="default" r:id="rId64"/>
          <w:pgSz w:w="16840" w:h="11910" w:orient="landscape"/>
          <w:pgMar w:header="0" w:footer="0" w:top="780" w:bottom="280" w:left="1380" w:right="1280"/>
        </w:sectPr>
      </w:pPr>
    </w:p>
    <w:p>
      <w:pPr>
        <w:pStyle w:val="Heading5"/>
        <w:spacing w:line="290" w:lineRule="auto" w:before="36"/>
        <w:ind w:left="144" w:right="-13"/>
        <w:jc w:val="left"/>
        <w:rPr>
          <w:b w:val="0"/>
          <w:bCs w:val="0"/>
        </w:rPr>
      </w:pPr>
      <w:r>
        <w:rPr/>
        <w:t>其他应收款</w:t>
      </w:r>
      <w:r>
        <w:rPr>
          <w:w w:val="100"/>
        </w:rPr>
        <w:t> </w:t>
      </w:r>
      <w:r>
        <w:rPr>
          <w:rFonts w:ascii="宋体" w:hAnsi="宋体" w:cs="宋体" w:eastAsia="宋体" w:hint="default"/>
        </w:rPr>
        <w:t>(6).</w:t>
      </w:r>
      <w:r>
        <w:rPr/>
        <w:t>其他应收款分类披露</w:t>
      </w:r>
      <w:r>
        <w:rPr>
          <w:b w:val="0"/>
          <w:bCs w:val="0"/>
        </w:rPr>
      </w:r>
    </w:p>
    <w:p>
      <w:pPr>
        <w:pStyle w:val="BodyText"/>
        <w:spacing w:line="240" w:lineRule="auto" w:before="12"/>
        <w:ind w:left="144"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406" w:val="left" w:leader="none"/>
        </w:tabs>
        <w:spacing w:line="240" w:lineRule="auto"/>
        <w:ind w:left="144" w:right="0"/>
        <w:jc w:val="left"/>
      </w:pPr>
      <w:r>
        <w:rPr>
          <w:spacing w:val="-1"/>
        </w:rPr>
        <w:t>单位：千元</w:t>
        <w:tab/>
      </w:r>
      <w:r>
        <w:rPr>
          <w:spacing w:val="-2"/>
        </w:rPr>
        <w:t>币种：人民币</w:t>
      </w:r>
    </w:p>
    <w:p>
      <w:pPr>
        <w:spacing w:after="0" w:line="240" w:lineRule="auto"/>
        <w:jc w:val="left"/>
        <w:sectPr>
          <w:type w:val="continuous"/>
          <w:pgSz w:w="16840" w:h="11910" w:orient="landscape"/>
          <w:pgMar w:top="1320" w:bottom="1400" w:left="1380" w:right="1280"/>
          <w:cols w:num="2" w:equalWidth="0">
            <w:col w:w="2473" w:space="8759"/>
            <w:col w:w="2948"/>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854"/>
        <w:gridCol w:w="1135"/>
        <w:gridCol w:w="850"/>
        <w:gridCol w:w="852"/>
        <w:gridCol w:w="994"/>
        <w:gridCol w:w="991"/>
        <w:gridCol w:w="850"/>
        <w:gridCol w:w="850"/>
        <w:gridCol w:w="850"/>
        <w:gridCol w:w="994"/>
        <w:gridCol w:w="718"/>
      </w:tblGrid>
      <w:tr>
        <w:trPr>
          <w:trHeight w:val="293" w:hRule="exact"/>
        </w:trPr>
        <w:tc>
          <w:tcPr>
            <w:tcW w:w="48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48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4854" w:type="dxa"/>
            <w:vMerge/>
            <w:tcBorders>
              <w:left w:val="single" w:sz="4" w:space="0" w:color="000000"/>
              <w:right w:val="single" w:sz="4" w:space="0" w:color="000000"/>
            </w:tcBorders>
          </w:tcPr>
          <w:p>
            <w:pP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07"/>
              <w:ind w:left="280" w:right="276"/>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107"/>
              <w:ind w:left="143" w:right="13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555" w:hRule="exact"/>
        </w:trPr>
        <w:tc>
          <w:tcPr>
            <w:tcW w:w="4854" w:type="dxa"/>
            <w:vMerge/>
            <w:tcBorders>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5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8"/>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5" w:lineRule="exact"/>
              <w:ind w:left="4" w:right="0"/>
              <w:jc w:val="center"/>
              <w:rPr>
                <w:rFonts w:ascii="宋体" w:hAnsi="宋体" w:cs="宋体" w:eastAsia="宋体" w:hint="default"/>
                <w:sz w:val="21"/>
                <w:szCs w:val="21"/>
              </w:rPr>
            </w:pPr>
            <w:r>
              <w:rPr>
                <w:rFonts w:ascii="宋体"/>
                <w:sz w:val="21"/>
              </w:rPr>
              <w:t>(%)</w:t>
            </w:r>
          </w:p>
        </w:tc>
        <w:tc>
          <w:tcPr>
            <w:tcW w:w="991"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8"/>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5" w:lineRule="exact"/>
              <w:ind w:left="4" w:right="0"/>
              <w:jc w:val="center"/>
              <w:rPr>
                <w:rFonts w:ascii="宋体" w:hAnsi="宋体" w:cs="宋体" w:eastAsia="宋体" w:hint="default"/>
                <w:sz w:val="21"/>
                <w:szCs w:val="21"/>
              </w:rPr>
            </w:pPr>
            <w:r>
              <w:rPr>
                <w:rFonts w:ascii="宋体"/>
                <w:sz w:val="21"/>
              </w:rPr>
              <w:t>(%)</w:t>
            </w:r>
          </w:p>
        </w:tc>
        <w:tc>
          <w:tcPr>
            <w:tcW w:w="718" w:type="dxa"/>
            <w:vMerge/>
            <w:tcBorders>
              <w:left w:val="single" w:sz="4" w:space="0" w:color="000000"/>
              <w:bottom w:val="single" w:sz="4" w:space="0" w:color="000000"/>
              <w:right w:val="single" w:sz="4" w:space="0" w:color="000000"/>
            </w:tcBorders>
          </w:tcPr>
          <w:p>
            <w:pPr/>
          </w:p>
        </w:tc>
      </w:tr>
      <w:tr>
        <w:trPr>
          <w:trHeight w:val="283"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单项金额重大并单独计提坏账准备的其他应收款</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按信用风险特征组合计提坏账准备的其他应收款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sz w:val="21"/>
              </w:rPr>
              <w:t>271,655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sz w:val="21"/>
              </w:rPr>
              <w:t>22,203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9" w:right="0"/>
              <w:jc w:val="left"/>
              <w:rPr>
                <w:rFonts w:ascii="宋体" w:hAnsi="宋体" w:cs="宋体" w:eastAsia="宋体" w:hint="default"/>
                <w:sz w:val="21"/>
                <w:szCs w:val="21"/>
              </w:rPr>
            </w:pPr>
            <w:r>
              <w:rPr>
                <w:rFonts w:ascii="宋体"/>
                <w:sz w:val="21"/>
              </w:rPr>
              <w:t>8.17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249,452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 w:right="0"/>
              <w:jc w:val="center"/>
              <w:rPr>
                <w:rFonts w:ascii="宋体" w:hAnsi="宋体" w:cs="宋体" w:eastAsia="宋体" w:hint="default"/>
                <w:sz w:val="21"/>
                <w:szCs w:val="21"/>
              </w:rPr>
            </w:pPr>
            <w:r>
              <w:rPr>
                <w:rFonts w:ascii="宋体"/>
                <w:sz w:val="21"/>
              </w:rPr>
              <w:t>101,038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24,758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sz w:val="21"/>
              </w:rPr>
              <w:t>24.50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sz w:val="21"/>
              </w:rPr>
              <w:t>76,280</w:t>
            </w:r>
          </w:p>
        </w:tc>
      </w:tr>
      <w:tr>
        <w:trPr>
          <w:trHeight w:val="283"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单项金额不重大但单独计提坏账准备的其他应收款</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sz w:val="21"/>
              </w:rPr>
              <w:t>271,655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sz w:val="21"/>
              </w:rPr>
              <w:t>22,203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249,452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 w:right="0"/>
              <w:jc w:val="center"/>
              <w:rPr>
                <w:rFonts w:ascii="宋体" w:hAnsi="宋体" w:cs="宋体" w:eastAsia="宋体" w:hint="default"/>
                <w:sz w:val="21"/>
                <w:szCs w:val="21"/>
              </w:rPr>
            </w:pPr>
            <w:r>
              <w:rPr>
                <w:rFonts w:ascii="宋体"/>
                <w:sz w:val="21"/>
              </w:rPr>
              <w:t>101,038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24,758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w w:val="100"/>
                <w:sz w:val="21"/>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76,280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44"/>
        <w:ind w:left="6654" w:right="6669" w:firstLine="0"/>
        <w:jc w:val="center"/>
        <w:rPr>
          <w:rFonts w:ascii="宋体" w:hAnsi="宋体" w:cs="宋体" w:eastAsia="宋体" w:hint="default"/>
          <w:sz w:val="18"/>
          <w:szCs w:val="18"/>
        </w:rPr>
      </w:pPr>
      <w:r>
        <w:rPr>
          <w:rFonts w:ascii="宋体"/>
          <w:b/>
          <w:sz w:val="18"/>
        </w:rPr>
        <w:t>146 </w:t>
      </w:r>
      <w:r>
        <w:rPr>
          <w:rFonts w:ascii="宋体"/>
          <w:sz w:val="18"/>
        </w:rPr>
        <w:t>/</w:t>
      </w:r>
      <w:r>
        <w:rPr>
          <w:rFonts w:ascii="宋体"/>
          <w:spacing w:val="-1"/>
          <w:sz w:val="18"/>
        </w:rPr>
        <w:t> </w:t>
      </w:r>
      <w:r>
        <w:rPr>
          <w:rFonts w:ascii="宋体"/>
          <w:b/>
          <w:sz w:val="18"/>
        </w:rPr>
        <w:t>220</w:t>
      </w:r>
      <w:r>
        <w:rPr>
          <w:rFonts w:ascii="宋体"/>
          <w:sz w:val="18"/>
        </w:rPr>
      </w:r>
    </w:p>
    <w:p>
      <w:pPr>
        <w:spacing w:after="0"/>
        <w:jc w:val="center"/>
        <w:rPr>
          <w:rFonts w:ascii="宋体" w:hAnsi="宋体" w:cs="宋体" w:eastAsia="宋体" w:hint="default"/>
          <w:sz w:val="18"/>
          <w:szCs w:val="18"/>
        </w:rPr>
        <w:sectPr>
          <w:type w:val="continuous"/>
          <w:pgSz w:w="16840" w:h="11910" w:orient="landscape"/>
          <w:pgMar w:top="1320" w:bottom="1400" w:left="1380" w:right="1280"/>
        </w:sectPr>
      </w:pPr>
    </w:p>
    <w:p>
      <w:pPr>
        <w:spacing w:line="240" w:lineRule="auto" w:before="7"/>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footerReference w:type="default" r:id="rId65"/>
          <w:pgSz w:w="11910" w:h="16840"/>
          <w:pgMar w:footer="1217" w:header="0" w:top="1320" w:bottom="1400" w:left="1040" w:right="1560"/>
          <w:pgNumType w:start="147"/>
        </w:sectPr>
      </w:pPr>
    </w:p>
    <w:p>
      <w:pPr>
        <w:pStyle w:val="BodyText"/>
        <w:spacing w:line="273" w:lineRule="exact" w:before="36"/>
        <w:ind w:left="237" w:right="0"/>
        <w:jc w:val="left"/>
      </w:pPr>
      <w:r>
        <w:rPr>
          <w:spacing w:val="-2"/>
        </w:rPr>
        <w:t>期末单项金额重大并单项计提坏账准备的其他应收款</w:t>
      </w:r>
    </w:p>
    <w:p>
      <w:pPr>
        <w:pStyle w:val="BodyText"/>
        <w:spacing w:line="240" w:lineRule="auto"/>
        <w:ind w:left="237" w:right="0"/>
        <w:jc w:val="left"/>
      </w:pPr>
      <w:r>
        <w:rPr/>
        <w:t>□适用</w:t>
      </w:r>
      <w:r>
        <w:rPr>
          <w:spacing w:val="-2"/>
        </w:rPr>
        <w:t> </w:t>
      </w:r>
      <w:r>
        <w:rPr/>
        <w:t>√不适用</w:t>
      </w:r>
      <w:r>
        <w:rPr>
          <w:spacing w:val="-103"/>
        </w:rPr>
        <w:t> </w:t>
      </w:r>
      <w:r>
        <w:rPr>
          <w:spacing w:val="-103"/>
        </w:rPr>
      </w:r>
      <w:r>
        <w:rPr>
          <w:spacing w:val="-2"/>
        </w:rPr>
        <w:t>组合中，按账龄分析法计提坏账准备的其他应收款</w:t>
      </w:r>
    </w:p>
    <w:p>
      <w:pPr>
        <w:pStyle w:val="BodyText"/>
        <w:spacing w:line="271" w:lineRule="exact"/>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5072" w:space="1238"/>
            <w:col w:w="3000"/>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415"/>
        <w:gridCol w:w="2245"/>
        <w:gridCol w:w="2170"/>
        <w:gridCol w:w="2233"/>
      </w:tblGrid>
      <w:tr>
        <w:trPr>
          <w:trHeight w:val="283" w:hRule="exact"/>
        </w:trPr>
        <w:tc>
          <w:tcPr>
            <w:tcW w:w="2415"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6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415" w:type="dxa"/>
            <w:vMerge/>
            <w:tcBorders>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647"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0-120</w:t>
            </w:r>
            <w:r>
              <w:rPr>
                <w:rFonts w:ascii="宋体" w:hAnsi="宋体" w:cs="宋体" w:eastAsia="宋体" w:hint="default"/>
                <w:spacing w:val="-51"/>
                <w:sz w:val="21"/>
                <w:szCs w:val="21"/>
              </w:rPr>
              <w:t> </w:t>
            </w:r>
            <w:r>
              <w:rPr>
                <w:rFonts w:ascii="宋体" w:hAnsi="宋体" w:cs="宋体" w:eastAsia="宋体" w:hint="default"/>
                <w:sz w:val="21"/>
                <w:szCs w:val="21"/>
              </w:rPr>
              <w:t>天</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119,581</w:t>
            </w:r>
          </w:p>
        </w:tc>
        <w:tc>
          <w:tcPr>
            <w:tcW w:w="2170"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121</w:t>
            </w:r>
            <w:r>
              <w:rPr>
                <w:rFonts w:ascii="宋体" w:hAnsi="宋体" w:cs="宋体" w:eastAsia="宋体" w:hint="default"/>
                <w:spacing w:val="-52"/>
                <w:sz w:val="21"/>
                <w:szCs w:val="21"/>
              </w:rPr>
              <w:t> </w:t>
            </w:r>
            <w:r>
              <w:rPr>
                <w:rFonts w:ascii="宋体" w:hAnsi="宋体" w:cs="宋体" w:eastAsia="宋体" w:hint="default"/>
                <w:sz w:val="21"/>
                <w:szCs w:val="21"/>
              </w:rPr>
              <w:t>天</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55,782</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2,789</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5.00</w:t>
            </w:r>
          </w:p>
        </w:tc>
      </w:tr>
      <w:tr>
        <w:trPr>
          <w:trHeight w:val="284"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175,363</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2,789</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1.59</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754</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226</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30.00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4,617</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2,309</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50.00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16,879</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16,879</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100.00</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197,613</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22,203</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11.24</w:t>
            </w:r>
          </w:p>
        </w:tc>
      </w:tr>
    </w:tbl>
    <w:p>
      <w:pPr>
        <w:pStyle w:val="BodyText"/>
        <w:spacing w:line="240" w:lineRule="exact"/>
        <w:ind w:left="237" w:right="127"/>
        <w:jc w:val="left"/>
      </w:pPr>
      <w:r>
        <w:rPr/>
        <w:t>确定该组合依据的说明：</w:t>
      </w:r>
    </w:p>
    <w:p>
      <w:pPr>
        <w:pStyle w:val="BodyText"/>
        <w:spacing w:line="274" w:lineRule="exact"/>
        <w:ind w:left="237" w:right="127"/>
        <w:jc w:val="left"/>
      </w:pPr>
      <w:r>
        <w:rPr/>
        <w:t>本公司以账龄为信用风险特征组合的确定依据。</w:t>
      </w:r>
    </w:p>
    <w:p>
      <w:pPr>
        <w:spacing w:line="240" w:lineRule="auto" w:before="7"/>
        <w:rPr>
          <w:rFonts w:ascii="宋体" w:hAnsi="宋体" w:cs="宋体" w:eastAsia="宋体" w:hint="default"/>
          <w:sz w:val="23"/>
          <w:szCs w:val="23"/>
        </w:rPr>
      </w:pPr>
    </w:p>
    <w:p>
      <w:pPr>
        <w:pStyle w:val="BodyText"/>
        <w:spacing w:line="273" w:lineRule="exact"/>
        <w:ind w:left="237" w:right="127"/>
        <w:jc w:val="left"/>
      </w:pPr>
      <w:r>
        <w:rPr/>
        <w:t>组合中，采用余额百分比法计提坏账准备的其他应收款</w:t>
      </w:r>
    </w:p>
    <w:p>
      <w:pPr>
        <w:pStyle w:val="BodyText"/>
        <w:spacing w:line="273" w:lineRule="exact"/>
        <w:ind w:left="237" w:right="127"/>
        <w:jc w:val="left"/>
      </w:pPr>
      <w:r>
        <w:rPr/>
        <w:t>□适用 √不适用</w:t>
      </w:r>
    </w:p>
    <w:p>
      <w:pPr>
        <w:spacing w:line="240" w:lineRule="auto" w:before="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320" w:bottom="1400" w:left="1040" w:right="1560"/>
        </w:sectPr>
      </w:pPr>
    </w:p>
    <w:p>
      <w:pPr>
        <w:pStyle w:val="BodyText"/>
        <w:spacing w:line="273" w:lineRule="exact" w:before="36"/>
        <w:ind w:left="237" w:right="0"/>
        <w:jc w:val="left"/>
      </w:pPr>
      <w:r>
        <w:rPr>
          <w:spacing w:val="-2"/>
        </w:rPr>
        <w:t>组合中，采用其他方法计提坏账准备的其他应收款</w:t>
      </w:r>
    </w:p>
    <w:p>
      <w:pPr>
        <w:pStyle w:val="BodyText"/>
        <w:spacing w:line="273" w:lineRule="exact"/>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237" w:right="0"/>
        <w:jc w:val="left"/>
      </w:pPr>
      <w:r>
        <w:rPr/>
        <w:t>单位：千元</w:t>
      </w:r>
      <w:r>
        <w:rPr>
          <w:spacing w:val="-1"/>
        </w:rPr>
        <w:t> </w:t>
      </w:r>
      <w:r>
        <w:rPr/>
        <w:t>币种：人民币</w:t>
      </w:r>
    </w:p>
    <w:p>
      <w:pPr>
        <w:spacing w:after="0" w:line="240" w:lineRule="auto"/>
        <w:jc w:val="left"/>
        <w:sectPr>
          <w:type w:val="continuous"/>
          <w:pgSz w:w="11910" w:h="16840"/>
          <w:pgMar w:top="1320" w:bottom="1400" w:left="1040" w:right="1560"/>
          <w:cols w:num="2" w:equalWidth="0">
            <w:col w:w="4863" w:space="1555"/>
            <w:col w:w="2892"/>
          </w:cols>
        </w:sectPr>
      </w:pPr>
    </w:p>
    <w:p>
      <w:pPr>
        <w:spacing w:line="240" w:lineRule="auto" w:before="4"/>
        <w:rPr>
          <w:rFonts w:ascii="宋体" w:hAnsi="宋体" w:cs="宋体" w:eastAsia="宋体" w:hint="default"/>
          <w:sz w:val="2"/>
          <w:szCs w:val="2"/>
        </w:rPr>
      </w:pPr>
    </w:p>
    <w:tbl>
      <w:tblPr>
        <w:tblW w:w="0" w:type="auto"/>
        <w:jc w:val="left"/>
        <w:tblInd w:w="212" w:type="dxa"/>
        <w:tblLayout w:type="fixed"/>
        <w:tblCellMar>
          <w:top w:w="0" w:type="dxa"/>
          <w:left w:w="0" w:type="dxa"/>
          <w:bottom w:w="0" w:type="dxa"/>
          <w:right w:w="0" w:type="dxa"/>
        </w:tblCellMar>
        <w:tblLook w:val="01E0"/>
      </w:tblPr>
      <w:tblGrid>
        <w:gridCol w:w="1999"/>
        <w:gridCol w:w="1702"/>
        <w:gridCol w:w="1416"/>
        <w:gridCol w:w="1702"/>
        <w:gridCol w:w="2127"/>
      </w:tblGrid>
      <w:tr>
        <w:trPr>
          <w:trHeight w:val="319" w:hRule="exact"/>
        </w:trPr>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420"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7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633"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322" w:hRule="exact"/>
        </w:trPr>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5"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53" w:right="0"/>
              <w:jc w:val="left"/>
              <w:rPr>
                <w:rFonts w:ascii="宋体" w:hAnsi="宋体" w:cs="宋体" w:eastAsia="宋体" w:hint="default"/>
                <w:sz w:val="21"/>
                <w:szCs w:val="21"/>
              </w:rPr>
            </w:pPr>
            <w:r>
              <w:rPr>
                <w:rFonts w:ascii="宋体"/>
                <w:sz w:val="21"/>
              </w:rPr>
              <w:t>74,042</w:t>
            </w:r>
          </w:p>
        </w:tc>
        <w:tc>
          <w:tcPr>
            <w:tcW w:w="1416"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不能回收风险较小</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20" w:bottom="1400" w:left="1040" w:right="1560"/>
        </w:sectPr>
      </w:pPr>
    </w:p>
    <w:p>
      <w:pPr>
        <w:pStyle w:val="Heading5"/>
        <w:spacing w:line="240" w:lineRule="auto" w:before="36"/>
        <w:ind w:left="237" w:right="-13"/>
        <w:jc w:val="left"/>
        <w:rPr>
          <w:b w:val="0"/>
          <w:bCs w:val="0"/>
        </w:rPr>
      </w:pPr>
      <w:r>
        <w:rPr>
          <w:rFonts w:ascii="宋体" w:hAnsi="宋体" w:cs="宋体" w:eastAsia="宋体" w:hint="default"/>
        </w:rPr>
        <w:t>(7).</w:t>
      </w:r>
      <w:r>
        <w:rPr/>
        <w:t>按款项性质分类情况</w:t>
      </w:r>
      <w:r>
        <w:rPr>
          <w:b w:val="0"/>
          <w:bCs w:val="0"/>
        </w:rPr>
      </w:r>
    </w:p>
    <w:p>
      <w:pPr>
        <w:pStyle w:val="BodyText"/>
        <w:spacing w:line="240" w:lineRule="auto" w:before="56"/>
        <w:ind w:left="237"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2566" w:space="3735"/>
            <w:col w:w="3009"/>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78"/>
        <w:gridCol w:w="2981"/>
        <w:gridCol w:w="2991"/>
      </w:tblGrid>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应收投资处置款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152,798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41,703</w:t>
            </w:r>
          </w:p>
        </w:tc>
      </w:tr>
      <w:tr>
        <w:trPr>
          <w:trHeight w:val="284"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74,042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12,196</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第三方往来款及其他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44,815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47,139</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271,655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101,038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5"/>
        <w:spacing w:line="240" w:lineRule="auto" w:before="36"/>
        <w:ind w:left="237" w:right="127"/>
        <w:jc w:val="left"/>
        <w:rPr>
          <w:b w:val="0"/>
          <w:bCs w:val="0"/>
        </w:rPr>
      </w:pPr>
      <w:r>
        <w:rPr>
          <w:rFonts w:ascii="宋体" w:hAnsi="宋体" w:cs="宋体" w:eastAsia="宋体" w:hint="default"/>
        </w:rPr>
        <w:t>(8).</w:t>
      </w:r>
      <w:r>
        <w:rPr/>
        <w:t>本期计提、收回或转回的坏账准备情况</w:t>
      </w:r>
      <w:r>
        <w:rPr>
          <w:b w:val="0"/>
          <w:bCs w:val="0"/>
        </w:rPr>
      </w:r>
    </w:p>
    <w:p>
      <w:pPr>
        <w:pStyle w:val="BodyText"/>
        <w:spacing w:line="240" w:lineRule="auto" w:before="56"/>
        <w:ind w:left="237" w:right="2124"/>
        <w:jc w:val="left"/>
      </w:pPr>
      <w:r>
        <w:rPr/>
        <w:t>本期计提坏账准备金额</w:t>
      </w:r>
      <w:r>
        <w:rPr>
          <w:spacing w:val="-53"/>
        </w:rPr>
        <w:t> </w:t>
      </w:r>
      <w:r>
        <w:rPr>
          <w:rFonts w:ascii="宋体" w:hAnsi="宋体" w:cs="宋体" w:eastAsia="宋体" w:hint="default"/>
        </w:rPr>
        <w:t>0</w:t>
      </w:r>
      <w:r>
        <w:rPr>
          <w:rFonts w:ascii="宋体" w:hAnsi="宋体" w:cs="宋体" w:eastAsia="宋体" w:hint="default"/>
          <w:spacing w:val="-55"/>
        </w:rPr>
        <w:t> </w:t>
      </w:r>
      <w:r>
        <w:rPr/>
        <w:t>元；本期收回或转回坏账准备金额</w:t>
      </w:r>
      <w:r>
        <w:rPr>
          <w:spacing w:val="-52"/>
        </w:rPr>
        <w:t> </w:t>
      </w:r>
      <w:r>
        <w:rPr>
          <w:rFonts w:ascii="宋体" w:hAnsi="宋体" w:cs="宋体" w:eastAsia="宋体" w:hint="default"/>
        </w:rPr>
        <w:t>2,519,089</w:t>
      </w:r>
      <w:r>
        <w:rPr>
          <w:rFonts w:ascii="宋体" w:hAnsi="宋体" w:cs="宋体" w:eastAsia="宋体" w:hint="default"/>
          <w:spacing w:val="-55"/>
        </w:rPr>
        <w:t> </w:t>
      </w:r>
      <w:r>
        <w:rPr/>
        <w:t>元。</w:t>
      </w:r>
      <w:r>
        <w:rPr>
          <w:w w:val="100"/>
        </w:rPr>
        <w:t> </w:t>
      </w:r>
      <w:r>
        <w:rPr/>
        <w:t>其中本期坏账准备转回或收回金额重要的：</w:t>
      </w:r>
    </w:p>
    <w:p>
      <w:pPr>
        <w:pStyle w:val="BodyText"/>
        <w:spacing w:line="271" w:lineRule="exact"/>
        <w:ind w:left="237" w:right="127"/>
        <w:jc w:val="left"/>
      </w:pPr>
      <w:r>
        <w:rPr/>
        <w:t>□适用 √不适用</w:t>
      </w:r>
    </w:p>
    <w:p>
      <w:pPr>
        <w:spacing w:line="240" w:lineRule="auto" w:before="2"/>
        <w:rPr>
          <w:rFonts w:ascii="宋体" w:hAnsi="宋体" w:cs="宋体" w:eastAsia="宋体" w:hint="default"/>
          <w:sz w:val="28"/>
          <w:szCs w:val="28"/>
        </w:rPr>
      </w:pPr>
    </w:p>
    <w:p>
      <w:pPr>
        <w:pStyle w:val="Heading5"/>
        <w:spacing w:line="240" w:lineRule="auto"/>
        <w:ind w:left="237" w:right="127"/>
        <w:jc w:val="left"/>
        <w:rPr>
          <w:b w:val="0"/>
          <w:bCs w:val="0"/>
        </w:rPr>
      </w:pPr>
      <w:r>
        <w:rPr>
          <w:rFonts w:ascii="宋体" w:hAnsi="宋体" w:cs="宋体" w:eastAsia="宋体" w:hint="default"/>
        </w:rPr>
        <w:t>(9).</w:t>
      </w:r>
      <w:r>
        <w:rPr/>
        <w:t>本期实际核销的其他应收款情况</w:t>
      </w:r>
      <w:r>
        <w:rPr>
          <w:b w:val="0"/>
          <w:bCs w:val="0"/>
        </w:rPr>
      </w:r>
    </w:p>
    <w:p>
      <w:pPr>
        <w:pStyle w:val="BodyText"/>
        <w:spacing w:line="240" w:lineRule="auto" w:before="59"/>
        <w:ind w:left="237" w:right="127"/>
        <w:jc w:val="left"/>
      </w:pPr>
      <w:r>
        <w:rPr/>
        <w:t>□适用 √不适用</w:t>
      </w:r>
    </w:p>
    <w:p>
      <w:pPr>
        <w:spacing w:after="0" w:line="240" w:lineRule="auto"/>
        <w:jc w:val="left"/>
        <w:sectPr>
          <w:type w:val="continuous"/>
          <w:pgSz w:w="11910" w:h="16840"/>
          <w:pgMar w:top="1320" w:bottom="1400" w:left="1040" w:right="1560"/>
        </w:sectPr>
      </w:pPr>
    </w:p>
    <w:p>
      <w:pPr>
        <w:pStyle w:val="Heading5"/>
        <w:tabs>
          <w:tab w:pos="977" w:val="left" w:leader="none"/>
        </w:tabs>
        <w:spacing w:line="240" w:lineRule="auto" w:before="72"/>
        <w:ind w:left="137" w:right="0"/>
        <w:jc w:val="left"/>
        <w:rPr>
          <w:b w:val="0"/>
          <w:bCs w:val="0"/>
        </w:rPr>
      </w:pPr>
      <w:r>
        <w:rPr>
          <w:rFonts w:ascii="宋体" w:hAnsi="宋体" w:cs="宋体" w:eastAsia="宋体" w:hint="default"/>
          <w:w w:val="95"/>
        </w:rPr>
        <w:t>(10).</w:t>
        <w:tab/>
      </w:r>
      <w:r>
        <w:rPr>
          <w:spacing w:val="-1"/>
        </w:rPr>
        <w:t>按欠款方归集的期末余额前五名的其他应收款情况</w:t>
      </w:r>
      <w:r>
        <w:rPr>
          <w:b w:val="0"/>
          <w:bCs w:val="0"/>
          <w:spacing w:val="-1"/>
        </w:rPr>
      </w:r>
    </w:p>
    <w:p>
      <w:pPr>
        <w:pStyle w:val="BodyText"/>
        <w:spacing w:line="240" w:lineRule="auto" w:before="56"/>
        <w:ind w:left="1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399" w:val="left" w:leader="none"/>
        </w:tabs>
        <w:spacing w:line="240" w:lineRule="auto" w:before="153"/>
        <w:ind w:left="137" w:right="0"/>
        <w:jc w:val="left"/>
      </w:pPr>
      <w:r>
        <w:rPr>
          <w:spacing w:val="-1"/>
        </w:rPr>
        <w:t>单位：千元</w:t>
        <w:tab/>
      </w:r>
      <w:r>
        <w:rPr>
          <w:spacing w:val="-2"/>
        </w:rPr>
        <w:t>币种：人民币</w:t>
      </w:r>
    </w:p>
    <w:p>
      <w:pPr>
        <w:spacing w:after="0" w:line="240" w:lineRule="auto"/>
        <w:jc w:val="left"/>
        <w:sectPr>
          <w:pgSz w:w="11910" w:h="16840"/>
          <w:pgMar w:header="0" w:footer="1217" w:top="1320" w:bottom="1400" w:left="1140" w:right="1640"/>
          <w:cols w:num="2" w:equalWidth="0">
            <w:col w:w="5617" w:space="693"/>
            <w:col w:w="2820"/>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869"/>
        <w:gridCol w:w="1699"/>
        <w:gridCol w:w="992"/>
        <w:gridCol w:w="1138"/>
        <w:gridCol w:w="1133"/>
        <w:gridCol w:w="1066"/>
      </w:tblGrid>
      <w:tr>
        <w:trPr>
          <w:trHeight w:val="1102"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期末余额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占其他应收</w:t>
            </w:r>
          </w:p>
          <w:p>
            <w:pPr>
              <w:pStyle w:val="TableParagraph"/>
              <w:spacing w:line="237" w:lineRule="auto"/>
              <w:ind w:left="36" w:right="32"/>
              <w:jc w:val="center"/>
              <w:rPr>
                <w:rFonts w:ascii="宋体" w:hAnsi="宋体" w:cs="宋体" w:eastAsia="宋体" w:hint="default"/>
                <w:sz w:val="21"/>
                <w:szCs w:val="21"/>
              </w:rPr>
            </w:pPr>
            <w:r>
              <w:rPr>
                <w:rFonts w:ascii="宋体" w:hAnsi="宋体" w:cs="宋体" w:eastAsia="宋体" w:hint="default"/>
                <w:sz w:val="21"/>
                <w:szCs w:val="21"/>
              </w:rPr>
              <w:t>款期末余额</w:t>
            </w:r>
            <w:r>
              <w:rPr>
                <w:rFonts w:ascii="宋体" w:hAnsi="宋体" w:cs="宋体" w:eastAsia="宋体" w:hint="default"/>
                <w:w w:val="100"/>
                <w:sz w:val="21"/>
                <w:szCs w:val="21"/>
              </w:rPr>
              <w:t> </w:t>
            </w:r>
            <w:r>
              <w:rPr>
                <w:rFonts w:ascii="宋体" w:hAnsi="宋体" w:cs="宋体" w:eastAsia="宋体" w:hint="default"/>
                <w:sz w:val="21"/>
                <w:szCs w:val="21"/>
              </w:rPr>
              <w:t>合计数的比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7" w:right="103"/>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4"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北极光投资顾问（北京）有限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宋体" w:hAnsi="宋体" w:cs="宋体" w:eastAsia="宋体" w:hint="default"/>
                <w:sz w:val="21"/>
                <w:szCs w:val="21"/>
              </w:rPr>
            </w:pPr>
            <w:r>
              <w:rPr>
                <w:rFonts w:ascii="宋体"/>
                <w:sz w:val="21"/>
              </w:rPr>
              <w:t>62,135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宋体" w:hAnsi="宋体" w:cs="宋体" w:eastAsia="宋体" w:hint="default"/>
                <w:sz w:val="21"/>
                <w:szCs w:val="21"/>
              </w:rPr>
            </w:pPr>
            <w:r>
              <w:rPr>
                <w:rFonts w:ascii="宋体"/>
                <w:sz w:val="21"/>
              </w:rPr>
              <w:t>22.87</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新余灿金投资合伙企业（有限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应收处置投资款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z w:val="21"/>
              </w:rPr>
              <w:t>53,108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19.55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2,655</w:t>
            </w:r>
          </w:p>
        </w:tc>
      </w:tr>
      <w:tr>
        <w:trPr>
          <w:trHeight w:val="55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宁波梅山保税港区途赢投资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管理合伙企业（有限合伙）</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应收处置投资款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4"/>
              <w:jc w:val="right"/>
              <w:rPr>
                <w:rFonts w:ascii="宋体" w:hAnsi="宋体" w:cs="宋体" w:eastAsia="宋体" w:hint="default"/>
                <w:sz w:val="21"/>
                <w:szCs w:val="21"/>
              </w:rPr>
            </w:pPr>
            <w:r>
              <w:rPr>
                <w:rFonts w:ascii="宋体"/>
                <w:sz w:val="21"/>
              </w:rPr>
              <w:t>43,100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21"/>
                <w:szCs w:val="21"/>
              </w:rPr>
            </w:pPr>
            <w:r>
              <w:rPr>
                <w:rFonts w:ascii="宋体"/>
                <w:sz w:val="21"/>
              </w:rPr>
              <w:t>15.87</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宁波梅山保税港区途毅投资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管理合伙企业（有限合伙）</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应收处置投资款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z w:val="21"/>
              </w:rPr>
              <w:t>26,975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9.93</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宁波梅山保税港区途盛股权</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投资合伙企业（有限合伙）</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应收处置投资款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z w:val="21"/>
              </w:rPr>
              <w:t>15,750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5.80</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center"/>
              <w:rPr>
                <w:rFonts w:ascii="宋体" w:hAnsi="宋体" w:cs="宋体" w:eastAsia="宋体" w:hint="default"/>
                <w:sz w:val="21"/>
                <w:szCs w:val="21"/>
              </w:rPr>
            </w:pPr>
            <w:r>
              <w:rPr>
                <w:rFonts w:ascii="宋体"/>
                <w:w w:val="100"/>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201,068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center"/>
              <w:rPr>
                <w:rFonts w:ascii="宋体" w:hAnsi="宋体" w:cs="宋体" w:eastAsia="宋体" w:hint="default"/>
                <w:sz w:val="21"/>
                <w:szCs w:val="21"/>
              </w:rPr>
            </w:pPr>
            <w:r>
              <w:rPr>
                <w:rFonts w:ascii="宋体"/>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74.02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2,655</w:t>
            </w:r>
          </w:p>
        </w:tc>
      </w:tr>
    </w:tbl>
    <w:p>
      <w:pPr>
        <w:spacing w:line="240" w:lineRule="auto" w:before="1"/>
        <w:rPr>
          <w:rFonts w:ascii="宋体" w:hAnsi="宋体" w:cs="宋体" w:eastAsia="宋体" w:hint="default"/>
          <w:sz w:val="23"/>
          <w:szCs w:val="23"/>
        </w:rPr>
      </w:pPr>
    </w:p>
    <w:p>
      <w:pPr>
        <w:pStyle w:val="Heading5"/>
        <w:tabs>
          <w:tab w:pos="977" w:val="left" w:leader="none"/>
        </w:tabs>
        <w:spacing w:line="240" w:lineRule="auto" w:before="36"/>
        <w:ind w:left="137" w:right="5592"/>
        <w:jc w:val="left"/>
        <w:rPr>
          <w:b w:val="0"/>
          <w:bCs w:val="0"/>
        </w:rPr>
      </w:pPr>
      <w:r>
        <w:rPr>
          <w:rFonts w:ascii="宋体" w:hAnsi="宋体" w:cs="宋体" w:eastAsia="宋体" w:hint="default"/>
          <w:w w:val="95"/>
        </w:rPr>
        <w:t>(11).</w:t>
        <w:tab/>
      </w:r>
      <w:r>
        <w:rPr/>
        <w:t>涉及政府补助的应收款项</w:t>
      </w:r>
      <w:r>
        <w:rPr>
          <w:b w:val="0"/>
          <w:bCs w:val="0"/>
        </w:rPr>
      </w:r>
    </w:p>
    <w:p>
      <w:pPr>
        <w:pStyle w:val="BodyText"/>
        <w:spacing w:line="240" w:lineRule="auto" w:before="56"/>
        <w:ind w:left="137" w:right="5592"/>
        <w:jc w:val="left"/>
      </w:pPr>
      <w:r>
        <w:rPr/>
        <w:t>□适用 √不适用</w:t>
      </w:r>
    </w:p>
    <w:p>
      <w:pPr>
        <w:spacing w:line="240" w:lineRule="auto" w:before="8"/>
        <w:rPr>
          <w:rFonts w:ascii="宋体" w:hAnsi="宋体" w:cs="宋体" w:eastAsia="宋体" w:hint="default"/>
          <w:sz w:val="25"/>
          <w:szCs w:val="25"/>
        </w:rPr>
      </w:pPr>
    </w:p>
    <w:p>
      <w:pPr>
        <w:pStyle w:val="Heading5"/>
        <w:tabs>
          <w:tab w:pos="977" w:val="left" w:leader="none"/>
        </w:tabs>
        <w:spacing w:line="240" w:lineRule="auto"/>
        <w:ind w:left="137" w:right="148"/>
        <w:jc w:val="left"/>
        <w:rPr>
          <w:b w:val="0"/>
          <w:bCs w:val="0"/>
        </w:rPr>
      </w:pPr>
      <w:r>
        <w:rPr>
          <w:rFonts w:ascii="宋体" w:hAnsi="宋体" w:cs="宋体" w:eastAsia="宋体" w:hint="default"/>
          <w:w w:val="95"/>
        </w:rPr>
        <w:t>(12).</w:t>
        <w:tab/>
      </w:r>
      <w:r>
        <w:rPr/>
        <w:t>因金融资产转移而终止确认的其他应收款</w:t>
      </w:r>
      <w:r>
        <w:rPr>
          <w:b w:val="0"/>
          <w:bCs w:val="0"/>
        </w:rPr>
      </w:r>
    </w:p>
    <w:p>
      <w:pPr>
        <w:pStyle w:val="BodyText"/>
        <w:tabs>
          <w:tab w:pos="979" w:val="left" w:leader="none"/>
        </w:tabs>
        <w:spacing w:line="240" w:lineRule="auto" w:before="56"/>
        <w:ind w:left="137" w:right="5592"/>
        <w:jc w:val="left"/>
      </w:pPr>
      <w:r>
        <w:rPr/>
        <w:t>□适用</w:t>
        <w:tab/>
        <w:t>√不适用</w:t>
      </w:r>
    </w:p>
    <w:p>
      <w:pPr>
        <w:spacing w:line="240" w:lineRule="auto" w:before="2"/>
        <w:rPr>
          <w:rFonts w:ascii="宋体" w:hAnsi="宋体" w:cs="宋体" w:eastAsia="宋体" w:hint="default"/>
          <w:sz w:val="28"/>
          <w:szCs w:val="28"/>
        </w:rPr>
      </w:pPr>
    </w:p>
    <w:p>
      <w:pPr>
        <w:pStyle w:val="Heading5"/>
        <w:tabs>
          <w:tab w:pos="977" w:val="left" w:leader="none"/>
        </w:tabs>
        <w:spacing w:line="240" w:lineRule="auto"/>
        <w:ind w:left="137" w:right="148"/>
        <w:jc w:val="left"/>
        <w:rPr>
          <w:b w:val="0"/>
          <w:bCs w:val="0"/>
        </w:rPr>
      </w:pPr>
      <w:r>
        <w:rPr>
          <w:rFonts w:ascii="宋体" w:hAnsi="宋体" w:cs="宋体" w:eastAsia="宋体" w:hint="default"/>
          <w:w w:val="95"/>
        </w:rPr>
        <w:t>(13).</w:t>
        <w:tab/>
      </w:r>
      <w:r>
        <w:rPr/>
        <w:t>转移其他应收款且继续涉入形成的资产、负债的金额</w:t>
      </w:r>
      <w:r>
        <w:rPr>
          <w:b w:val="0"/>
          <w:bCs w:val="0"/>
        </w:rPr>
      </w:r>
    </w:p>
    <w:p>
      <w:pPr>
        <w:pStyle w:val="BodyText"/>
        <w:tabs>
          <w:tab w:pos="979" w:val="left" w:leader="none"/>
        </w:tabs>
        <w:spacing w:line="240" w:lineRule="auto" w:before="58"/>
        <w:ind w:left="137" w:right="5592"/>
        <w:jc w:val="left"/>
      </w:pPr>
      <w:r>
        <w:rPr/>
        <w:t>□适用</w:t>
        <w:tab/>
        <w:t>√不适用</w:t>
      </w:r>
    </w:p>
    <w:p>
      <w:pPr>
        <w:spacing w:line="240" w:lineRule="auto" w:before="7"/>
        <w:rPr>
          <w:rFonts w:ascii="宋体" w:hAnsi="宋体" w:cs="宋体" w:eastAsia="宋体" w:hint="default"/>
          <w:sz w:val="23"/>
          <w:szCs w:val="23"/>
        </w:rPr>
      </w:pPr>
    </w:p>
    <w:p>
      <w:pPr>
        <w:pStyle w:val="BodyText"/>
        <w:spacing w:line="273" w:lineRule="exact"/>
        <w:ind w:left="137" w:right="5592"/>
        <w:jc w:val="left"/>
      </w:pPr>
      <w:r>
        <w:rPr/>
        <w:t>其他说明：</w:t>
      </w:r>
    </w:p>
    <w:p>
      <w:pPr>
        <w:pStyle w:val="BodyText"/>
        <w:tabs>
          <w:tab w:pos="979" w:val="left" w:leader="none"/>
        </w:tabs>
        <w:spacing w:line="273" w:lineRule="exact"/>
        <w:ind w:left="137" w:right="5592"/>
        <w:jc w:val="left"/>
      </w:pPr>
      <w:r>
        <w:rPr/>
        <w:t>□适用</w:t>
        <w:tab/>
        <w:t>√不适用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320" w:bottom="1400" w:left="1140" w:right="1640"/>
        </w:sectPr>
      </w:pPr>
    </w:p>
    <w:p>
      <w:pPr>
        <w:pStyle w:val="Heading5"/>
        <w:spacing w:line="290" w:lineRule="auto" w:before="36"/>
        <w:ind w:left="137" w:right="290"/>
        <w:jc w:val="left"/>
        <w:rPr>
          <w:b w:val="0"/>
          <w:bCs w:val="0"/>
        </w:rPr>
      </w:pPr>
      <w:r>
        <w:rPr>
          <w:rFonts w:ascii="宋体" w:hAnsi="宋体" w:cs="宋体" w:eastAsia="宋体" w:hint="default"/>
        </w:rPr>
        <w:t>7</w:t>
      </w:r>
      <w:r>
        <w:rPr/>
        <w:t>、</w:t>
      </w:r>
      <w:r>
        <w:rPr>
          <w:spacing w:val="-3"/>
        </w:rPr>
        <w:t> </w:t>
      </w:r>
      <w:r>
        <w:rPr/>
        <w:t>存货</w:t>
      </w:r>
      <w:r>
        <w:rPr>
          <w:w w:val="100"/>
        </w:rPr>
        <w:t> </w:t>
      </w:r>
      <w:r>
        <w:rPr>
          <w:rFonts w:ascii="宋体" w:hAnsi="宋体" w:cs="宋体" w:eastAsia="宋体" w:hint="default"/>
        </w:rPr>
        <w:t>(1).</w:t>
      </w:r>
      <w:r>
        <w:rPr/>
        <w:t>存货分类</w:t>
      </w:r>
      <w:r>
        <w:rPr>
          <w:b w:val="0"/>
          <w:bCs w:val="0"/>
        </w:rPr>
      </w:r>
    </w:p>
    <w:p>
      <w:pPr>
        <w:pStyle w:val="BodyText"/>
        <w:spacing w:line="240" w:lineRule="auto" w:before="13"/>
        <w:ind w:left="1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399" w:val="left" w:leader="none"/>
        </w:tabs>
        <w:spacing w:line="240" w:lineRule="auto"/>
        <w:ind w:left="1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140" w:right="1640"/>
          <w:cols w:num="2" w:equalWidth="0">
            <w:col w:w="1715" w:space="4596"/>
            <w:col w:w="2819"/>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84"/>
        <w:gridCol w:w="1373"/>
        <w:gridCol w:w="1123"/>
        <w:gridCol w:w="1124"/>
        <w:gridCol w:w="1267"/>
        <w:gridCol w:w="1265"/>
        <w:gridCol w:w="1260"/>
      </w:tblGrid>
      <w:tr>
        <w:trPr>
          <w:trHeight w:val="283" w:hRule="exact"/>
        </w:trPr>
        <w:tc>
          <w:tcPr>
            <w:tcW w:w="1484"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84" w:type="dxa"/>
            <w:vMerge/>
            <w:tcBorders>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144,836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21,420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123,416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103,620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103,620</w:t>
            </w:r>
          </w:p>
        </w:tc>
      </w:tr>
      <w:tr>
        <w:trPr>
          <w:trHeight w:val="283"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144,836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21,420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123,416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103,620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103,620</w:t>
            </w:r>
          </w:p>
        </w:tc>
      </w:tr>
    </w:tbl>
    <w:p>
      <w:pPr>
        <w:spacing w:line="240" w:lineRule="auto" w:before="1"/>
        <w:rPr>
          <w:rFonts w:ascii="宋体" w:hAnsi="宋体" w:cs="宋体" w:eastAsia="宋体" w:hint="default"/>
          <w:sz w:val="23"/>
          <w:szCs w:val="23"/>
        </w:rPr>
      </w:pPr>
    </w:p>
    <w:p>
      <w:pPr>
        <w:pStyle w:val="Heading5"/>
        <w:spacing w:line="240" w:lineRule="auto" w:before="36"/>
        <w:ind w:left="137" w:right="5592"/>
        <w:jc w:val="left"/>
        <w:rPr>
          <w:b w:val="0"/>
          <w:bCs w:val="0"/>
        </w:rPr>
      </w:pPr>
      <w:r>
        <w:rPr>
          <w:rFonts w:ascii="宋体" w:hAnsi="宋体" w:cs="宋体" w:eastAsia="宋体" w:hint="default"/>
        </w:rPr>
        <w:t>(2).</w:t>
      </w:r>
      <w:r>
        <w:rPr/>
        <w:t>存货跌价准备</w:t>
      </w:r>
      <w:r>
        <w:rPr>
          <w:b w:val="0"/>
          <w:bCs w:val="0"/>
        </w:rPr>
      </w:r>
    </w:p>
    <w:p>
      <w:pPr>
        <w:pStyle w:val="BodyText"/>
        <w:spacing w:line="240" w:lineRule="auto" w:before="56"/>
        <w:ind w:left="137" w:right="5592"/>
        <w:jc w:val="left"/>
      </w:pPr>
      <w:r>
        <w:rPr/>
        <w:t>√适用 □不适用</w:t>
      </w:r>
    </w:p>
    <w:p>
      <w:pPr>
        <w:spacing w:after="0" w:line="240" w:lineRule="auto"/>
        <w:jc w:val="left"/>
        <w:sectPr>
          <w:type w:val="continuous"/>
          <w:pgSz w:w="11910" w:h="16840"/>
          <w:pgMar w:top="1320" w:bottom="1400" w:left="1140" w:right="1640"/>
        </w:sectPr>
      </w:pPr>
    </w:p>
    <w:p>
      <w:pPr>
        <w:pStyle w:val="BodyText"/>
        <w:tabs>
          <w:tab w:pos="1262" w:val="left" w:leader="none"/>
        </w:tabs>
        <w:spacing w:line="240" w:lineRule="auto" w:before="72"/>
        <w:ind w:left="0" w:right="233"/>
        <w:jc w:val="right"/>
      </w:pPr>
      <w:r>
        <w:rPr>
          <w:spacing w:val="-1"/>
        </w:rPr>
        <w:t>单位：千元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16"/>
        <w:gridCol w:w="1174"/>
        <w:gridCol w:w="1190"/>
        <w:gridCol w:w="1191"/>
        <w:gridCol w:w="1202"/>
        <w:gridCol w:w="1193"/>
        <w:gridCol w:w="1183"/>
      </w:tblGrid>
      <w:tr>
        <w:trPr>
          <w:trHeight w:val="283" w:hRule="exact"/>
        </w:trPr>
        <w:tc>
          <w:tcPr>
            <w:tcW w:w="191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4"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1"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18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916" w:type="dxa"/>
            <w:vMerge/>
            <w:tcBorders>
              <w:left w:val="single" w:sz="4" w:space="0" w:color="000000"/>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6"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转回或转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销</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83" w:type="dxa"/>
            <w:vMerge/>
            <w:tcBorders>
              <w:left w:val="single" w:sz="4" w:space="0" w:color="000000"/>
              <w:bottom w:val="single" w:sz="4" w:space="0" w:color="000000"/>
              <w:right w:val="single" w:sz="4" w:space="0" w:color="000000"/>
            </w:tcBorders>
          </w:tcPr>
          <w:p>
            <w:pPr/>
          </w:p>
        </w:tc>
      </w:tr>
      <w:tr>
        <w:trPr>
          <w:trHeight w:val="28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sz w:val="21"/>
              </w:rPr>
              <w:t>22,632</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1,212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21,420</w:t>
            </w:r>
          </w:p>
        </w:tc>
      </w:tr>
      <w:tr>
        <w:trPr>
          <w:trHeight w:val="28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sz w:val="21"/>
              </w:rPr>
              <w:t>22,632</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1,212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21,420</w:t>
            </w:r>
          </w:p>
        </w:tc>
      </w:tr>
    </w:tbl>
    <w:p>
      <w:pPr>
        <w:spacing w:line="240" w:lineRule="auto" w:before="11"/>
        <w:rPr>
          <w:rFonts w:ascii="宋体" w:hAnsi="宋体" w:cs="宋体" w:eastAsia="宋体" w:hint="default"/>
          <w:sz w:val="22"/>
          <w:szCs w:val="22"/>
        </w:rPr>
      </w:pPr>
    </w:p>
    <w:p>
      <w:pPr>
        <w:pStyle w:val="Heading5"/>
        <w:spacing w:line="240" w:lineRule="auto" w:before="36"/>
        <w:ind w:left="217" w:right="234"/>
        <w:jc w:val="left"/>
        <w:rPr>
          <w:b w:val="0"/>
          <w:bCs w:val="0"/>
        </w:rPr>
      </w:pPr>
      <w:r>
        <w:rPr>
          <w:rFonts w:ascii="宋体" w:hAnsi="宋体" w:cs="宋体" w:eastAsia="宋体" w:hint="default"/>
        </w:rPr>
        <w:t>(3).</w:t>
      </w:r>
      <w:r>
        <w:rPr/>
        <w:t>存货期末余额含有借款费用资本化金额的说明</w:t>
      </w:r>
      <w:r>
        <w:rPr>
          <w:b w:val="0"/>
          <w:bCs w:val="0"/>
        </w:rPr>
      </w:r>
    </w:p>
    <w:p>
      <w:pPr>
        <w:pStyle w:val="BodyText"/>
        <w:tabs>
          <w:tab w:pos="1059" w:val="left" w:leader="none"/>
        </w:tabs>
        <w:spacing w:line="240" w:lineRule="auto" w:before="58"/>
        <w:ind w:left="217" w:right="234"/>
        <w:jc w:val="left"/>
      </w:pPr>
      <w:r>
        <w:rPr/>
        <w:t>□适用</w:t>
        <w:tab/>
        <w:t>√不适用</w:t>
      </w:r>
    </w:p>
    <w:p>
      <w:pPr>
        <w:spacing w:line="240" w:lineRule="auto" w:before="2"/>
        <w:rPr>
          <w:rFonts w:ascii="宋体" w:hAnsi="宋体" w:cs="宋体" w:eastAsia="宋体" w:hint="default"/>
          <w:sz w:val="28"/>
          <w:szCs w:val="28"/>
        </w:rPr>
      </w:pPr>
    </w:p>
    <w:p>
      <w:pPr>
        <w:pStyle w:val="Heading5"/>
        <w:spacing w:line="240" w:lineRule="auto"/>
        <w:ind w:left="217" w:right="234"/>
        <w:jc w:val="left"/>
        <w:rPr>
          <w:b w:val="0"/>
          <w:bCs w:val="0"/>
        </w:rPr>
      </w:pPr>
      <w:r>
        <w:rPr>
          <w:rFonts w:ascii="宋体" w:hAnsi="宋体" w:cs="宋体" w:eastAsia="宋体" w:hint="default"/>
        </w:rPr>
        <w:t>(4).</w:t>
      </w:r>
      <w:r>
        <w:rPr/>
        <w:t>期末建造合同形成的已完工未结算资产情况</w:t>
      </w:r>
      <w:r>
        <w:rPr>
          <w:b w:val="0"/>
          <w:bCs w:val="0"/>
        </w:rPr>
      </w:r>
    </w:p>
    <w:p>
      <w:pPr>
        <w:pStyle w:val="BodyText"/>
        <w:spacing w:line="240" w:lineRule="auto" w:before="57"/>
        <w:ind w:left="217" w:right="7474"/>
        <w:jc w:val="left"/>
      </w:pPr>
      <w:r>
        <w:rPr/>
        <w:t>□适用 √不适用</w:t>
      </w:r>
      <w:r>
        <w:rPr>
          <w:w w:val="100"/>
        </w:rPr>
        <w:t> </w:t>
      </w:r>
      <w:r>
        <w:rPr/>
        <w:t>其他说明</w:t>
      </w:r>
    </w:p>
    <w:p>
      <w:pPr>
        <w:pStyle w:val="BodyText"/>
        <w:tabs>
          <w:tab w:pos="1059" w:val="left" w:leader="none"/>
        </w:tabs>
        <w:spacing w:line="271" w:lineRule="exact"/>
        <w:ind w:left="217" w:right="234"/>
        <w:jc w:val="left"/>
      </w:pPr>
      <w:r>
        <w:rPr/>
        <w:t>□适用</w:t>
        <w:tab/>
        <w:t>√不适用</w:t>
      </w:r>
    </w:p>
    <w:p>
      <w:pPr>
        <w:spacing w:line="240" w:lineRule="auto" w:before="8"/>
        <w:rPr>
          <w:rFonts w:ascii="宋体" w:hAnsi="宋体" w:cs="宋体" w:eastAsia="宋体" w:hint="default"/>
          <w:sz w:val="25"/>
          <w:szCs w:val="25"/>
        </w:rPr>
      </w:pPr>
    </w:p>
    <w:p>
      <w:pPr>
        <w:pStyle w:val="Heading5"/>
        <w:spacing w:line="240" w:lineRule="auto"/>
        <w:ind w:left="217" w:right="234"/>
        <w:jc w:val="left"/>
        <w:rPr>
          <w:b w:val="0"/>
          <w:bCs w:val="0"/>
        </w:rPr>
      </w:pPr>
      <w:r>
        <w:rPr>
          <w:rFonts w:ascii="宋体" w:hAnsi="宋体" w:cs="宋体" w:eastAsia="宋体" w:hint="default"/>
        </w:rPr>
        <w:t>8</w:t>
      </w:r>
      <w:r>
        <w:rPr/>
        <w:t>、</w:t>
      </w:r>
      <w:r>
        <w:rPr>
          <w:spacing w:val="-1"/>
        </w:rPr>
        <w:t> </w:t>
      </w:r>
      <w:r>
        <w:rPr/>
        <w:t>持有待售资产</w:t>
      </w:r>
      <w:r>
        <w:rPr>
          <w:b w:val="0"/>
          <w:bCs w:val="0"/>
        </w:rPr>
      </w:r>
    </w:p>
    <w:p>
      <w:pPr>
        <w:pStyle w:val="BodyText"/>
        <w:spacing w:line="240" w:lineRule="auto" w:before="56"/>
        <w:ind w:left="217" w:right="234"/>
        <w:jc w:val="left"/>
      </w:pPr>
      <w:r>
        <w:rPr/>
        <w:t>□适用 √不适用</w:t>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217" w:top="1320" w:bottom="1400" w:left="1060" w:right="1560"/>
        </w:sectPr>
      </w:pPr>
    </w:p>
    <w:p>
      <w:pPr>
        <w:pStyle w:val="Heading5"/>
        <w:spacing w:line="240" w:lineRule="auto" w:before="36"/>
        <w:ind w:left="217" w:right="-19"/>
        <w:jc w:val="left"/>
        <w:rPr>
          <w:b w:val="0"/>
          <w:bCs w:val="0"/>
        </w:rPr>
      </w:pPr>
      <w:r>
        <w:rPr>
          <w:rFonts w:ascii="宋体" w:hAnsi="宋体" w:cs="宋体" w:eastAsia="宋体" w:hint="default"/>
        </w:rPr>
        <w:t>9</w:t>
      </w:r>
      <w:r>
        <w:rPr/>
        <w:t>、</w:t>
      </w:r>
      <w:r>
        <w:rPr>
          <w:spacing w:val="-2"/>
        </w:rPr>
        <w:t> </w:t>
      </w:r>
      <w:r>
        <w:rPr/>
        <w:t>一年内到期的非流动资产</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79" w:val="left" w:leader="none"/>
        </w:tabs>
        <w:spacing w:line="240" w:lineRule="auto"/>
        <w:ind w:left="21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60" w:right="1560"/>
          <w:cols w:num="2" w:equalWidth="0">
            <w:col w:w="2959" w:space="3143"/>
            <w:col w:w="318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9"/>
        <w:gridCol w:w="2897"/>
        <w:gridCol w:w="2864"/>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一年内到期的长期应收款</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18,934</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18,934</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36,000</w:t>
            </w:r>
          </w:p>
        </w:tc>
      </w:tr>
    </w:tbl>
    <w:p>
      <w:pPr>
        <w:spacing w:line="240" w:lineRule="auto" w:before="6"/>
        <w:rPr>
          <w:rFonts w:ascii="宋体" w:hAnsi="宋体" w:cs="宋体" w:eastAsia="宋体" w:hint="default"/>
          <w:sz w:val="18"/>
          <w:szCs w:val="18"/>
        </w:rPr>
      </w:pPr>
    </w:p>
    <w:p>
      <w:pPr>
        <w:pStyle w:val="BodyText"/>
        <w:spacing w:line="272" w:lineRule="exact" w:before="64"/>
        <w:ind w:left="217" w:right="8209"/>
        <w:jc w:val="left"/>
      </w:pPr>
      <w:r>
        <w:rPr/>
        <w:t>其他说明</w:t>
      </w:r>
      <w:r>
        <w:rPr>
          <w:w w:val="100"/>
        </w:rPr>
        <w:t> </w:t>
      </w:r>
      <w:r>
        <w:rPr/>
        <w:t>无。</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20" w:bottom="1400" w:left="1060" w:right="1560"/>
        </w:sectPr>
      </w:pPr>
    </w:p>
    <w:p>
      <w:pPr>
        <w:pStyle w:val="Heading5"/>
        <w:spacing w:line="240" w:lineRule="auto" w:before="36"/>
        <w:ind w:left="217" w:right="-19"/>
        <w:jc w:val="left"/>
        <w:rPr>
          <w:b w:val="0"/>
          <w:bCs w:val="0"/>
        </w:rPr>
      </w:pPr>
      <w:r>
        <w:rPr>
          <w:rFonts w:ascii="宋体" w:hAnsi="宋体" w:cs="宋体" w:eastAsia="宋体" w:hint="default"/>
        </w:rPr>
        <w:t>10</w:t>
      </w:r>
      <w:r>
        <w:rPr/>
        <w:t>、</w:t>
      </w:r>
      <w:r>
        <w:rPr>
          <w:spacing w:val="-23"/>
        </w:rPr>
        <w:t> </w:t>
      </w:r>
      <w:r>
        <w:rPr/>
        <w:t>其他流动资产</w:t>
      </w:r>
      <w:r>
        <w:rPr>
          <w:b w:val="0"/>
          <w:bCs w:val="0"/>
        </w:rPr>
      </w:r>
    </w:p>
    <w:p>
      <w:pPr>
        <w:pStyle w:val="BodyText"/>
        <w:spacing w:line="240" w:lineRule="auto" w:before="58"/>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79" w:val="left" w:leader="none"/>
        </w:tabs>
        <w:spacing w:line="240" w:lineRule="auto"/>
        <w:ind w:left="21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60" w:right="1560"/>
          <w:cols w:num="2" w:equalWidth="0">
            <w:col w:w="1989" w:space="4322"/>
            <w:col w:w="297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9"/>
        <w:gridCol w:w="2916"/>
        <w:gridCol w:w="2845"/>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银行理财产品</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320,674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362,342</w:t>
            </w:r>
          </w:p>
        </w:tc>
      </w:tr>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待抵扣的增值税进项税额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162,516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128,536</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483,190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490,878</w:t>
            </w:r>
          </w:p>
        </w:tc>
      </w:tr>
    </w:tbl>
    <w:p>
      <w:pPr>
        <w:pStyle w:val="BodyText"/>
        <w:spacing w:line="240" w:lineRule="exact"/>
        <w:ind w:left="217" w:right="234"/>
        <w:jc w:val="left"/>
      </w:pPr>
      <w:r>
        <w:rPr/>
        <w:t>其他说明</w:t>
      </w:r>
    </w:p>
    <w:p>
      <w:pPr>
        <w:pStyle w:val="BodyText"/>
        <w:spacing w:line="272" w:lineRule="exact"/>
        <w:ind w:left="217" w:right="234"/>
        <w:jc w:val="left"/>
      </w:pPr>
      <w:r>
        <w:rPr/>
        <w:t>注：</w:t>
      </w:r>
    </w:p>
    <w:p>
      <w:pPr>
        <w:pStyle w:val="BodyText"/>
        <w:spacing w:line="273" w:lineRule="exact"/>
        <w:ind w:left="637" w:right="234"/>
        <w:jc w:val="left"/>
      </w:pPr>
      <w:r>
        <w:rPr/>
        <w:t>截止至</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日，银行理财产品的类型包括：</w:t>
      </w:r>
    </w:p>
    <w:p>
      <w:pPr>
        <w:pStyle w:val="BodyText"/>
        <w:spacing w:line="240" w:lineRule="auto" w:before="135"/>
        <w:ind w:left="637" w:right="234"/>
        <w:jc w:val="left"/>
      </w:pPr>
      <w:r>
        <w:rPr/>
        <w:t>保本保收益产品：预期收益率为</w:t>
      </w:r>
      <w:r>
        <w:rPr>
          <w:spacing w:val="-54"/>
        </w:rPr>
        <w:t> </w:t>
      </w:r>
      <w:r>
        <w:rPr>
          <w:rFonts w:ascii="宋体" w:hAnsi="宋体" w:cs="宋体" w:eastAsia="宋体" w:hint="default"/>
        </w:rPr>
        <w:t>3.80%-3.95%</w:t>
      </w:r>
      <w:r>
        <w:rPr/>
        <w:t>，产品期限为</w:t>
      </w:r>
      <w:r>
        <w:rPr>
          <w:spacing w:val="-53"/>
        </w:rPr>
        <w:t> </w:t>
      </w:r>
      <w:r>
        <w:rPr>
          <w:rFonts w:ascii="宋体" w:hAnsi="宋体" w:cs="宋体" w:eastAsia="宋体" w:hint="default"/>
        </w:rPr>
        <w:t>92</w:t>
      </w:r>
      <w:r>
        <w:rPr>
          <w:rFonts w:ascii="宋体" w:hAnsi="宋体" w:cs="宋体" w:eastAsia="宋体" w:hint="default"/>
          <w:spacing w:val="-54"/>
        </w:rPr>
        <w:t> </w:t>
      </w:r>
      <w:r>
        <w:rPr/>
        <w:t>天，于</w:t>
      </w:r>
      <w:r>
        <w:rPr>
          <w:spacing w:val="-56"/>
        </w:rPr>
        <w:t> </w:t>
      </w:r>
      <w:r>
        <w:rPr>
          <w:rFonts w:ascii="宋体" w:hAnsi="宋体" w:cs="宋体" w:eastAsia="宋体" w:hint="default"/>
        </w:rPr>
        <w:t>2019</w:t>
      </w:r>
      <w:r>
        <w:rPr>
          <w:rFonts w:ascii="宋体" w:hAnsi="宋体" w:cs="宋体" w:eastAsia="宋体" w:hint="default"/>
          <w:spacing w:val="-56"/>
        </w:rPr>
        <w:t> </w:t>
      </w:r>
      <w:r>
        <w:rPr/>
        <w:t>年到期。</w:t>
      </w:r>
    </w:p>
    <w:p>
      <w:pPr>
        <w:pStyle w:val="BodyText"/>
        <w:spacing w:line="355" w:lineRule="auto" w:before="133"/>
        <w:ind w:left="217" w:right="345" w:firstLine="420"/>
        <w:jc w:val="left"/>
      </w:pPr>
      <w:r>
        <w:rPr/>
        <w:t>非保本浮动收益产品：预期收益率为</w:t>
      </w:r>
      <w:r>
        <w:rPr>
          <w:spacing w:val="-55"/>
        </w:rPr>
        <w:t> </w:t>
      </w:r>
      <w:r>
        <w:rPr>
          <w:rFonts w:ascii="宋体" w:hAnsi="宋体" w:cs="宋体" w:eastAsia="宋体" w:hint="default"/>
        </w:rPr>
        <w:t>2.75%-4.60%</w:t>
      </w:r>
      <w:r>
        <w:rPr/>
        <w:t>，部分产品期限为</w:t>
      </w:r>
      <w:r>
        <w:rPr>
          <w:spacing w:val="-55"/>
        </w:rPr>
        <w:t> </w:t>
      </w:r>
      <w:r>
        <w:rPr>
          <w:rFonts w:ascii="宋体" w:hAnsi="宋体" w:cs="宋体" w:eastAsia="宋体" w:hint="default"/>
        </w:rPr>
        <w:t>90-182</w:t>
      </w:r>
      <w:r>
        <w:rPr>
          <w:rFonts w:ascii="宋体" w:hAnsi="宋体" w:cs="宋体" w:eastAsia="宋体" w:hint="default"/>
          <w:spacing w:val="-57"/>
        </w:rPr>
        <w:t> </w:t>
      </w:r>
      <w:r>
        <w:rPr/>
        <w:t>天，将于</w:t>
      </w:r>
      <w:r>
        <w:rPr>
          <w:spacing w:val="-54"/>
        </w:rPr>
        <w:t> </w:t>
      </w:r>
      <w:r>
        <w:rPr>
          <w:rFonts w:ascii="宋体" w:hAnsi="宋体" w:cs="宋体" w:eastAsia="宋体" w:hint="default"/>
        </w:rPr>
        <w:t>2019</w:t>
      </w:r>
      <w:r>
        <w:rPr>
          <w:rFonts w:ascii="宋体" w:hAnsi="宋体" w:cs="宋体" w:eastAsia="宋体" w:hint="default"/>
          <w:w w:val="100"/>
        </w:rPr>
        <w:t> </w:t>
      </w:r>
      <w:r>
        <w:rPr/>
        <w:t>年到期，部分产品无固定期限，将于一年内赎回。</w:t>
      </w:r>
    </w:p>
    <w:p>
      <w:pPr>
        <w:pStyle w:val="BodyText"/>
        <w:spacing w:line="240" w:lineRule="auto" w:before="32"/>
        <w:ind w:left="637" w:right="124"/>
        <w:jc w:val="left"/>
      </w:pPr>
      <w:r>
        <w:rPr>
          <w:spacing w:val="-3"/>
        </w:rPr>
        <w:t>本集团将保本保收益产品划分为贷款及应收款项，金额为人民币 </w:t>
      </w:r>
      <w:r>
        <w:rPr>
          <w:rFonts w:ascii="宋体" w:hAnsi="宋体" w:cs="宋体" w:eastAsia="宋体" w:hint="default"/>
        </w:rPr>
        <w:t>90,000</w:t>
      </w:r>
      <w:r>
        <w:rPr>
          <w:rFonts w:ascii="宋体" w:hAnsi="宋体" w:cs="宋体" w:eastAsia="宋体" w:hint="default"/>
          <w:spacing w:val="-59"/>
        </w:rPr>
        <w:t> </w:t>
      </w:r>
      <w:r>
        <w:rPr>
          <w:spacing w:val="-7"/>
        </w:rPr>
        <w:t>千元；将非保本浮动</w:t>
      </w:r>
    </w:p>
    <w:p>
      <w:pPr>
        <w:pStyle w:val="BodyText"/>
        <w:spacing w:line="240" w:lineRule="auto" w:before="133"/>
        <w:ind w:left="217" w:right="234"/>
        <w:jc w:val="left"/>
      </w:pPr>
      <w:r>
        <w:rPr/>
        <w:t>收益产品划分为可供出售金融资产，金额为人民币</w:t>
      </w:r>
      <w:r>
        <w:rPr>
          <w:spacing w:val="-57"/>
        </w:rPr>
        <w:t> </w:t>
      </w:r>
      <w:r>
        <w:rPr>
          <w:rFonts w:ascii="宋体" w:hAnsi="宋体" w:cs="宋体" w:eastAsia="宋体" w:hint="default"/>
        </w:rPr>
        <w:t>230,674</w:t>
      </w:r>
      <w:r>
        <w:rPr>
          <w:rFonts w:ascii="宋体" w:hAnsi="宋体" w:cs="宋体" w:eastAsia="宋体" w:hint="default"/>
          <w:spacing w:val="-55"/>
        </w:rPr>
        <w:t> </w:t>
      </w:r>
      <w:r>
        <w:rPr/>
        <w:t>千元，以公允价值计量。</w:t>
      </w:r>
    </w:p>
    <w:p>
      <w:pPr>
        <w:spacing w:after="0" w:line="240" w:lineRule="auto"/>
        <w:jc w:val="left"/>
        <w:sectPr>
          <w:type w:val="continuous"/>
          <w:pgSz w:w="11910" w:h="16840"/>
          <w:pgMar w:top="1320" w:bottom="1400" w:left="1060" w:right="1560"/>
        </w:sectPr>
      </w:pPr>
    </w:p>
    <w:p>
      <w:pPr>
        <w:pStyle w:val="Heading5"/>
        <w:spacing w:line="290" w:lineRule="auto" w:before="72"/>
        <w:ind w:left="237" w:right="-15"/>
        <w:jc w:val="left"/>
        <w:rPr>
          <w:b w:val="0"/>
          <w:bCs w:val="0"/>
        </w:rPr>
      </w:pPr>
      <w:r>
        <w:rPr>
          <w:rFonts w:ascii="宋体" w:hAnsi="宋体" w:cs="宋体" w:eastAsia="宋体" w:hint="default"/>
        </w:rPr>
        <w:t>11</w:t>
      </w:r>
      <w:r>
        <w:rPr/>
        <w:t>、</w:t>
      </w:r>
      <w:r>
        <w:rPr>
          <w:spacing w:val="-25"/>
        </w:rPr>
        <w:t> </w:t>
      </w:r>
      <w:r>
        <w:rPr/>
        <w:t>可供出售金融资产</w:t>
      </w:r>
      <w:r>
        <w:rPr>
          <w:spacing w:val="-104"/>
        </w:rPr>
        <w:t> </w:t>
      </w:r>
      <w:r>
        <w:rPr>
          <w:spacing w:val="-104"/>
        </w:rPr>
      </w:r>
      <w:r>
        <w:rPr>
          <w:rFonts w:ascii="宋体" w:hAnsi="宋体" w:cs="宋体" w:eastAsia="宋体" w:hint="default"/>
        </w:rPr>
        <w:t>(1).</w:t>
      </w:r>
      <w:r>
        <w:rPr/>
        <w:t>可供出售金融资产情况</w:t>
      </w:r>
      <w:r>
        <w:rPr>
          <w:b w:val="0"/>
          <w:bCs w:val="0"/>
        </w:rPr>
      </w:r>
    </w:p>
    <w:p>
      <w:pPr>
        <w:pStyle w:val="BodyText"/>
        <w:spacing w:line="240" w:lineRule="auto" w:before="14"/>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pgSz w:w="11910" w:h="16840"/>
          <w:pgMar w:header="0" w:footer="1217" w:top="1320" w:bottom="1400" w:left="1040" w:right="1560"/>
          <w:cols w:num="2" w:equalWidth="0">
            <w:col w:w="2775" w:space="3536"/>
            <w:col w:w="299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184"/>
        <w:gridCol w:w="1191"/>
        <w:gridCol w:w="1073"/>
        <w:gridCol w:w="1174"/>
        <w:gridCol w:w="1171"/>
        <w:gridCol w:w="1095"/>
        <w:gridCol w:w="1174"/>
      </w:tblGrid>
      <w:tr>
        <w:trPr>
          <w:trHeight w:val="283" w:hRule="exact"/>
        </w:trPr>
        <w:tc>
          <w:tcPr>
            <w:tcW w:w="2184"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184" w:type="dxa"/>
            <w:vMerge/>
            <w:tcBorders>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hAnsi="宋体" w:cs="宋体" w:eastAsia="宋体" w:hint="default"/>
                <w:spacing w:val="-1"/>
                <w:sz w:val="21"/>
                <w:szCs w:val="21"/>
              </w:rPr>
              <w:t>减值准备</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hAnsi="宋体" w:cs="宋体" w:eastAsia="宋体" w:hint="default"/>
                <w:spacing w:val="-1"/>
                <w:sz w:val="21"/>
                <w:szCs w:val="21"/>
              </w:rPr>
              <w:t>减值准备</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8"/>
              <w:jc w:val="right"/>
              <w:rPr>
                <w:rFonts w:ascii="宋体" w:hAnsi="宋体" w:cs="宋体" w:eastAsia="宋体" w:hint="default"/>
                <w:sz w:val="21"/>
                <w:szCs w:val="21"/>
              </w:rPr>
            </w:pPr>
            <w:r>
              <w:rPr>
                <w:rFonts w:ascii="宋体" w:hAnsi="宋体" w:cs="宋体" w:eastAsia="宋体" w:hint="default"/>
                <w:spacing w:val="-1"/>
                <w:sz w:val="21"/>
                <w:szCs w:val="21"/>
              </w:rPr>
              <w:t>账面价值</w:t>
            </w:r>
          </w:p>
        </w:tc>
      </w:tr>
      <w:tr>
        <w:trPr>
          <w:trHeight w:val="283"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191"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sz w:val="21"/>
              </w:rPr>
              <w:t>3,986,627</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199,102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3,787,525</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1,549,022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199,125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1,349,897</w:t>
            </w:r>
          </w:p>
        </w:tc>
      </w:tr>
      <w:tr>
        <w:trPr>
          <w:trHeight w:val="557"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按公允价值计量</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的</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center"/>
              <w:rPr>
                <w:rFonts w:ascii="宋体" w:hAnsi="宋体" w:cs="宋体" w:eastAsia="宋体" w:hint="default"/>
                <w:sz w:val="21"/>
                <w:szCs w:val="21"/>
              </w:rPr>
            </w:pPr>
            <w:r>
              <w:rPr>
                <w:rFonts w:ascii="宋体"/>
                <w:sz w:val="21"/>
              </w:rPr>
              <w:t>2,619,986</w:t>
            </w:r>
          </w:p>
        </w:tc>
        <w:tc>
          <w:tcPr>
            <w:tcW w:w="107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2,619,986</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6" w:right="0"/>
              <w:jc w:val="left"/>
              <w:rPr>
                <w:rFonts w:ascii="宋体" w:hAnsi="宋体" w:cs="宋体" w:eastAsia="宋体" w:hint="default"/>
                <w:sz w:val="21"/>
                <w:szCs w:val="21"/>
              </w:rPr>
            </w:pPr>
            <w:r>
              <w:rPr>
                <w:rFonts w:ascii="宋体"/>
                <w:sz w:val="21"/>
              </w:rPr>
              <w:t>369,104</w:t>
            </w:r>
          </w:p>
        </w:tc>
        <w:tc>
          <w:tcPr>
            <w:tcW w:w="1095"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369,104</w:t>
            </w:r>
          </w:p>
        </w:tc>
      </w:tr>
      <w:tr>
        <w:trPr>
          <w:trHeight w:val="281"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
              <w:jc w:val="center"/>
              <w:rPr>
                <w:rFonts w:ascii="宋体" w:hAnsi="宋体" w:cs="宋体" w:eastAsia="宋体" w:hint="default"/>
                <w:sz w:val="21"/>
                <w:szCs w:val="21"/>
              </w:rPr>
            </w:pPr>
            <w:r>
              <w:rPr>
                <w:rFonts w:ascii="宋体" w:hAnsi="宋体" w:cs="宋体" w:eastAsia="宋体" w:hint="default"/>
                <w:sz w:val="21"/>
                <w:szCs w:val="21"/>
              </w:rPr>
              <w:t>按成本计量的</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sz w:val="21"/>
              </w:rPr>
              <w:t>1,366,641</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199,102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1,167,539</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1,179,918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199,125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980,793</w:t>
            </w:r>
          </w:p>
        </w:tc>
      </w:tr>
      <w:tr>
        <w:trPr>
          <w:trHeight w:val="284"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sz w:val="21"/>
              </w:rPr>
              <w:t>3,986,627</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199,102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3,787,525</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1,549,022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199,125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1,349,897</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320" w:bottom="1400" w:left="1040" w:right="1560"/>
        </w:sectPr>
      </w:pPr>
    </w:p>
    <w:p>
      <w:pPr>
        <w:pStyle w:val="Heading5"/>
        <w:spacing w:line="240" w:lineRule="auto" w:before="36"/>
        <w:ind w:left="237" w:right="-14"/>
        <w:jc w:val="left"/>
        <w:rPr>
          <w:b w:val="0"/>
          <w:bCs w:val="0"/>
        </w:rPr>
      </w:pPr>
      <w:r>
        <w:rPr>
          <w:rFonts w:ascii="宋体" w:hAnsi="宋体" w:cs="宋体" w:eastAsia="宋体" w:hint="default"/>
        </w:rPr>
        <w:t>(2).</w:t>
      </w:r>
      <w:r>
        <w:rPr/>
        <w:t>期末按公允价值计量的可供出售金融资产</w:t>
      </w:r>
      <w:r>
        <w:rPr>
          <w:b w:val="0"/>
          <w:bCs w:val="0"/>
        </w:rPr>
      </w:r>
    </w:p>
    <w:p>
      <w:pPr>
        <w:pStyle w:val="BodyText"/>
        <w:spacing w:line="240" w:lineRule="auto" w:before="56"/>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4462" w:space="1849"/>
            <w:col w:w="2999"/>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111"/>
        <w:gridCol w:w="2021"/>
        <w:gridCol w:w="1968"/>
        <w:gridCol w:w="1949"/>
      </w:tblGrid>
      <w:tr>
        <w:trPr>
          <w:trHeight w:val="283"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0"/>
              <w:jc w:val="right"/>
              <w:rPr>
                <w:rFonts w:ascii="宋体" w:hAnsi="宋体" w:cs="宋体" w:eastAsia="宋体" w:hint="default"/>
                <w:sz w:val="21"/>
                <w:szCs w:val="21"/>
              </w:rPr>
            </w:pPr>
            <w:r>
              <w:rPr>
                <w:rFonts w:ascii="宋体" w:hAnsi="宋体" w:cs="宋体" w:eastAsia="宋体" w:hint="default"/>
                <w:spacing w:val="-2"/>
                <w:sz w:val="21"/>
                <w:szCs w:val="21"/>
              </w:rPr>
              <w:t>可供出售权益工具</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4"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权益工具的成本</w:t>
            </w:r>
            <w:r>
              <w:rPr>
                <w:rFonts w:ascii="宋体" w:hAnsi="宋体" w:cs="宋体" w:eastAsia="宋体" w:hint="default"/>
                <w:sz w:val="21"/>
                <w:szCs w:val="21"/>
              </w:rPr>
              <w:t>/</w:t>
            </w:r>
            <w:r>
              <w:rPr>
                <w:rFonts w:ascii="宋体" w:hAnsi="宋体" w:cs="宋体" w:eastAsia="宋体" w:hint="default"/>
                <w:sz w:val="21"/>
                <w:szCs w:val="21"/>
              </w:rPr>
              <w:t>债务工具的摊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余成本</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413,737</w:t>
            </w:r>
          </w:p>
        </w:tc>
        <w:tc>
          <w:tcPr>
            <w:tcW w:w="1968"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413,737</w:t>
            </w:r>
          </w:p>
        </w:tc>
      </w:tr>
      <w:tr>
        <w:trPr>
          <w:trHeight w:val="283"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2,619,986</w:t>
            </w:r>
          </w:p>
        </w:tc>
        <w:tc>
          <w:tcPr>
            <w:tcW w:w="1968"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2,619,986</w:t>
            </w:r>
          </w:p>
        </w:tc>
      </w:tr>
      <w:tr>
        <w:trPr>
          <w:trHeight w:val="554"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累计计入其他综合收益的公允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价值变动金额</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2,215,200</w:t>
            </w:r>
          </w:p>
        </w:tc>
        <w:tc>
          <w:tcPr>
            <w:tcW w:w="1968"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2,215,200</w:t>
            </w:r>
          </w:p>
        </w:tc>
      </w:tr>
      <w:tr>
        <w:trPr>
          <w:trHeight w:val="281"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外币报表折算差异</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8,951</w:t>
            </w:r>
            <w:r>
              <w:rPr>
                <w:rFonts w:ascii="宋体" w:hAnsi="宋体" w:cs="宋体" w:eastAsia="宋体" w:hint="default"/>
                <w:spacing w:val="-1"/>
                <w:sz w:val="21"/>
                <w:szCs w:val="21"/>
              </w:rPr>
              <w:t>）</w:t>
            </w:r>
          </w:p>
        </w:tc>
        <w:tc>
          <w:tcPr>
            <w:tcW w:w="1968"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8,951</w:t>
            </w:r>
            <w:r>
              <w:rPr>
                <w:rFonts w:ascii="宋体" w:hAnsi="宋体" w:cs="宋体" w:eastAsia="宋体" w:hint="default"/>
                <w:spacing w:val="-1"/>
                <w:sz w:val="21"/>
                <w:szCs w:val="21"/>
              </w:rPr>
              <w:t>）</w:t>
            </w:r>
          </w:p>
        </w:tc>
      </w:tr>
      <w:tr>
        <w:trPr>
          <w:trHeight w:val="284"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2021"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2" w:lineRule="exact" w:before="64"/>
        <w:ind w:left="237" w:right="127"/>
        <w:jc w:val="left"/>
      </w:pPr>
      <w:r>
        <w:rPr>
          <w:spacing w:val="-2"/>
        </w:rPr>
        <w:t>本集团持有的以公允价值计量的可供出售金融资产主要为在证券交易所公开交易的股票和契约式</w:t>
      </w:r>
      <w:r>
        <w:rPr>
          <w:spacing w:val="-25"/>
        </w:rPr>
        <w:t> </w:t>
      </w:r>
      <w:r>
        <w:rPr>
          <w:spacing w:val="-25"/>
        </w:rPr>
      </w:r>
      <w:r>
        <w:rPr/>
        <w:t>封闭基金。</w:t>
      </w:r>
    </w:p>
    <w:p>
      <w:pPr>
        <w:spacing w:after="0" w:line="272" w:lineRule="exact"/>
        <w:jc w:val="left"/>
        <w:sectPr>
          <w:type w:val="continuous"/>
          <w:pgSz w:w="11910" w:h="16840"/>
          <w:pgMar w:top="1320" w:bottom="1400" w:left="1040" w:right="1560"/>
        </w:sectPr>
      </w:pPr>
    </w:p>
    <w:p>
      <w:pPr>
        <w:spacing w:line="240" w:lineRule="auto" w:before="8"/>
        <w:rPr>
          <w:rFonts w:ascii="宋体" w:hAnsi="宋体" w:cs="宋体" w:eastAsia="宋体" w:hint="default"/>
          <w:sz w:val="3"/>
          <w:szCs w:val="3"/>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66"/>
          <w:footerReference w:type="default" r:id="rId67"/>
          <w:pgSz w:w="16840" w:h="11910" w:orient="landscape"/>
          <w:pgMar w:header="857" w:footer="1218" w:top="1260" w:bottom="1400" w:left="1300" w:right="1220"/>
          <w:pgNumType w:start="151"/>
        </w:sectPr>
      </w:pPr>
    </w:p>
    <w:p>
      <w:pPr>
        <w:pStyle w:val="Heading5"/>
        <w:spacing w:line="240" w:lineRule="auto" w:before="36"/>
        <w:ind w:left="224" w:right="-15"/>
        <w:jc w:val="left"/>
        <w:rPr>
          <w:b w:val="0"/>
          <w:bCs w:val="0"/>
        </w:rPr>
      </w:pPr>
      <w:r>
        <w:rPr>
          <w:rFonts w:ascii="宋体" w:hAnsi="宋体" w:cs="宋体" w:eastAsia="宋体" w:hint="default"/>
        </w:rPr>
        <w:t>(3).</w:t>
      </w:r>
      <w:r>
        <w:rPr/>
        <w:t>期末按成本计量的可供出售金融资产</w:t>
      </w:r>
      <w:r>
        <w:rPr>
          <w:b w:val="0"/>
          <w:bCs w:val="0"/>
        </w:rPr>
      </w:r>
    </w:p>
    <w:p>
      <w:pPr>
        <w:pStyle w:val="BodyText"/>
        <w:spacing w:line="240" w:lineRule="auto" w:before="58"/>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38" w:val="left" w:leader="none"/>
        </w:tabs>
        <w:spacing w:line="240" w:lineRule="auto"/>
        <w:ind w:left="224" w:right="0"/>
        <w:jc w:val="left"/>
      </w:pPr>
      <w:r>
        <w:rPr>
          <w:spacing w:val="-11"/>
        </w:rPr>
        <w:t>单位：千元</w:t>
        <w:tab/>
      </w:r>
      <w:r>
        <w:rPr>
          <w:spacing w:val="-10"/>
        </w:rPr>
        <w:t>币种：人民币</w:t>
      </w:r>
      <w:r>
        <w:rPr/>
      </w:r>
    </w:p>
    <w:p>
      <w:pPr>
        <w:spacing w:after="0" w:line="240" w:lineRule="auto"/>
        <w:jc w:val="left"/>
        <w:sectPr>
          <w:type w:val="continuous"/>
          <w:pgSz w:w="16840" w:h="11910" w:orient="landscape"/>
          <w:pgMar w:top="1320" w:bottom="1400" w:left="1300" w:right="1220"/>
          <w:cols w:num="2" w:equalWidth="0">
            <w:col w:w="4027" w:space="7001"/>
            <w:col w:w="3292"/>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220"/>
        <w:gridCol w:w="1135"/>
        <w:gridCol w:w="991"/>
        <w:gridCol w:w="994"/>
        <w:gridCol w:w="1274"/>
        <w:gridCol w:w="994"/>
        <w:gridCol w:w="850"/>
        <w:gridCol w:w="852"/>
        <w:gridCol w:w="991"/>
        <w:gridCol w:w="847"/>
        <w:gridCol w:w="941"/>
      </w:tblGrid>
      <w:tr>
        <w:trPr>
          <w:trHeight w:val="718" w:hRule="exact"/>
        </w:trPr>
        <w:tc>
          <w:tcPr>
            <w:tcW w:w="422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72" w:lineRule="exact"/>
              <w:ind w:left="1788" w:right="1786"/>
              <w:jc w:val="center"/>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w w:val="100"/>
                <w:sz w:val="21"/>
                <w:szCs w:val="21"/>
              </w:rPr>
              <w:t> </w:t>
            </w:r>
            <w:r>
              <w:rPr>
                <w:rFonts w:ascii="宋体" w:hAnsi="宋体" w:cs="宋体" w:eastAsia="宋体" w:hint="default"/>
                <w:sz w:val="21"/>
                <w:szCs w:val="21"/>
              </w:rPr>
              <w:t>单位</w:t>
            </w:r>
          </w:p>
        </w:tc>
        <w:tc>
          <w:tcPr>
            <w:tcW w:w="43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6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9"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847" w:type="dxa"/>
            <w:vMerge w:val="restart"/>
            <w:tcBorders>
              <w:top w:val="single" w:sz="4" w:space="0" w:color="000000"/>
              <w:left w:val="single" w:sz="4" w:space="0" w:color="000000"/>
              <w:right w:val="single" w:sz="4" w:space="0" w:color="000000"/>
            </w:tcBorders>
          </w:tcPr>
          <w:p>
            <w:pPr>
              <w:pStyle w:val="TableParagraph"/>
              <w:spacing w:line="237" w:lineRule="auto" w:before="78"/>
              <w:ind w:left="103" w:right="98"/>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94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72" w:lineRule="exact"/>
              <w:ind w:left="151" w:right="144"/>
              <w:jc w:val="left"/>
              <w:rPr>
                <w:rFonts w:ascii="宋体" w:hAnsi="宋体" w:cs="宋体" w:eastAsia="宋体" w:hint="default"/>
                <w:sz w:val="21"/>
                <w:szCs w:val="21"/>
              </w:rPr>
            </w:pPr>
            <w:r>
              <w:rPr>
                <w:rFonts w:ascii="宋体" w:hAnsi="宋体" w:cs="宋体" w:eastAsia="宋体" w:hint="default"/>
                <w:sz w:val="21"/>
                <w:szCs w:val="21"/>
              </w:rPr>
              <w:t>本期现</w:t>
            </w:r>
            <w:r>
              <w:rPr>
                <w:rFonts w:ascii="宋体" w:hAnsi="宋体" w:cs="宋体" w:eastAsia="宋体" w:hint="default"/>
                <w:spacing w:val="-102"/>
                <w:sz w:val="21"/>
                <w:szCs w:val="21"/>
              </w:rPr>
              <w:t> </w:t>
            </w:r>
            <w:r>
              <w:rPr>
                <w:rFonts w:ascii="宋体" w:hAnsi="宋体" w:cs="宋体" w:eastAsia="宋体" w:hint="default"/>
                <w:sz w:val="21"/>
                <w:szCs w:val="21"/>
              </w:rPr>
              <w:t>金红利</w:t>
            </w:r>
          </w:p>
        </w:tc>
      </w:tr>
      <w:tr>
        <w:trPr>
          <w:trHeight w:val="603" w:hRule="exact"/>
        </w:trPr>
        <w:tc>
          <w:tcPr>
            <w:tcW w:w="4220" w:type="dxa"/>
            <w:vMerge/>
            <w:tcBorders>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52"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280" w:right="276"/>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283" w:right="276"/>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22"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211" w:right="206"/>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211" w:right="206"/>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847" w:type="dxa"/>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北京网元圣唐娱乐科技有限公司</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9.70</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山石网科通信技术股份有限公司</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124,271</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124,271</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Cortica Ltd.</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65,342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3,290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68,632</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5.58</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台湾摩利数位行销股份有限公司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65,342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3,290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68,632</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CHINA BROADBAND CAPITAL PARTNERS</w:t>
            </w:r>
            <w:r>
              <w:rPr>
                <w:rFonts w:ascii="宋体"/>
                <w:spacing w:val="-2"/>
                <w:sz w:val="21"/>
              </w:rPr>
              <w:t> </w:t>
            </w:r>
            <w:r>
              <w:rPr>
                <w:rFonts w:ascii="宋体"/>
                <w:sz w:val="21"/>
              </w:rPr>
              <w:t>III,</w:t>
            </w:r>
          </w:p>
          <w:p>
            <w:pPr>
              <w:pStyle w:val="TableParagraph"/>
              <w:spacing w:line="273" w:lineRule="exact"/>
              <w:ind w:left="103" w:right="0"/>
              <w:jc w:val="left"/>
              <w:rPr>
                <w:rFonts w:ascii="宋体" w:hAnsi="宋体" w:cs="宋体" w:eastAsia="宋体" w:hint="default"/>
                <w:sz w:val="21"/>
                <w:szCs w:val="21"/>
              </w:rPr>
            </w:pPr>
            <w:r>
              <w:rPr>
                <w:rFonts w:ascii="宋体"/>
                <w:sz w:val="21"/>
              </w:rPr>
              <w:t>L.P.</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60,333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6,470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66,803</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2.97</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北京云知声信息技术有限公司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2.28</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iResearch Growth Fund</w:t>
            </w:r>
            <w:r>
              <w:rPr>
                <w:rFonts w:ascii="宋体"/>
                <w:spacing w:val="-3"/>
                <w:sz w:val="21"/>
              </w:rPr>
              <w:t> </w:t>
            </w:r>
            <w:r>
              <w:rPr>
                <w:rFonts w:ascii="宋体"/>
                <w:sz w:val="21"/>
              </w:rPr>
              <w:t>L.P.</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32,671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1,645</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34,316</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Fontaine Capital Fund,</w:t>
            </w:r>
            <w:r>
              <w:rPr>
                <w:rFonts w:ascii="宋体"/>
                <w:spacing w:val="-3"/>
                <w:sz w:val="21"/>
              </w:rPr>
              <w:t> </w:t>
            </w:r>
            <w:r>
              <w:rPr>
                <w:rFonts w:ascii="宋体"/>
                <w:sz w:val="21"/>
              </w:rPr>
              <w:t>L.P.</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32,539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1,638</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34,177</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14.29</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Alpha Startup Fund L.P.</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31,986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1,610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33,596</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12.01</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Cendana Capital II,</w:t>
            </w:r>
            <w:r>
              <w:rPr>
                <w:rFonts w:ascii="宋体"/>
                <w:spacing w:val="-6"/>
                <w:sz w:val="21"/>
              </w:rPr>
              <w:t> </w:t>
            </w:r>
            <w:r>
              <w:rPr>
                <w:rFonts w:ascii="宋体"/>
                <w:sz w:val="21"/>
              </w:rPr>
              <w:t>L.P.</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22,667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6,297</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28,964</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16.67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338</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Juzi Media</w:t>
            </w:r>
            <w:r>
              <w:rPr>
                <w:rFonts w:ascii="宋体"/>
                <w:spacing w:val="-1"/>
                <w:sz w:val="21"/>
              </w:rPr>
              <w:t> </w:t>
            </w:r>
            <w:r>
              <w:rPr>
                <w:rFonts w:ascii="宋体"/>
                <w:sz w:val="21"/>
              </w:rPr>
              <w:t>inc.</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26,138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1,316</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27,454</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3.84</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Autotalks</w:t>
            </w:r>
            <w:r>
              <w:rPr>
                <w:rFonts w:ascii="宋体"/>
                <w:spacing w:val="2"/>
                <w:sz w:val="21"/>
              </w:rPr>
              <w:t> </w:t>
            </w:r>
            <w:r>
              <w:rPr>
                <w:rFonts w:ascii="宋体"/>
                <w:sz w:val="21"/>
              </w:rPr>
              <w:t>Ltd.</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26,136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1,316</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27,452</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3.65</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LIFE360,</w:t>
            </w:r>
            <w:r>
              <w:rPr>
                <w:rFonts w:ascii="宋体"/>
                <w:spacing w:val="1"/>
                <w:sz w:val="21"/>
              </w:rPr>
              <w:t> </w:t>
            </w:r>
            <w:r>
              <w:rPr>
                <w:rFonts w:ascii="宋体"/>
                <w:sz w:val="21"/>
              </w:rPr>
              <w:t>INC.</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24,447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1,231</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25,678</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2.93</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Spire</w:t>
            </w:r>
            <w:r>
              <w:rPr>
                <w:rFonts w:ascii="宋体"/>
                <w:spacing w:val="3"/>
                <w:sz w:val="21"/>
              </w:rPr>
              <w:t> </w:t>
            </w:r>
            <w:r>
              <w:rPr>
                <w:rFonts w:ascii="宋体"/>
                <w:sz w:val="21"/>
              </w:rPr>
              <w:t>INC.</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19,604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987</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20,591</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3.35</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z w:val="21"/>
                <w:szCs w:val="21"/>
              </w:rPr>
              <w:t>HEURISTIC</w:t>
            </w:r>
            <w:r>
              <w:rPr>
                <w:rFonts w:ascii="宋体" w:hAnsi="宋体" w:cs="宋体" w:eastAsia="宋体" w:hint="default"/>
                <w:spacing w:val="-13"/>
                <w:sz w:val="21"/>
                <w:szCs w:val="21"/>
              </w:rPr>
              <w:t> </w:t>
            </w:r>
            <w:r>
              <w:rPr>
                <w:rFonts w:ascii="宋体" w:hAnsi="宋体" w:cs="宋体" w:eastAsia="宋体" w:hint="default"/>
                <w:sz w:val="21"/>
                <w:szCs w:val="21"/>
              </w:rPr>
              <w:t>CAPITAL</w:t>
            </w:r>
            <w:r>
              <w:rPr>
                <w:rFonts w:ascii="宋体" w:hAnsi="宋体" w:cs="宋体" w:eastAsia="宋体" w:hint="default"/>
                <w:spacing w:val="-13"/>
                <w:sz w:val="21"/>
                <w:szCs w:val="21"/>
              </w:rPr>
              <w:t> </w:t>
            </w:r>
            <w:r>
              <w:rPr>
                <w:rFonts w:ascii="宋体" w:hAnsi="宋体" w:cs="宋体" w:eastAsia="宋体" w:hint="default"/>
                <w:sz w:val="21"/>
                <w:szCs w:val="21"/>
              </w:rPr>
              <w:t>PARTNERS</w:t>
            </w:r>
            <w:r>
              <w:rPr>
                <w:rFonts w:ascii="宋体" w:hAnsi="宋体" w:cs="宋体" w:eastAsia="宋体" w:hint="default"/>
                <w:spacing w:val="-10"/>
                <w:sz w:val="21"/>
                <w:szCs w:val="21"/>
              </w:rPr>
              <w:t> </w:t>
            </w:r>
            <w:r>
              <w:rPr>
                <w:rFonts w:ascii="宋体" w:hAnsi="宋体" w:cs="宋体" w:eastAsia="宋体" w:hint="default"/>
                <w:sz w:val="21"/>
                <w:szCs w:val="21"/>
              </w:rPr>
              <w:t>I,</w:t>
            </w:r>
            <w:r>
              <w:rPr>
                <w:rFonts w:ascii="宋体" w:hAnsi="宋体" w:cs="宋体" w:eastAsia="宋体" w:hint="default"/>
                <w:spacing w:val="-10"/>
                <w:sz w:val="21"/>
                <w:szCs w:val="21"/>
              </w:rPr>
              <w:t> </w:t>
            </w:r>
            <w:r>
              <w:rPr>
                <w:rFonts w:ascii="宋体" w:hAnsi="宋体" w:cs="宋体" w:eastAsia="宋体" w:hint="default"/>
                <w:sz w:val="21"/>
                <w:szCs w:val="21"/>
              </w:rPr>
              <w:t>LP</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12,808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7,507</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20,315</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21.89</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KASCEND HOLDING</w:t>
            </w:r>
            <w:r>
              <w:rPr>
                <w:rFonts w:ascii="宋体"/>
                <w:spacing w:val="-2"/>
                <w:sz w:val="21"/>
              </w:rPr>
              <w:t> </w:t>
            </w:r>
            <w:r>
              <w:rPr>
                <w:rFonts w:ascii="宋体"/>
                <w:sz w:val="21"/>
              </w:rPr>
              <w:t>INC</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16,996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856</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17,852</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2.09</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Innovation</w:t>
            </w:r>
            <w:r>
              <w:rPr>
                <w:rFonts w:ascii="宋体"/>
                <w:spacing w:val="-25"/>
                <w:sz w:val="21"/>
              </w:rPr>
              <w:t> </w:t>
            </w:r>
            <w:r>
              <w:rPr>
                <w:rFonts w:ascii="宋体"/>
                <w:sz w:val="21"/>
              </w:rPr>
              <w:t>Works</w:t>
            </w:r>
            <w:r>
              <w:rPr>
                <w:rFonts w:ascii="宋体"/>
                <w:spacing w:val="-23"/>
                <w:sz w:val="21"/>
              </w:rPr>
              <w:t> </w:t>
            </w:r>
            <w:r>
              <w:rPr>
                <w:rFonts w:ascii="宋体"/>
                <w:sz w:val="21"/>
              </w:rPr>
              <w:t>Development</w:t>
            </w:r>
            <w:r>
              <w:rPr>
                <w:rFonts w:ascii="宋体"/>
                <w:spacing w:val="-23"/>
                <w:sz w:val="21"/>
              </w:rPr>
              <w:t> </w:t>
            </w:r>
            <w:r>
              <w:rPr>
                <w:rFonts w:ascii="宋体"/>
                <w:sz w:val="21"/>
              </w:rPr>
              <w:t>Fund,</w:t>
            </w:r>
            <w:r>
              <w:rPr>
                <w:rFonts w:ascii="宋体"/>
                <w:spacing w:val="-25"/>
                <w:sz w:val="21"/>
              </w:rPr>
              <w:t> </w:t>
            </w:r>
            <w:r>
              <w:rPr>
                <w:rFonts w:ascii="宋体"/>
                <w:sz w:val="21"/>
              </w:rPr>
              <w:t>L.P.</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18,514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1,785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17,595</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1.66</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Mantis Vision</w:t>
            </w:r>
            <w:r>
              <w:rPr>
                <w:rFonts w:ascii="宋体"/>
                <w:spacing w:val="2"/>
                <w:sz w:val="21"/>
              </w:rPr>
              <w:t> </w:t>
            </w:r>
            <w:r>
              <w:rPr>
                <w:rFonts w:ascii="宋体"/>
                <w:sz w:val="21"/>
              </w:rPr>
              <w:t>Ltd.</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16,335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823</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17,158</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2.91</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648,060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26,169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161,074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513,155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sz w:val="21"/>
              </w:rPr>
              <w:t>199,125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sz w:val="21"/>
              </w:rPr>
              <w:t>10,477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 w:right="0"/>
              <w:jc w:val="center"/>
              <w:rPr>
                <w:rFonts w:ascii="宋体" w:hAnsi="宋体" w:cs="宋体" w:eastAsia="宋体" w:hint="default"/>
                <w:sz w:val="21"/>
                <w:szCs w:val="21"/>
              </w:rPr>
            </w:pPr>
            <w:r>
              <w:rPr>
                <w:rFonts w:ascii="宋体"/>
                <w:sz w:val="21"/>
              </w:rPr>
              <w:t>199,102</w:t>
            </w:r>
          </w:p>
        </w:tc>
        <w:tc>
          <w:tcPr>
            <w:tcW w:w="847"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3,556</w:t>
            </w: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1,179,91</w:t>
            </w:r>
          </w:p>
          <w:p>
            <w:pPr>
              <w:pStyle w:val="TableParagraph"/>
              <w:spacing w:line="274" w:lineRule="exact"/>
              <w:ind w:right="101"/>
              <w:jc w:val="right"/>
              <w:rPr>
                <w:rFonts w:ascii="宋体" w:hAnsi="宋体" w:cs="宋体" w:eastAsia="宋体" w:hint="default"/>
                <w:sz w:val="21"/>
                <w:szCs w:val="21"/>
              </w:rPr>
            </w:pPr>
            <w:r>
              <w:rPr>
                <w:rFonts w:ascii="宋体"/>
                <w:w w:val="100"/>
                <w:sz w:val="21"/>
              </w:rPr>
              <w:t>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349,582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162,859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1,366,641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 w:right="0"/>
              <w:jc w:val="center"/>
              <w:rPr>
                <w:rFonts w:ascii="宋体" w:hAnsi="宋体" w:cs="宋体" w:eastAsia="宋体" w:hint="default"/>
                <w:sz w:val="21"/>
                <w:szCs w:val="21"/>
              </w:rPr>
            </w:pPr>
            <w:r>
              <w:rPr>
                <w:rFonts w:ascii="宋体"/>
                <w:sz w:val="21"/>
              </w:rPr>
              <w:t>199,125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 w:right="0"/>
              <w:jc w:val="center"/>
              <w:rPr>
                <w:rFonts w:ascii="宋体" w:hAnsi="宋体" w:cs="宋体" w:eastAsia="宋体" w:hint="default"/>
                <w:sz w:val="21"/>
                <w:szCs w:val="21"/>
              </w:rPr>
            </w:pPr>
            <w:r>
              <w:rPr>
                <w:rFonts w:ascii="宋体"/>
                <w:sz w:val="21"/>
              </w:rPr>
              <w:t>10,477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 w:right="0"/>
              <w:jc w:val="center"/>
              <w:rPr>
                <w:rFonts w:ascii="宋体" w:hAnsi="宋体" w:cs="宋体" w:eastAsia="宋体" w:hint="default"/>
                <w:sz w:val="21"/>
                <w:szCs w:val="21"/>
              </w:rPr>
            </w:pPr>
            <w:r>
              <w:rPr>
                <w:rFonts w:ascii="宋体"/>
                <w:sz w:val="21"/>
              </w:rPr>
              <w:t>199,102</w:t>
            </w:r>
          </w:p>
        </w:tc>
        <w:tc>
          <w:tcPr>
            <w:tcW w:w="847"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3,894</w:t>
            </w:r>
          </w:p>
        </w:tc>
      </w:tr>
    </w:tbl>
    <w:p>
      <w:pPr>
        <w:spacing w:after="0" w:line="240" w:lineRule="auto"/>
        <w:jc w:val="right"/>
        <w:rPr>
          <w:rFonts w:ascii="宋体" w:hAnsi="宋体" w:cs="宋体" w:eastAsia="宋体" w:hint="default"/>
          <w:sz w:val="21"/>
          <w:szCs w:val="21"/>
        </w:rPr>
        <w:sectPr>
          <w:type w:val="continuous"/>
          <w:pgSz w:w="16840" w:h="11910" w:orient="landscape"/>
          <w:pgMar w:top="1320" w:bottom="1400" w:left="1300" w:right="1220"/>
        </w:sectPr>
      </w:pPr>
    </w:p>
    <w:p>
      <w:pPr>
        <w:pStyle w:val="BodyText"/>
        <w:spacing w:line="240" w:lineRule="auto" w:before="27"/>
        <w:ind w:left="564" w:right="0"/>
        <w:jc w:val="left"/>
      </w:pPr>
      <w:r>
        <w:rPr/>
        <w:pict>
          <v:group style="position:absolute;margin-left:74.760002pt;margin-top:2.693691pt;width:695.4pt;height:.1pt;mso-position-horizontal-relative:page;mso-position-vertical-relative:paragraph;z-index:-1036360" coordorigin="1495,54" coordsize="13908,2">
            <v:shape style="position:absolute;left:1495;top:54;width:13908;height:2" coordorigin="1495,54" coordsize="13908,0" path="m1495,54l15403,54e" filled="false" stroked="true" strokeweight=".72pt" strokecolor="#000000">
              <v:path arrowok="t"/>
            </v:shape>
            <w10:wrap type="none"/>
          </v:group>
        </w:pict>
      </w:r>
      <w:r>
        <w:rPr/>
        <w:t>注</w:t>
      </w:r>
      <w:r>
        <w:rPr>
          <w:spacing w:val="1"/>
        </w:rPr>
        <w:t> </w:t>
      </w:r>
      <w:r>
        <w:rPr>
          <w:rFonts w:ascii="宋体" w:hAnsi="宋体" w:cs="宋体" w:eastAsia="宋体" w:hint="default"/>
          <w:spacing w:val="-2"/>
        </w:rPr>
        <w:t>1</w:t>
      </w:r>
      <w:r>
        <w:rPr>
          <w:spacing w:val="-2"/>
        </w:rPr>
        <w:t>：账面余额及减值准备本期增加金额包含外币报表折算差异。</w:t>
      </w:r>
    </w:p>
    <w:p>
      <w:pPr>
        <w:pStyle w:val="BodyText"/>
        <w:spacing w:line="355" w:lineRule="auto" w:before="133"/>
        <w:ind w:left="144" w:right="0" w:firstLine="420"/>
        <w:jc w:val="left"/>
      </w:pPr>
      <w:r>
        <w:rPr/>
        <w:t>注</w:t>
      </w:r>
      <w:r>
        <w:rPr>
          <w:spacing w:val="28"/>
        </w:rPr>
        <w:t> </w:t>
      </w:r>
      <w:r>
        <w:rPr>
          <w:rFonts w:ascii="宋体" w:hAnsi="宋体" w:cs="宋体" w:eastAsia="宋体" w:hint="default"/>
          <w:spacing w:val="-2"/>
        </w:rPr>
        <w:t>2</w:t>
      </w:r>
      <w:r>
        <w:rPr>
          <w:spacing w:val="-2"/>
        </w:rPr>
        <w:t>：本集团作为有限合伙人对该合伙企业进行投资。根据协议约定，该合伙企业设立投资决策委员会，主导投资计划及日常经营活动。本集团不</w:t>
      </w:r>
      <w:r>
        <w:rPr>
          <w:w w:val="100"/>
        </w:rPr>
        <w:t> </w:t>
      </w:r>
      <w:r>
        <w:rPr/>
        <w:t>占有上述投资决策委员会席位，不参与投资决策及日常运营管理决策，不存在共同控制且无重大影响。</w:t>
      </w:r>
    </w:p>
    <w:p>
      <w:pPr>
        <w:spacing w:after="0" w:line="355" w:lineRule="auto"/>
        <w:jc w:val="left"/>
        <w:sectPr>
          <w:pgSz w:w="16840" w:h="11910" w:orient="landscape"/>
          <w:pgMar w:header="857" w:footer="1218" w:top="1260" w:bottom="1400" w:left="1380" w:right="1320"/>
        </w:sectPr>
      </w:pPr>
    </w:p>
    <w:p>
      <w:pPr>
        <w:spacing w:line="240" w:lineRule="auto" w:before="6"/>
        <w:rPr>
          <w:rFonts w:ascii="宋体" w:hAnsi="宋体" w:cs="宋体" w:eastAsia="宋体" w:hint="default"/>
          <w:sz w:val="16"/>
          <w:szCs w:val="16"/>
        </w:rPr>
      </w:pPr>
    </w:p>
    <w:p>
      <w:pPr>
        <w:spacing w:before="44"/>
        <w:ind w:left="0" w:right="542" w:firstLine="0"/>
        <w:jc w:val="center"/>
        <w:rPr>
          <w:rFonts w:ascii="宋体" w:hAnsi="宋体" w:cs="宋体" w:eastAsia="宋体" w:hint="default"/>
          <w:sz w:val="18"/>
          <w:szCs w:val="18"/>
        </w:rPr>
      </w:pPr>
      <w:r>
        <w:rPr/>
        <w:pict>
          <v:shape style="position:absolute;margin-left:63.799999pt;margin-top:-6.848262pt;width:69.361pt;height:19.52pt;mso-position-horizontal-relative:page;mso-position-vertical-relative:paragraph;z-index:1312" type="#_x0000_t75" stroked="false">
            <v:imagedata r:id="rId21" o:title=""/>
          </v:shape>
        </w:pic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7"/>
        <w:rPr>
          <w:rFonts w:ascii="宋体" w:hAnsi="宋体" w:cs="宋体" w:eastAsia="宋体" w:hint="default"/>
          <w:sz w:val="3"/>
          <w:szCs w:val="3"/>
        </w:rPr>
      </w:pPr>
    </w:p>
    <w:p>
      <w:pPr>
        <w:spacing w:line="20" w:lineRule="exact"/>
        <w:ind w:left="180" w:right="0" w:firstLine="0"/>
        <w:rPr>
          <w:rFonts w:ascii="宋体" w:hAnsi="宋体" w:cs="宋体" w:eastAsia="宋体" w:hint="default"/>
          <w:sz w:val="2"/>
          <w:szCs w:val="2"/>
        </w:rPr>
      </w:pPr>
      <w:r>
        <w:rPr>
          <w:rFonts w:ascii="宋体" w:hAnsi="宋体" w:cs="宋体" w:eastAsia="宋体" w:hint="default"/>
          <w:sz w:val="2"/>
          <w:szCs w:val="2"/>
        </w:rPr>
        <w:pict>
          <v:group style="width:444.1pt;height:.75pt;mso-position-horizontal-relative:char;mso-position-vertical-relative:line" coordorigin="0,0" coordsize="8882,15">
            <v:group style="position:absolute;left:7;top:7;width:8868;height:2" coordorigin="7,7" coordsize="8868,2">
              <v:shape style="position:absolute;left:7;top:7;width:8868;height:2" coordorigin="7,7" coordsize="8868,0" path="m7,7l887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8"/>
          <w:footerReference w:type="default" r:id="rId69"/>
          <w:pgSz w:w="11910" w:h="16840"/>
          <w:pgMar w:header="0" w:footer="0" w:top="760" w:bottom="280" w:left="1060" w:right="1560"/>
        </w:sectPr>
      </w:pPr>
    </w:p>
    <w:p>
      <w:pPr>
        <w:pStyle w:val="Heading5"/>
        <w:spacing w:line="240" w:lineRule="auto" w:before="176"/>
        <w:ind w:left="217" w:right="-14"/>
        <w:jc w:val="left"/>
        <w:rPr>
          <w:b w:val="0"/>
          <w:bCs w:val="0"/>
        </w:rPr>
      </w:pPr>
      <w:r>
        <w:rPr>
          <w:rFonts w:ascii="宋体" w:hAnsi="宋体" w:cs="宋体" w:eastAsia="宋体" w:hint="default"/>
        </w:rPr>
        <w:t>(4).</w:t>
      </w:r>
      <w:r>
        <w:rPr/>
        <w:t>报告期内可供出售金融资产减值的变动情况</w:t>
      </w:r>
      <w:r>
        <w:rPr>
          <w:b w:val="0"/>
          <w:bCs w:val="0"/>
        </w:rPr>
      </w:r>
    </w:p>
    <w:p>
      <w:pPr>
        <w:pStyle w:val="BodyText"/>
        <w:spacing w:line="240" w:lineRule="auto" w:before="56"/>
        <w:ind w:left="21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tabs>
          <w:tab w:pos="1479" w:val="left" w:leader="none"/>
        </w:tabs>
        <w:spacing w:line="240" w:lineRule="auto"/>
        <w:ind w:left="21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60" w:right="1560"/>
          <w:cols w:num="2" w:equalWidth="0">
            <w:col w:w="4653" w:space="1657"/>
            <w:col w:w="2980"/>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45"/>
        <w:gridCol w:w="2088"/>
        <w:gridCol w:w="2117"/>
        <w:gridCol w:w="2000"/>
      </w:tblGrid>
      <w:tr>
        <w:trPr>
          <w:trHeight w:val="554"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7"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工具</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199,125</w:t>
            </w: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199,125</w:t>
            </w: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3,000</w:t>
            </w: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w:t>
            </w:r>
          </w:p>
        </w:tc>
      </w:tr>
      <w:tr>
        <w:trPr>
          <w:trHeight w:val="29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其中：从其他综合收益转入</w:t>
            </w:r>
          </w:p>
        </w:tc>
        <w:tc>
          <w:tcPr>
            <w:tcW w:w="2088"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10,500</w:t>
            </w: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10,500</w:t>
            </w: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6"/>
                <w:w w:val="100"/>
                <w:sz w:val="21"/>
                <w:szCs w:val="21"/>
              </w:rPr>
              <w:t>：</w:t>
            </w:r>
            <w:r>
              <w:rPr>
                <w:rFonts w:ascii="宋体" w:hAnsi="宋体" w:cs="宋体" w:eastAsia="宋体" w:hint="default"/>
                <w:w w:val="100"/>
                <w:sz w:val="21"/>
                <w:szCs w:val="21"/>
              </w:rPr>
              <w:t>期</w:t>
            </w:r>
            <w:r>
              <w:rPr>
                <w:rFonts w:ascii="宋体" w:hAnsi="宋体" w:cs="宋体" w:eastAsia="宋体" w:hint="default"/>
                <w:spacing w:val="-3"/>
                <w:w w:val="100"/>
                <w:sz w:val="21"/>
                <w:szCs w:val="21"/>
              </w:rPr>
              <w:t>后</w:t>
            </w:r>
            <w:r>
              <w:rPr>
                <w:rFonts w:ascii="宋体" w:hAnsi="宋体" w:cs="宋体" w:eastAsia="宋体" w:hint="default"/>
                <w:w w:val="100"/>
                <w:sz w:val="21"/>
                <w:szCs w:val="21"/>
              </w:rPr>
              <w:t>公</w:t>
            </w:r>
            <w:r>
              <w:rPr>
                <w:rFonts w:ascii="宋体" w:hAnsi="宋体" w:cs="宋体" w:eastAsia="宋体" w:hint="default"/>
                <w:spacing w:val="-3"/>
                <w:w w:val="100"/>
                <w:sz w:val="21"/>
                <w:szCs w:val="21"/>
              </w:rPr>
              <w:t>允</w:t>
            </w:r>
            <w:r>
              <w:rPr>
                <w:rFonts w:ascii="宋体" w:hAnsi="宋体" w:cs="宋体" w:eastAsia="宋体" w:hint="default"/>
                <w:w w:val="100"/>
                <w:sz w:val="21"/>
                <w:szCs w:val="21"/>
              </w:rPr>
              <w:t>价</w:t>
            </w:r>
            <w:r>
              <w:rPr>
                <w:rFonts w:ascii="宋体" w:hAnsi="宋体" w:cs="宋体" w:eastAsia="宋体" w:hint="default"/>
                <w:spacing w:val="-3"/>
                <w:w w:val="100"/>
                <w:sz w:val="21"/>
                <w:szCs w:val="21"/>
              </w:rPr>
              <w:t>值</w:t>
            </w:r>
            <w:r>
              <w:rPr>
                <w:rFonts w:ascii="宋体" w:hAnsi="宋体" w:cs="宋体" w:eastAsia="宋体" w:hint="default"/>
                <w:w w:val="100"/>
                <w:sz w:val="21"/>
                <w:szCs w:val="21"/>
              </w:rPr>
              <w:t>回</w:t>
            </w:r>
            <w:r>
              <w:rPr>
                <w:rFonts w:ascii="宋体" w:hAnsi="宋体" w:cs="宋体" w:eastAsia="宋体" w:hint="default"/>
                <w:spacing w:val="-3"/>
                <w:w w:val="100"/>
                <w:sz w:val="21"/>
                <w:szCs w:val="21"/>
              </w:rPr>
              <w:t>升转</w:t>
            </w:r>
            <w:r>
              <w:rPr>
                <w:rFonts w:ascii="宋体" w:hAnsi="宋体" w:cs="宋体" w:eastAsia="宋体" w:hint="default"/>
                <w:w w:val="100"/>
                <w:sz w:val="21"/>
                <w:szCs w:val="21"/>
              </w:rPr>
              <w:t>回</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外币报表折算差异</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7,477</w:t>
            </w: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7,477</w:t>
            </w:r>
          </w:p>
        </w:tc>
      </w:tr>
      <w:tr>
        <w:trPr>
          <w:trHeight w:val="281"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199,102</w:t>
            </w: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199,102</w:t>
            </w:r>
          </w:p>
        </w:tc>
      </w:tr>
    </w:tbl>
    <w:p>
      <w:pPr>
        <w:pStyle w:val="BodyText"/>
        <w:spacing w:line="241" w:lineRule="exact"/>
        <w:ind w:left="637" w:right="124"/>
        <w:jc w:val="left"/>
      </w:pPr>
      <w:r>
        <w:rPr>
          <w:rFonts w:ascii="宋体" w:hAnsi="宋体" w:cs="宋体" w:eastAsia="宋体" w:hint="default"/>
        </w:rPr>
        <w:t>2018</w:t>
      </w:r>
      <w:r>
        <w:rPr>
          <w:rFonts w:ascii="宋体" w:hAnsi="宋体" w:cs="宋体" w:eastAsia="宋体" w:hint="default"/>
          <w:spacing w:val="15"/>
        </w:rPr>
        <w:t> </w:t>
      </w:r>
      <w:r>
        <w:rPr>
          <w:spacing w:val="-3"/>
        </w:rPr>
        <w:t>年度，本集团无可供出售权益工具年末公允价值出现严重或非暂时性下跌但未计提减值</w:t>
      </w:r>
    </w:p>
    <w:p>
      <w:pPr>
        <w:pStyle w:val="BodyText"/>
        <w:spacing w:line="240" w:lineRule="auto" w:before="135"/>
        <w:ind w:left="217" w:right="234"/>
        <w:jc w:val="left"/>
      </w:pPr>
      <w:r>
        <w:rPr/>
        <w:t>准备的情况。</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5"/>
        <w:spacing w:line="240" w:lineRule="auto"/>
        <w:ind w:left="217" w:right="234"/>
        <w:jc w:val="left"/>
        <w:rPr>
          <w:b w:val="0"/>
          <w:bCs w:val="0"/>
        </w:rPr>
      </w:pPr>
      <w:r>
        <w:rPr>
          <w:rFonts w:ascii="宋体" w:hAnsi="宋体" w:cs="宋体" w:eastAsia="宋体" w:hint="default"/>
        </w:rPr>
        <w:t>(5).</w:t>
      </w:r>
      <w:r>
        <w:rPr/>
        <w:t>可供出售权益工具期末公允价值严重下跌或非暂时性下跌但未计提减值准备的相关说明</w:t>
      </w:r>
      <w:r>
        <w:rPr>
          <w:b w:val="0"/>
          <w:bCs w:val="0"/>
        </w:rPr>
      </w:r>
    </w:p>
    <w:p>
      <w:pPr>
        <w:pStyle w:val="BodyText"/>
        <w:spacing w:line="240" w:lineRule="auto" w:before="56"/>
        <w:ind w:left="217" w:right="7474"/>
        <w:jc w:val="left"/>
      </w:pPr>
      <w:r>
        <w:rPr/>
        <w:t>□适用 √不适用</w:t>
      </w:r>
      <w:r>
        <w:rPr>
          <w:w w:val="100"/>
        </w:rPr>
        <w:t> </w:t>
      </w:r>
      <w:r>
        <w:rPr/>
        <w:t>其他说明</w:t>
      </w:r>
    </w:p>
    <w:p>
      <w:pPr>
        <w:pStyle w:val="BodyText"/>
        <w:spacing w:line="271" w:lineRule="exact"/>
        <w:ind w:left="217" w:right="234"/>
        <w:jc w:val="left"/>
      </w:pPr>
      <w:r>
        <w:rPr/>
        <w:t>□适用 √不适用</w:t>
      </w:r>
    </w:p>
    <w:p>
      <w:pPr>
        <w:spacing w:line="240" w:lineRule="auto" w:before="5"/>
        <w:rPr>
          <w:rFonts w:ascii="宋体" w:hAnsi="宋体" w:cs="宋体" w:eastAsia="宋体" w:hint="default"/>
          <w:sz w:val="28"/>
          <w:szCs w:val="28"/>
        </w:rPr>
      </w:pPr>
    </w:p>
    <w:p>
      <w:pPr>
        <w:pStyle w:val="Heading5"/>
        <w:spacing w:line="290" w:lineRule="auto"/>
        <w:ind w:left="217" w:right="6728"/>
        <w:jc w:val="left"/>
        <w:rPr>
          <w:b w:val="0"/>
          <w:bCs w:val="0"/>
        </w:rPr>
      </w:pPr>
      <w:r>
        <w:rPr>
          <w:rFonts w:ascii="宋体" w:hAnsi="宋体" w:cs="宋体" w:eastAsia="宋体" w:hint="default"/>
        </w:rPr>
        <w:t>12</w:t>
      </w:r>
      <w:r>
        <w:rPr/>
        <w:t>、</w:t>
      </w:r>
      <w:r>
        <w:rPr>
          <w:spacing w:val="-25"/>
        </w:rPr>
        <w:t> </w:t>
      </w:r>
      <w:r>
        <w:rPr/>
        <w:t>持有至到期投资</w:t>
      </w:r>
      <w:r>
        <w:rPr>
          <w:spacing w:val="-104"/>
        </w:rPr>
        <w:t> </w:t>
      </w:r>
      <w:r>
        <w:rPr>
          <w:spacing w:val="-104"/>
        </w:rPr>
      </w:r>
      <w:r>
        <w:rPr>
          <w:rFonts w:ascii="宋体" w:hAnsi="宋体" w:cs="宋体" w:eastAsia="宋体" w:hint="default"/>
        </w:rPr>
        <w:t>(1).</w:t>
      </w:r>
      <w:r>
        <w:rPr/>
        <w:t>持有至到期投资情况</w:t>
      </w:r>
      <w:r>
        <w:rPr>
          <w:b w:val="0"/>
          <w:bCs w:val="0"/>
        </w:rPr>
      </w:r>
    </w:p>
    <w:p>
      <w:pPr>
        <w:spacing w:line="290" w:lineRule="auto" w:before="14"/>
        <w:ind w:left="217" w:right="609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期末重要的持有至到期投资</w:t>
      </w:r>
      <w:r>
        <w:rPr>
          <w:rFonts w:ascii="宋体" w:hAnsi="宋体" w:cs="宋体" w:eastAsia="宋体" w:hint="default"/>
          <w:sz w:val="21"/>
          <w:szCs w:val="21"/>
        </w:rPr>
      </w:r>
    </w:p>
    <w:p>
      <w:pPr>
        <w:spacing w:line="290" w:lineRule="auto" w:before="12"/>
        <w:ind w:left="217" w:right="588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tabs>
          <w:tab w:pos="1059" w:val="left" w:leader="none"/>
        </w:tabs>
        <w:spacing w:line="240" w:lineRule="auto" w:before="12"/>
        <w:ind w:left="217" w:right="234"/>
        <w:jc w:val="left"/>
      </w:pPr>
      <w:r>
        <w:rPr/>
        <w:t>□适用</w:t>
        <w:tab/>
        <w:t>√不适用</w:t>
      </w:r>
    </w:p>
    <w:p>
      <w:pPr>
        <w:spacing w:line="240" w:lineRule="auto" w:before="5"/>
        <w:rPr>
          <w:rFonts w:ascii="宋体" w:hAnsi="宋体" w:cs="宋体" w:eastAsia="宋体" w:hint="default"/>
          <w:sz w:val="23"/>
          <w:szCs w:val="23"/>
        </w:rPr>
      </w:pPr>
    </w:p>
    <w:p>
      <w:pPr>
        <w:spacing w:line="288" w:lineRule="exact" w:before="0"/>
        <w:ind w:left="217" w:right="234" w:firstLine="0"/>
        <w:jc w:val="left"/>
        <w:rPr>
          <w:rFonts w:ascii="宋体" w:hAnsi="宋体" w:cs="宋体" w:eastAsia="宋体" w:hint="default"/>
          <w:sz w:val="22"/>
          <w:szCs w:val="22"/>
        </w:rPr>
      </w:pPr>
      <w:r>
        <w:rPr>
          <w:rFonts w:ascii="宋体" w:hAnsi="宋体" w:cs="宋体" w:eastAsia="宋体" w:hint="default"/>
          <w:sz w:val="22"/>
          <w:szCs w:val="22"/>
        </w:rPr>
        <w:t>其他说明：</w:t>
      </w:r>
    </w:p>
    <w:p>
      <w:pPr>
        <w:pStyle w:val="BodyText"/>
        <w:spacing w:line="240" w:lineRule="auto"/>
        <w:ind w:left="217" w:right="234"/>
        <w:jc w:val="left"/>
      </w:pPr>
      <w:r>
        <w:rPr/>
        <w:t>□适用 √不适用</w:t>
      </w:r>
    </w:p>
    <w:p>
      <w:pPr>
        <w:spacing w:line="240" w:lineRule="auto" w:before="5"/>
        <w:rPr>
          <w:rFonts w:ascii="宋体" w:hAnsi="宋体" w:cs="宋体" w:eastAsia="宋体" w:hint="default"/>
          <w:sz w:val="28"/>
          <w:szCs w:val="28"/>
        </w:rPr>
      </w:pPr>
    </w:p>
    <w:p>
      <w:pPr>
        <w:pStyle w:val="Heading5"/>
        <w:spacing w:line="290" w:lineRule="auto"/>
        <w:ind w:left="217" w:right="7150"/>
        <w:jc w:val="left"/>
        <w:rPr>
          <w:b w:val="0"/>
          <w:bCs w:val="0"/>
        </w:rPr>
      </w:pPr>
      <w:r>
        <w:rPr>
          <w:rFonts w:ascii="宋体" w:hAnsi="宋体" w:cs="宋体" w:eastAsia="宋体" w:hint="default"/>
        </w:rPr>
        <w:t>13</w:t>
      </w:r>
      <w:r>
        <w:rPr/>
        <w:t>、</w:t>
      </w:r>
      <w:r>
        <w:rPr>
          <w:spacing w:val="-25"/>
        </w:rPr>
        <w:t> </w:t>
      </w:r>
      <w:r>
        <w:rPr/>
        <w:t>长期应收款</w:t>
      </w:r>
      <w:r>
        <w:rPr>
          <w:w w:val="100"/>
        </w:rPr>
        <w:t> </w:t>
      </w:r>
      <w:r>
        <w:rPr>
          <w:rFonts w:ascii="宋体" w:hAnsi="宋体" w:cs="宋体" w:eastAsia="宋体" w:hint="default"/>
        </w:rPr>
        <w:t>(1).</w:t>
      </w:r>
      <w:r>
        <w:rPr/>
        <w:t>长期应收款情况</w:t>
      </w:r>
      <w:r>
        <w:rPr>
          <w:b w:val="0"/>
          <w:bCs w:val="0"/>
        </w:rPr>
      </w:r>
    </w:p>
    <w:p>
      <w:pPr>
        <w:spacing w:line="290" w:lineRule="auto" w:before="14"/>
        <w:ind w:left="217" w:right="48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因金融资产转移而终止确认的长期应收款</w:t>
      </w:r>
      <w:r>
        <w:rPr>
          <w:rFonts w:ascii="宋体" w:hAnsi="宋体" w:cs="宋体" w:eastAsia="宋体" w:hint="default"/>
          <w:sz w:val="21"/>
          <w:szCs w:val="21"/>
        </w:rPr>
      </w:r>
    </w:p>
    <w:p>
      <w:pPr>
        <w:pStyle w:val="BodyText"/>
        <w:tabs>
          <w:tab w:pos="1059" w:val="left" w:leader="none"/>
        </w:tabs>
        <w:spacing w:line="240" w:lineRule="auto" w:before="14"/>
        <w:ind w:left="217" w:right="234"/>
        <w:jc w:val="left"/>
      </w:pPr>
      <w:r>
        <w:rPr/>
        <w:t>□适用</w:t>
        <w:tab/>
        <w:t>√不适用</w:t>
      </w:r>
    </w:p>
    <w:p>
      <w:pPr>
        <w:spacing w:line="240" w:lineRule="auto" w:before="2"/>
        <w:rPr>
          <w:rFonts w:ascii="宋体" w:hAnsi="宋体" w:cs="宋体" w:eastAsia="宋体" w:hint="default"/>
          <w:sz w:val="28"/>
          <w:szCs w:val="28"/>
        </w:rPr>
      </w:pPr>
    </w:p>
    <w:p>
      <w:pPr>
        <w:pStyle w:val="Heading5"/>
        <w:spacing w:line="240" w:lineRule="auto"/>
        <w:ind w:left="217" w:right="234"/>
        <w:jc w:val="left"/>
        <w:rPr>
          <w:b w:val="0"/>
          <w:bCs w:val="0"/>
        </w:rPr>
      </w:pPr>
      <w:r>
        <w:rPr>
          <w:rFonts w:ascii="宋体" w:hAnsi="宋体" w:cs="宋体" w:eastAsia="宋体" w:hint="default"/>
        </w:rPr>
        <w:t>(3).</w:t>
      </w:r>
      <w:r>
        <w:rPr/>
        <w:t>转移长期应收款且继续涉入形成的资产、负债金额</w:t>
      </w:r>
      <w:r>
        <w:rPr>
          <w:b w:val="0"/>
          <w:bCs w:val="0"/>
        </w:rPr>
      </w:r>
    </w:p>
    <w:p>
      <w:pPr>
        <w:pStyle w:val="BodyText"/>
        <w:tabs>
          <w:tab w:pos="1059" w:val="left" w:leader="none"/>
        </w:tabs>
        <w:spacing w:line="240" w:lineRule="auto" w:before="56"/>
        <w:ind w:left="217" w:right="234"/>
        <w:jc w:val="left"/>
      </w:pPr>
      <w:r>
        <w:rPr/>
        <w:t>□适用</w:t>
        <w:tab/>
        <w:t>√不适用</w:t>
      </w:r>
    </w:p>
    <w:p>
      <w:pPr>
        <w:spacing w:line="240" w:lineRule="auto" w:before="8"/>
        <w:rPr>
          <w:rFonts w:ascii="宋体" w:hAnsi="宋体" w:cs="宋体" w:eastAsia="宋体" w:hint="default"/>
          <w:sz w:val="23"/>
          <w:szCs w:val="23"/>
        </w:rPr>
      </w:pPr>
    </w:p>
    <w:p>
      <w:pPr>
        <w:pStyle w:val="BodyText"/>
        <w:spacing w:line="274" w:lineRule="exact"/>
        <w:ind w:left="217" w:right="234"/>
        <w:jc w:val="left"/>
      </w:pPr>
      <w:r>
        <w:rPr/>
        <w:t>其他说明</w:t>
      </w:r>
    </w:p>
    <w:p>
      <w:pPr>
        <w:pStyle w:val="BodyText"/>
        <w:spacing w:line="274" w:lineRule="exact"/>
        <w:ind w:left="217" w:right="234"/>
        <w:jc w:val="left"/>
      </w:pPr>
      <w:r>
        <w:rPr/>
        <w:t>□适用 √不适用</w:t>
      </w:r>
    </w:p>
    <w:p>
      <w:pPr>
        <w:spacing w:line="240" w:lineRule="auto" w:before="10"/>
        <w:rPr>
          <w:rFonts w:ascii="宋体" w:hAnsi="宋体" w:cs="宋体" w:eastAsia="宋体" w:hint="default"/>
          <w:sz w:val="27"/>
          <w:szCs w:val="27"/>
        </w:rPr>
      </w:pPr>
    </w:p>
    <w:p>
      <w:pPr>
        <w:spacing w:before="44"/>
        <w:ind w:left="0" w:right="16" w:firstLine="0"/>
        <w:jc w:val="center"/>
        <w:rPr>
          <w:rFonts w:ascii="宋体" w:hAnsi="宋体" w:cs="宋体" w:eastAsia="宋体" w:hint="default"/>
          <w:sz w:val="18"/>
          <w:szCs w:val="18"/>
        </w:rPr>
      </w:pPr>
      <w:r>
        <w:rPr>
          <w:rFonts w:ascii="宋体"/>
          <w:b/>
          <w:sz w:val="18"/>
        </w:rPr>
        <w:t>153 </w:t>
      </w:r>
      <w:r>
        <w:rPr>
          <w:rFonts w:ascii="宋体"/>
          <w:sz w:val="18"/>
        </w:rPr>
        <w:t>/</w:t>
      </w:r>
      <w:r>
        <w:rPr>
          <w:rFonts w:ascii="宋体"/>
          <w:spacing w:val="-1"/>
          <w:sz w:val="18"/>
        </w:rPr>
        <w:t> </w:t>
      </w:r>
      <w:r>
        <w:rPr>
          <w:rFonts w:ascii="宋体"/>
          <w:b/>
          <w:sz w:val="18"/>
        </w:rPr>
        <w:t>220</w:t>
      </w:r>
      <w:r>
        <w:rPr>
          <w:rFonts w:ascii="宋体"/>
          <w:sz w:val="18"/>
        </w:rPr>
      </w:r>
    </w:p>
    <w:p>
      <w:pPr>
        <w:spacing w:after="0"/>
        <w:jc w:val="center"/>
        <w:rPr>
          <w:rFonts w:ascii="宋体" w:hAnsi="宋体" w:cs="宋体" w:eastAsia="宋体" w:hint="default"/>
          <w:sz w:val="18"/>
          <w:szCs w:val="18"/>
        </w:rPr>
        <w:sectPr>
          <w:type w:val="continuous"/>
          <w:pgSz w:w="11910" w:h="16840"/>
          <w:pgMar w:top="1320" w:bottom="1400" w:left="1060" w:right="1560"/>
        </w:sectPr>
      </w:pPr>
    </w:p>
    <w:p>
      <w:pPr>
        <w:spacing w:line="240" w:lineRule="auto" w:before="8"/>
        <w:rPr>
          <w:rFonts w:ascii="宋体" w:hAnsi="宋体" w:cs="宋体" w:eastAsia="宋体" w:hint="default"/>
          <w:b/>
          <w:bCs/>
          <w:sz w:val="3"/>
          <w:szCs w:val="3"/>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headerReference w:type="default" r:id="rId70"/>
          <w:footerReference w:type="default" r:id="rId71"/>
          <w:pgSz w:w="16840" w:h="11910" w:orient="landscape"/>
          <w:pgMar w:header="857" w:footer="1218" w:top="1260" w:bottom="1400" w:left="1300" w:right="1220"/>
          <w:pgNumType w:start="154"/>
        </w:sectPr>
      </w:pPr>
    </w:p>
    <w:p>
      <w:pPr>
        <w:pStyle w:val="Heading5"/>
        <w:spacing w:line="240" w:lineRule="auto" w:before="36"/>
        <w:ind w:left="224" w:right="-19"/>
        <w:jc w:val="left"/>
        <w:rPr>
          <w:b w:val="0"/>
          <w:bCs w:val="0"/>
        </w:rPr>
      </w:pPr>
      <w:r>
        <w:rPr>
          <w:rFonts w:ascii="宋体" w:hAnsi="宋体" w:cs="宋体" w:eastAsia="宋体" w:hint="default"/>
        </w:rPr>
        <w:t>14</w:t>
      </w:r>
      <w:r>
        <w:rPr/>
        <w:t>、</w:t>
      </w:r>
      <w:r>
        <w:rPr>
          <w:spacing w:val="-23"/>
        </w:rPr>
        <w:t> </w:t>
      </w:r>
      <w:r>
        <w:rPr/>
        <w:t>长期股权投资</w:t>
      </w:r>
      <w:r>
        <w:rPr>
          <w:b w:val="0"/>
          <w:bCs w:val="0"/>
        </w:rPr>
      </w:r>
    </w:p>
    <w:p>
      <w:pPr>
        <w:pStyle w:val="BodyText"/>
        <w:spacing w:line="240" w:lineRule="auto" w:before="58"/>
        <w:ind w:left="224"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86" w:val="left" w:leader="none"/>
        </w:tabs>
        <w:spacing w:line="240" w:lineRule="auto"/>
        <w:ind w:left="224" w:right="0"/>
        <w:jc w:val="left"/>
      </w:pPr>
      <w:r>
        <w:rPr>
          <w:spacing w:val="-1"/>
        </w:rPr>
        <w:t>单位：千元</w:t>
        <w:tab/>
      </w:r>
      <w:r>
        <w:rPr>
          <w:spacing w:val="-2"/>
        </w:rPr>
        <w:t>币种：人民币</w:t>
      </w:r>
    </w:p>
    <w:p>
      <w:pPr>
        <w:spacing w:after="0" w:line="240" w:lineRule="auto"/>
        <w:jc w:val="left"/>
        <w:sectPr>
          <w:type w:val="continuous"/>
          <w:pgSz w:w="16840" w:h="11910" w:orient="landscape"/>
          <w:pgMar w:top="1320" w:bottom="1400" w:left="1300" w:right="1220"/>
          <w:cols w:num="2" w:equalWidth="0">
            <w:col w:w="1996" w:space="9355"/>
            <w:col w:w="2969"/>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284"/>
        <w:gridCol w:w="1176"/>
        <w:gridCol w:w="1184"/>
        <w:gridCol w:w="1046"/>
        <w:gridCol w:w="1226"/>
        <w:gridCol w:w="1100"/>
        <w:gridCol w:w="1106"/>
        <w:gridCol w:w="1219"/>
        <w:gridCol w:w="1208"/>
        <w:gridCol w:w="1176"/>
        <w:gridCol w:w="1200"/>
        <w:gridCol w:w="1164"/>
      </w:tblGrid>
      <w:tr>
        <w:trPr>
          <w:trHeight w:val="281" w:hRule="exact"/>
        </w:trPr>
        <w:tc>
          <w:tcPr>
            <w:tcW w:w="12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17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374" w:right="367"/>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926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386" w:right="379"/>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158" w:right="151"/>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28" w:hRule="exact"/>
        </w:trPr>
        <w:tc>
          <w:tcPr>
            <w:tcW w:w="1284" w:type="dxa"/>
            <w:vMerge/>
            <w:tcBorders>
              <w:left w:val="single" w:sz="4" w:space="0" w:color="000000"/>
              <w:bottom w:val="single" w:sz="4" w:space="0" w:color="000000"/>
              <w:right w:val="single" w:sz="4" w:space="0" w:color="000000"/>
            </w:tcBorders>
          </w:tcPr>
          <w:p>
            <w:pPr/>
          </w:p>
        </w:tc>
        <w:tc>
          <w:tcPr>
            <w:tcW w:w="1176" w:type="dxa"/>
            <w:vMerge/>
            <w:tcBorders>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2" w:right="197" w:hanging="209"/>
              <w:jc w:val="left"/>
              <w:rPr>
                <w:rFonts w:ascii="宋体" w:hAnsi="宋体" w:cs="宋体" w:eastAsia="宋体" w:hint="default"/>
                <w:sz w:val="21"/>
                <w:szCs w:val="21"/>
              </w:rPr>
            </w:pPr>
            <w:r>
              <w:rPr>
                <w:rFonts w:ascii="宋体" w:hAnsi="宋体" w:cs="宋体" w:eastAsia="宋体" w:hint="default"/>
                <w:sz w:val="21"/>
                <w:szCs w:val="21"/>
              </w:rPr>
              <w:t>减少投</w:t>
            </w:r>
            <w:r>
              <w:rPr>
                <w:rFonts w:ascii="宋体" w:hAnsi="宋体" w:cs="宋体" w:eastAsia="宋体" w:hint="default"/>
                <w:spacing w:val="-102"/>
                <w:sz w:val="21"/>
                <w:szCs w:val="21"/>
              </w:rPr>
              <w:t> </w:t>
            </w:r>
            <w:r>
              <w:rPr>
                <w:rFonts w:ascii="宋体" w:hAnsi="宋体" w:cs="宋体" w:eastAsia="宋体" w:hint="default"/>
                <w:sz w:val="21"/>
                <w:szCs w:val="21"/>
              </w:rPr>
              <w:t>资</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权益法下</w:t>
            </w:r>
          </w:p>
          <w:p>
            <w:pPr>
              <w:pStyle w:val="TableParagraph"/>
              <w:spacing w:line="240" w:lineRule="auto"/>
              <w:ind w:left="292" w:right="185" w:hanging="106"/>
              <w:jc w:val="left"/>
              <w:rPr>
                <w:rFonts w:ascii="宋体" w:hAnsi="宋体" w:cs="宋体" w:eastAsia="宋体" w:hint="default"/>
                <w:sz w:val="21"/>
                <w:szCs w:val="21"/>
              </w:rPr>
            </w:pPr>
            <w:r>
              <w:rPr>
                <w:rFonts w:ascii="宋体" w:hAnsi="宋体" w:cs="宋体" w:eastAsia="宋体" w:hint="default"/>
                <w:sz w:val="21"/>
                <w:szCs w:val="21"/>
              </w:rPr>
              <w:t>确认的投</w:t>
            </w:r>
            <w:r>
              <w:rPr>
                <w:rFonts w:ascii="宋体" w:hAnsi="宋体" w:cs="宋体" w:eastAsia="宋体" w:hint="default"/>
                <w:w w:val="100"/>
                <w:sz w:val="21"/>
                <w:szCs w:val="21"/>
              </w:rPr>
              <w:t> </w:t>
            </w:r>
            <w:r>
              <w:rPr>
                <w:rFonts w:ascii="宋体" w:hAnsi="宋体" w:cs="宋体" w:eastAsia="宋体" w:hint="default"/>
                <w:sz w:val="21"/>
                <w:szCs w:val="21"/>
              </w:rPr>
              <w:t>资损益</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120"/>
              <w:jc w:val="left"/>
              <w:rPr>
                <w:rFonts w:ascii="宋体" w:hAnsi="宋体" w:cs="宋体" w:eastAsia="宋体" w:hint="default"/>
                <w:sz w:val="21"/>
                <w:szCs w:val="21"/>
              </w:rPr>
            </w:pP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收益调整</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8" w:right="125" w:hanging="212"/>
              <w:jc w:val="left"/>
              <w:rPr>
                <w:rFonts w:ascii="宋体" w:hAnsi="宋体" w:cs="宋体" w:eastAsia="宋体" w:hint="default"/>
                <w:sz w:val="21"/>
                <w:szCs w:val="21"/>
              </w:rPr>
            </w:pPr>
            <w:r>
              <w:rPr>
                <w:rFonts w:ascii="宋体" w:hAnsi="宋体" w:cs="宋体" w:eastAsia="宋体" w:hint="default"/>
                <w:sz w:val="21"/>
                <w:szCs w:val="21"/>
              </w:rPr>
              <w:t>其他权益</w:t>
            </w:r>
            <w:r>
              <w:rPr>
                <w:rFonts w:ascii="宋体" w:hAnsi="宋体" w:cs="宋体" w:eastAsia="宋体" w:hint="default"/>
                <w:w w:val="100"/>
                <w:sz w:val="21"/>
                <w:szCs w:val="21"/>
              </w:rPr>
              <w:t> </w:t>
            </w:r>
            <w:r>
              <w:rPr>
                <w:rFonts w:ascii="宋体" w:hAnsi="宋体" w:cs="宋体" w:eastAsia="宋体" w:hint="default"/>
                <w:sz w:val="21"/>
                <w:szCs w:val="21"/>
              </w:rPr>
              <w:t>变动</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宣告发放</w:t>
            </w:r>
          </w:p>
          <w:p>
            <w:pPr>
              <w:pStyle w:val="TableParagraph"/>
              <w:spacing w:line="240" w:lineRule="auto"/>
              <w:ind w:left="287" w:right="180" w:hanging="104"/>
              <w:jc w:val="left"/>
              <w:rPr>
                <w:rFonts w:ascii="宋体" w:hAnsi="宋体" w:cs="宋体" w:eastAsia="宋体" w:hint="default"/>
                <w:sz w:val="21"/>
                <w:szCs w:val="21"/>
              </w:rPr>
            </w:pPr>
            <w:r>
              <w:rPr>
                <w:rFonts w:ascii="宋体" w:hAnsi="宋体" w:cs="宋体" w:eastAsia="宋体" w:hint="default"/>
                <w:sz w:val="21"/>
                <w:szCs w:val="21"/>
              </w:rPr>
              <w:t>现金股利</w:t>
            </w:r>
            <w:r>
              <w:rPr>
                <w:rFonts w:ascii="宋体" w:hAnsi="宋体" w:cs="宋体" w:eastAsia="宋体" w:hint="default"/>
                <w:w w:val="100"/>
                <w:sz w:val="21"/>
                <w:szCs w:val="21"/>
              </w:rPr>
              <w:t> </w:t>
            </w:r>
            <w:r>
              <w:rPr>
                <w:rFonts w:ascii="宋体" w:hAnsi="宋体" w:cs="宋体" w:eastAsia="宋体" w:hint="default"/>
                <w:sz w:val="21"/>
                <w:szCs w:val="21"/>
              </w:rPr>
              <w:t>或利润</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176" w:hanging="212"/>
              <w:jc w:val="left"/>
              <w:rPr>
                <w:rFonts w:ascii="宋体" w:hAnsi="宋体" w:cs="宋体" w:eastAsia="宋体" w:hint="default"/>
                <w:sz w:val="21"/>
                <w:szCs w:val="21"/>
              </w:rPr>
            </w:pPr>
            <w:r>
              <w:rPr>
                <w:rFonts w:ascii="宋体" w:hAnsi="宋体" w:cs="宋体" w:eastAsia="宋体" w:hint="default"/>
                <w:sz w:val="21"/>
                <w:szCs w:val="21"/>
              </w:rPr>
              <w:t>计提减值</w:t>
            </w:r>
            <w:r>
              <w:rPr>
                <w:rFonts w:ascii="宋体" w:hAnsi="宋体" w:cs="宋体" w:eastAsia="宋体" w:hint="default"/>
                <w:w w:val="100"/>
                <w:sz w:val="21"/>
                <w:szCs w:val="21"/>
              </w:rPr>
              <w:t> </w:t>
            </w:r>
            <w:r>
              <w:rPr>
                <w:rFonts w:ascii="宋体" w:hAnsi="宋体" w:cs="宋体" w:eastAsia="宋体" w:hint="default"/>
                <w:sz w:val="21"/>
                <w:szCs w:val="21"/>
              </w:rPr>
              <w:t>准备</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00"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r>
      <w:tr>
        <w:trPr>
          <w:trHeight w:val="284"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55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15,770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2,851</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(6,819)</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1,702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172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4,570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9,534</w:t>
            </w:r>
          </w:p>
        </w:tc>
      </w:tr>
      <w:tr>
        <w:trPr>
          <w:trHeight w:val="28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15,770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2,851</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(6,819)</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1,702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172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4,570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9,534</w:t>
            </w:r>
          </w:p>
        </w:tc>
      </w:tr>
      <w:tr>
        <w:trPr>
          <w:trHeight w:val="283"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北京奇安信</w:t>
            </w:r>
          </w:p>
          <w:p>
            <w:pPr>
              <w:pStyle w:val="TableParagraph"/>
              <w:spacing w:line="272" w:lineRule="exact" w:before="27"/>
              <w:ind w:left="103" w:right="115"/>
              <w:jc w:val="left"/>
              <w:rPr>
                <w:rFonts w:ascii="宋体" w:hAnsi="宋体" w:cs="宋体" w:eastAsia="宋体" w:hint="default"/>
                <w:sz w:val="21"/>
                <w:szCs w:val="21"/>
              </w:rPr>
            </w:pPr>
            <w:r>
              <w:rPr>
                <w:rFonts w:ascii="宋体" w:hAnsi="宋体" w:cs="宋体" w:eastAsia="宋体" w:hint="default"/>
                <w:sz w:val="21"/>
                <w:szCs w:val="21"/>
              </w:rPr>
              <w:t>科技有限公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1,237,667</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(41,444)</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sz w:val="21"/>
              </w:rPr>
              <w:t>307,217</w:t>
            </w: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1,503,440</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Opera</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z w:val="21"/>
                <w:szCs w:val="21"/>
              </w:rPr>
              <w:t>Limited(</w:t>
            </w:r>
            <w:r>
              <w:rPr>
                <w:rFonts w:ascii="宋体" w:hAnsi="宋体" w:cs="宋体" w:eastAsia="宋体" w:hint="default"/>
                <w:sz w:val="21"/>
                <w:szCs w:val="21"/>
              </w:rPr>
              <w:t>注</w:t>
            </w:r>
            <w:r>
              <w:rPr>
                <w:rFonts w:ascii="宋体" w:hAnsi="宋体" w:cs="宋体" w:eastAsia="宋体" w:hint="default"/>
                <w:spacing w:val="-102"/>
                <w:sz w:val="21"/>
                <w:szCs w:val="21"/>
              </w:rPr>
              <w:t> </w:t>
            </w:r>
            <w:r>
              <w:rPr>
                <w:rFonts w:ascii="宋体" w:hAnsi="宋体" w:cs="宋体" w:eastAsia="宋体" w:hint="default"/>
                <w:sz w:val="21"/>
                <w:szCs w:val="21"/>
              </w:rPr>
              <w:t>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1,027,034</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52,924</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sz w:val="21"/>
              </w:rPr>
              <w:t>(2,164)</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53,512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1,131,306</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YI</w:t>
            </w:r>
            <w:r>
              <w:rPr>
                <w:rFonts w:ascii="宋体"/>
                <w:spacing w:val="2"/>
                <w:sz w:val="21"/>
              </w:rPr>
              <w:t> </w:t>
            </w:r>
            <w:r>
              <w:rPr>
                <w:rFonts w:ascii="宋体"/>
                <w:sz w:val="21"/>
              </w:rPr>
              <w:t>Capital</w:t>
            </w:r>
          </w:p>
          <w:p>
            <w:pPr>
              <w:pStyle w:val="TableParagraph"/>
              <w:spacing w:line="272" w:lineRule="exact" w:before="27"/>
              <w:ind w:left="103" w:right="168"/>
              <w:jc w:val="left"/>
              <w:rPr>
                <w:rFonts w:ascii="宋体" w:hAnsi="宋体" w:cs="宋体" w:eastAsia="宋体" w:hint="default"/>
                <w:sz w:val="21"/>
                <w:szCs w:val="21"/>
              </w:rPr>
            </w:pPr>
            <w:r>
              <w:rPr>
                <w:rFonts w:ascii="宋体" w:hAnsi="宋体" w:cs="宋体" w:eastAsia="宋体" w:hint="default"/>
                <w:sz w:val="21"/>
                <w:szCs w:val="21"/>
              </w:rPr>
              <w:t>Fund I</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L.P.(</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3)</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303,329</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(9,318)</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14,927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308,938</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360</w:t>
            </w:r>
            <w:r>
              <w:rPr>
                <w:rFonts w:ascii="宋体" w:hAnsi="宋体" w:cs="宋体" w:eastAsia="宋体" w:hint="default"/>
                <w:spacing w:val="-51"/>
                <w:sz w:val="21"/>
                <w:szCs w:val="21"/>
              </w:rPr>
              <w:t> </w:t>
            </w:r>
            <w:r>
              <w:rPr>
                <w:rFonts w:ascii="宋体" w:hAnsi="宋体" w:cs="宋体" w:eastAsia="宋体" w:hint="default"/>
                <w:sz w:val="21"/>
                <w:szCs w:val="21"/>
              </w:rPr>
              <w:t>鲁大师</w:t>
            </w:r>
          </w:p>
          <w:p>
            <w:pPr>
              <w:pStyle w:val="TableParagraph"/>
              <w:spacing w:line="272" w:lineRule="exact" w:before="27"/>
              <w:ind w:left="103" w:right="115"/>
              <w:jc w:val="left"/>
              <w:rPr>
                <w:rFonts w:ascii="宋体" w:hAnsi="宋体" w:cs="宋体" w:eastAsia="宋体" w:hint="default"/>
                <w:sz w:val="21"/>
                <w:szCs w:val="21"/>
              </w:rPr>
            </w:pPr>
            <w:r>
              <w:rPr>
                <w:rFonts w:ascii="宋体" w:hAnsi="宋体" w:cs="宋体" w:eastAsia="宋体" w:hint="default"/>
                <w:sz w:val="21"/>
                <w:szCs w:val="21"/>
              </w:rPr>
              <w:t>控股有限公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244,677</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27,190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30,856</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248,343</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在线途游</w:t>
            </w:r>
          </w:p>
          <w:p>
            <w:pPr>
              <w:pStyle w:val="TableParagraph"/>
              <w:spacing w:line="237" w:lineRule="auto" w:before="1"/>
              <w:ind w:left="103" w:right="11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524,337</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398,547</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48,834</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174,624</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中投中财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武汉</w:t>
            </w:r>
            <w:r>
              <w:rPr>
                <w:rFonts w:ascii="宋体" w:hAnsi="宋体" w:cs="宋体" w:eastAsia="宋体" w:hint="default"/>
                <w:sz w:val="21"/>
                <w:szCs w:val="21"/>
              </w:rPr>
              <w:t>)</w:t>
            </w:r>
            <w:r>
              <w:rPr>
                <w:rFonts w:ascii="宋体" w:hAnsi="宋体" w:cs="宋体" w:eastAsia="宋体" w:hint="default"/>
                <w:sz w:val="21"/>
                <w:szCs w:val="21"/>
              </w:rPr>
              <w:t>游戏</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101,103</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1,705</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sz w:val="21"/>
              </w:rPr>
              <w:t>1,712</w:t>
            </w: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101,096</w:t>
            </w:r>
          </w:p>
        </w:tc>
        <w:tc>
          <w:tcPr>
            <w:tcW w:w="116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320" w:bottom="1400" w:left="1300" w:right="1220"/>
        </w:sectPr>
      </w:pPr>
    </w:p>
    <w:tbl>
      <w:tblPr>
        <w:tblW w:w="0" w:type="auto"/>
        <w:jc w:val="left"/>
        <w:tblInd w:w="111" w:type="dxa"/>
        <w:tblLayout w:type="fixed"/>
        <w:tblCellMar>
          <w:top w:w="0" w:type="dxa"/>
          <w:left w:w="0" w:type="dxa"/>
          <w:bottom w:w="0" w:type="dxa"/>
          <w:right w:w="0" w:type="dxa"/>
        </w:tblCellMar>
        <w:tblLook w:val="01E0"/>
      </w:tblPr>
      <w:tblGrid>
        <w:gridCol w:w="1284"/>
        <w:gridCol w:w="1176"/>
        <w:gridCol w:w="1184"/>
        <w:gridCol w:w="1046"/>
        <w:gridCol w:w="1226"/>
        <w:gridCol w:w="1100"/>
        <w:gridCol w:w="1106"/>
        <w:gridCol w:w="1219"/>
        <w:gridCol w:w="1208"/>
        <w:gridCol w:w="1176"/>
        <w:gridCol w:w="1200"/>
        <w:gridCol w:w="1164"/>
      </w:tblGrid>
      <w:tr>
        <w:trPr>
          <w:trHeight w:val="838" w:hRule="exact"/>
        </w:trPr>
        <w:tc>
          <w:tcPr>
            <w:tcW w:w="1284" w:type="dxa"/>
            <w:tcBorders>
              <w:top w:val="single" w:sz="10"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产业基金管</w:t>
            </w:r>
          </w:p>
          <w:p>
            <w:pPr>
              <w:pStyle w:val="TableParagraph"/>
              <w:spacing w:line="240" w:lineRule="auto"/>
              <w:ind w:left="103" w:right="221"/>
              <w:jc w:val="left"/>
              <w:rPr>
                <w:rFonts w:ascii="宋体" w:hAnsi="宋体" w:cs="宋体" w:eastAsia="宋体" w:hint="default"/>
                <w:sz w:val="21"/>
                <w:szCs w:val="21"/>
              </w:rPr>
            </w:pPr>
            <w:r>
              <w:rPr>
                <w:rFonts w:ascii="宋体" w:hAnsi="宋体" w:cs="宋体" w:eastAsia="宋体" w:hint="default"/>
                <w:sz w:val="21"/>
                <w:szCs w:val="21"/>
              </w:rPr>
              <w:t>理中心</w:t>
            </w:r>
            <w:r>
              <w:rPr>
                <w:rFonts w:ascii="宋体" w:hAnsi="宋体" w:cs="宋体" w:eastAsia="宋体" w:hint="default"/>
                <w:sz w:val="21"/>
                <w:szCs w:val="21"/>
              </w:rPr>
              <w:t>(</w:t>
            </w:r>
            <w:r>
              <w:rPr>
                <w:rFonts w:ascii="宋体" w:hAnsi="宋体" w:cs="宋体" w:eastAsia="宋体" w:hint="default"/>
                <w:sz w:val="21"/>
                <w:szCs w:val="21"/>
              </w:rPr>
              <w:t>有</w:t>
            </w:r>
            <w:r>
              <w:rPr>
                <w:rFonts w:ascii="宋体" w:hAnsi="宋体" w:cs="宋体" w:eastAsia="宋体" w:hint="default"/>
                <w:spacing w:val="-102"/>
                <w:sz w:val="21"/>
                <w:szCs w:val="21"/>
              </w:rPr>
              <w:t> </w:t>
            </w:r>
            <w:r>
              <w:rPr>
                <w:rFonts w:ascii="宋体" w:hAnsi="宋体" w:cs="宋体" w:eastAsia="宋体" w:hint="default"/>
                <w:sz w:val="21"/>
                <w:szCs w:val="21"/>
              </w:rPr>
              <w:t>限合伙</w:t>
            </w:r>
            <w:r>
              <w:rPr>
                <w:rFonts w:ascii="宋体" w:hAnsi="宋体" w:cs="宋体" w:eastAsia="宋体" w:hint="default"/>
                <w:sz w:val="21"/>
                <w:szCs w:val="21"/>
              </w:rPr>
              <w:t>)</w:t>
            </w:r>
          </w:p>
        </w:tc>
        <w:tc>
          <w:tcPr>
            <w:tcW w:w="1176" w:type="dxa"/>
            <w:tcBorders>
              <w:top w:val="single" w:sz="10" w:space="0" w:color="000000"/>
              <w:left w:val="single" w:sz="4" w:space="0" w:color="000000"/>
              <w:bottom w:val="single" w:sz="4" w:space="0" w:color="000000"/>
              <w:right w:val="single" w:sz="4" w:space="0" w:color="000000"/>
            </w:tcBorders>
          </w:tcPr>
          <w:p>
            <w:pPr/>
          </w:p>
        </w:tc>
        <w:tc>
          <w:tcPr>
            <w:tcW w:w="1184" w:type="dxa"/>
            <w:tcBorders>
              <w:top w:val="single" w:sz="10" w:space="0" w:color="000000"/>
              <w:left w:val="single" w:sz="4" w:space="0" w:color="000000"/>
              <w:bottom w:val="single" w:sz="4" w:space="0" w:color="000000"/>
              <w:right w:val="single" w:sz="4" w:space="0" w:color="000000"/>
            </w:tcBorders>
          </w:tcPr>
          <w:p>
            <w:pPr/>
          </w:p>
        </w:tc>
        <w:tc>
          <w:tcPr>
            <w:tcW w:w="1046" w:type="dxa"/>
            <w:tcBorders>
              <w:top w:val="single" w:sz="10" w:space="0" w:color="000000"/>
              <w:left w:val="single" w:sz="4" w:space="0" w:color="000000"/>
              <w:bottom w:val="single" w:sz="4" w:space="0" w:color="000000"/>
              <w:right w:val="single" w:sz="4" w:space="0" w:color="000000"/>
            </w:tcBorders>
          </w:tcPr>
          <w:p>
            <w:pPr/>
          </w:p>
        </w:tc>
        <w:tc>
          <w:tcPr>
            <w:tcW w:w="1226" w:type="dxa"/>
            <w:tcBorders>
              <w:top w:val="single" w:sz="10" w:space="0" w:color="000000"/>
              <w:left w:val="single" w:sz="4" w:space="0" w:color="000000"/>
              <w:bottom w:val="single" w:sz="4" w:space="0" w:color="000000"/>
              <w:right w:val="single" w:sz="4" w:space="0" w:color="000000"/>
            </w:tcBorders>
          </w:tcPr>
          <w:p>
            <w:pPr/>
          </w:p>
        </w:tc>
        <w:tc>
          <w:tcPr>
            <w:tcW w:w="1100" w:type="dxa"/>
            <w:tcBorders>
              <w:top w:val="single" w:sz="10" w:space="0" w:color="000000"/>
              <w:left w:val="single" w:sz="4" w:space="0" w:color="000000"/>
              <w:bottom w:val="single" w:sz="4" w:space="0" w:color="000000"/>
              <w:right w:val="single" w:sz="4" w:space="0" w:color="000000"/>
            </w:tcBorders>
          </w:tcPr>
          <w:p>
            <w:pPr/>
          </w:p>
        </w:tc>
        <w:tc>
          <w:tcPr>
            <w:tcW w:w="1106" w:type="dxa"/>
            <w:tcBorders>
              <w:top w:val="single" w:sz="10" w:space="0" w:color="000000"/>
              <w:left w:val="single" w:sz="4" w:space="0" w:color="000000"/>
              <w:bottom w:val="single" w:sz="4" w:space="0" w:color="000000"/>
              <w:right w:val="single" w:sz="4" w:space="0" w:color="000000"/>
            </w:tcBorders>
          </w:tcPr>
          <w:p>
            <w:pPr/>
          </w:p>
        </w:tc>
        <w:tc>
          <w:tcPr>
            <w:tcW w:w="1219" w:type="dxa"/>
            <w:tcBorders>
              <w:top w:val="single" w:sz="10" w:space="0" w:color="000000"/>
              <w:left w:val="single" w:sz="4" w:space="0" w:color="000000"/>
              <w:bottom w:val="single" w:sz="4" w:space="0" w:color="000000"/>
              <w:right w:val="single" w:sz="4" w:space="0" w:color="000000"/>
            </w:tcBorders>
          </w:tcPr>
          <w:p>
            <w:pPr/>
          </w:p>
        </w:tc>
        <w:tc>
          <w:tcPr>
            <w:tcW w:w="1208" w:type="dxa"/>
            <w:tcBorders>
              <w:top w:val="single" w:sz="10" w:space="0" w:color="000000"/>
              <w:left w:val="single" w:sz="4" w:space="0" w:color="000000"/>
              <w:bottom w:val="single" w:sz="4" w:space="0" w:color="000000"/>
              <w:right w:val="single" w:sz="4" w:space="0" w:color="000000"/>
            </w:tcBorders>
          </w:tcPr>
          <w:p>
            <w:pPr/>
          </w:p>
        </w:tc>
        <w:tc>
          <w:tcPr>
            <w:tcW w:w="1176" w:type="dxa"/>
            <w:tcBorders>
              <w:top w:val="single" w:sz="10" w:space="0" w:color="000000"/>
              <w:left w:val="single" w:sz="4" w:space="0" w:color="000000"/>
              <w:bottom w:val="single" w:sz="4" w:space="0" w:color="000000"/>
              <w:right w:val="single" w:sz="4" w:space="0" w:color="000000"/>
            </w:tcBorders>
          </w:tcPr>
          <w:p>
            <w:pPr/>
          </w:p>
        </w:tc>
        <w:tc>
          <w:tcPr>
            <w:tcW w:w="1200" w:type="dxa"/>
            <w:tcBorders>
              <w:top w:val="single" w:sz="10" w:space="0" w:color="000000"/>
              <w:left w:val="single" w:sz="4" w:space="0" w:color="000000"/>
              <w:bottom w:val="single" w:sz="4" w:space="0" w:color="000000"/>
              <w:right w:val="single" w:sz="4" w:space="0" w:color="000000"/>
            </w:tcBorders>
          </w:tcPr>
          <w:p>
            <w:pPr/>
          </w:p>
        </w:tc>
        <w:tc>
          <w:tcPr>
            <w:tcW w:w="1164" w:type="dxa"/>
            <w:tcBorders>
              <w:top w:val="single" w:sz="10"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上海香蕉计</w:t>
            </w:r>
          </w:p>
          <w:p>
            <w:pPr>
              <w:pStyle w:val="TableParagraph"/>
              <w:spacing w:line="272" w:lineRule="exact" w:before="27"/>
              <w:ind w:left="103" w:right="115"/>
              <w:jc w:val="left"/>
              <w:rPr>
                <w:rFonts w:ascii="宋体" w:hAnsi="宋体" w:cs="宋体" w:eastAsia="宋体" w:hint="default"/>
                <w:sz w:val="21"/>
                <w:szCs w:val="21"/>
              </w:rPr>
            </w:pPr>
            <w:r>
              <w:rPr>
                <w:rFonts w:ascii="宋体" w:hAnsi="宋体" w:cs="宋体" w:eastAsia="宋体" w:hint="default"/>
                <w:sz w:val="21"/>
                <w:szCs w:val="21"/>
              </w:rPr>
              <w:t>划电子游戏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宋体" w:hAnsi="宋体" w:cs="宋体" w:eastAsia="宋体" w:hint="default"/>
                <w:sz w:val="21"/>
                <w:szCs w:val="21"/>
              </w:rPr>
            </w:pPr>
            <w:r>
              <w:rPr>
                <w:rFonts w:ascii="宋体"/>
                <w:sz w:val="21"/>
              </w:rPr>
              <w:t>78,459</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宋体" w:hAnsi="宋体" w:cs="宋体" w:eastAsia="宋体" w:hint="default"/>
                <w:sz w:val="21"/>
                <w:szCs w:val="21"/>
              </w:rPr>
            </w:pPr>
            <w:r>
              <w:rPr>
                <w:rFonts w:ascii="宋体"/>
                <w:sz w:val="21"/>
              </w:rPr>
              <w:t>(319)</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宋体" w:hAnsi="宋体" w:cs="宋体" w:eastAsia="宋体" w:hint="default"/>
                <w:sz w:val="21"/>
                <w:szCs w:val="21"/>
              </w:rPr>
            </w:pPr>
            <w:r>
              <w:rPr>
                <w:rFonts w:ascii="宋体"/>
                <w:sz w:val="21"/>
              </w:rPr>
              <w:t>78,140</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sz w:val="21"/>
              </w:rPr>
              <w:t>11.2</w:t>
            </w:r>
          </w:p>
          <w:p>
            <w:pPr>
              <w:pStyle w:val="TableParagraph"/>
              <w:spacing w:line="272" w:lineRule="exact" w:before="27"/>
              <w:ind w:left="103" w:right="115"/>
              <w:jc w:val="left"/>
              <w:rPr>
                <w:rFonts w:ascii="宋体" w:hAnsi="宋体" w:cs="宋体" w:eastAsia="宋体" w:hint="default"/>
                <w:sz w:val="21"/>
                <w:szCs w:val="21"/>
              </w:rPr>
            </w:pPr>
            <w:r>
              <w:rPr>
                <w:rFonts w:ascii="宋体"/>
                <w:sz w:val="21"/>
              </w:rPr>
              <w:t>Capital</w:t>
            </w:r>
            <w:r>
              <w:rPr>
                <w:rFonts w:ascii="宋体"/>
                <w:spacing w:val="2"/>
                <w:sz w:val="21"/>
              </w:rPr>
              <w:t> </w:t>
            </w:r>
            <w:r>
              <w:rPr>
                <w:rFonts w:ascii="宋体"/>
                <w:sz w:val="21"/>
              </w:rPr>
              <w:t>I,</w:t>
            </w:r>
            <w:r>
              <w:rPr>
                <w:rFonts w:ascii="宋体"/>
                <w:w w:val="100"/>
                <w:sz w:val="21"/>
              </w:rPr>
              <w:t> </w:t>
            </w:r>
            <w:r>
              <w:rPr>
                <w:rFonts w:ascii="宋体"/>
                <w:sz w:val="21"/>
              </w:rPr>
              <w:t>L.P.</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宋体" w:hAnsi="宋体" w:cs="宋体" w:eastAsia="宋体" w:hint="default"/>
                <w:sz w:val="21"/>
                <w:szCs w:val="21"/>
              </w:rPr>
            </w:pPr>
            <w:r>
              <w:rPr>
                <w:rFonts w:ascii="宋体"/>
                <w:sz w:val="21"/>
              </w:rPr>
              <w:t>63,543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宋体" w:hAnsi="宋体" w:cs="宋体" w:eastAsia="宋体" w:hint="default"/>
                <w:sz w:val="21"/>
                <w:szCs w:val="21"/>
              </w:rPr>
            </w:pPr>
            <w:r>
              <w:rPr>
                <w:rFonts w:ascii="宋体"/>
                <w:sz w:val="21"/>
              </w:rPr>
              <w:t>8,609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1"/>
                <w:szCs w:val="21"/>
              </w:rPr>
            </w:pPr>
            <w:r>
              <w:rPr>
                <w:rFonts w:ascii="宋体"/>
                <w:sz w:val="21"/>
              </w:rPr>
              <w:t>38</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宋体" w:hAnsi="宋体" w:cs="宋体" w:eastAsia="宋体" w:hint="default"/>
                <w:sz w:val="21"/>
                <w:szCs w:val="21"/>
              </w:rPr>
            </w:pPr>
            <w:r>
              <w:rPr>
                <w:rFonts w:ascii="宋体"/>
                <w:spacing w:val="-1"/>
                <w:sz w:val="21"/>
              </w:rPr>
              <w:t>(1,918)</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宋体" w:hAnsi="宋体" w:cs="宋体" w:eastAsia="宋体" w:hint="default"/>
                <w:sz w:val="21"/>
                <w:szCs w:val="21"/>
              </w:rPr>
            </w:pPr>
            <w:r>
              <w:rPr>
                <w:rFonts w:ascii="宋体"/>
                <w:sz w:val="21"/>
              </w:rPr>
              <w:t>3,447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宋体" w:hAnsi="宋体" w:cs="宋体" w:eastAsia="宋体" w:hint="default"/>
                <w:sz w:val="21"/>
                <w:szCs w:val="21"/>
              </w:rPr>
            </w:pPr>
            <w:r>
              <w:rPr>
                <w:rFonts w:ascii="宋体"/>
                <w:sz w:val="21"/>
              </w:rPr>
              <w:t>73,643</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sz w:val="21"/>
              </w:rPr>
              <w:t>CHINA</w:t>
            </w:r>
          </w:p>
          <w:p>
            <w:pPr>
              <w:pStyle w:val="TableParagraph"/>
              <w:spacing w:line="237" w:lineRule="auto"/>
              <w:ind w:left="103" w:right="115"/>
              <w:jc w:val="left"/>
              <w:rPr>
                <w:rFonts w:ascii="宋体" w:hAnsi="宋体" w:cs="宋体" w:eastAsia="宋体" w:hint="default"/>
                <w:sz w:val="21"/>
                <w:szCs w:val="21"/>
              </w:rPr>
            </w:pPr>
            <w:r>
              <w:rPr>
                <w:rFonts w:ascii="宋体"/>
                <w:sz w:val="21"/>
              </w:rPr>
              <w:t>SMART</w:t>
            </w:r>
            <w:r>
              <w:rPr>
                <w:rFonts w:ascii="宋体"/>
                <w:spacing w:val="-102"/>
                <w:sz w:val="21"/>
              </w:rPr>
              <w:t> </w:t>
            </w:r>
            <w:r>
              <w:rPr>
                <w:rFonts w:ascii="宋体"/>
                <w:sz w:val="21"/>
              </w:rPr>
              <w:t>WIRELESS</w:t>
            </w:r>
            <w:r>
              <w:rPr>
                <w:rFonts w:ascii="宋体"/>
                <w:w w:val="100"/>
                <w:sz w:val="21"/>
              </w:rPr>
              <w:t> </w:t>
            </w:r>
            <w:r>
              <w:rPr>
                <w:rFonts w:ascii="宋体"/>
                <w:sz w:val="21"/>
              </w:rPr>
              <w:t>TECHNOLOGY</w:t>
            </w:r>
            <w:r>
              <w:rPr>
                <w:rFonts w:ascii="宋体"/>
                <w:spacing w:val="-102"/>
                <w:sz w:val="21"/>
              </w:rPr>
              <w:t> </w:t>
            </w:r>
            <w:r>
              <w:rPr>
                <w:rFonts w:ascii="宋体"/>
                <w:spacing w:val="-102"/>
                <w:sz w:val="21"/>
              </w:rPr>
            </w:r>
            <w:r>
              <w:rPr>
                <w:rFonts w:ascii="宋体"/>
                <w:sz w:val="21"/>
              </w:rPr>
              <w:t>GROUP</w:t>
            </w:r>
            <w:r>
              <w:rPr>
                <w:rFonts w:ascii="宋体"/>
                <w:spacing w:val="3"/>
                <w:sz w:val="21"/>
              </w:rPr>
              <w:t> </w:t>
            </w:r>
            <w:r>
              <w:rPr>
                <w:rFonts w:ascii="宋体"/>
                <w:sz w:val="21"/>
              </w:rPr>
              <w:t>INC.</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6"/>
              <w:jc w:val="right"/>
              <w:rPr>
                <w:rFonts w:ascii="宋体" w:hAnsi="宋体" w:cs="宋体" w:eastAsia="宋体" w:hint="default"/>
                <w:sz w:val="21"/>
                <w:szCs w:val="21"/>
              </w:rPr>
            </w:pPr>
            <w:r>
              <w:rPr>
                <w:rFonts w:ascii="宋体"/>
                <w:sz w:val="21"/>
              </w:rPr>
              <w:t>68,382</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967</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6"/>
              <w:jc w:val="right"/>
              <w:rPr>
                <w:rFonts w:ascii="宋体" w:hAnsi="宋体" w:cs="宋体" w:eastAsia="宋体" w:hint="default"/>
                <w:sz w:val="21"/>
                <w:szCs w:val="21"/>
              </w:rPr>
            </w:pPr>
            <w:r>
              <w:rPr>
                <w:rFonts w:ascii="宋体"/>
                <w:sz w:val="21"/>
              </w:rPr>
              <w:t>3,479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6"/>
              <w:jc w:val="right"/>
              <w:rPr>
                <w:rFonts w:ascii="宋体" w:hAnsi="宋体" w:cs="宋体" w:eastAsia="宋体" w:hint="default"/>
                <w:sz w:val="21"/>
                <w:szCs w:val="21"/>
              </w:rPr>
            </w:pPr>
            <w:r>
              <w:rPr>
                <w:rFonts w:ascii="宋体"/>
                <w:sz w:val="21"/>
              </w:rPr>
              <w:t>72,828</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上海犇众信</w:t>
            </w:r>
          </w:p>
          <w:p>
            <w:pPr>
              <w:pStyle w:val="TableParagraph"/>
              <w:spacing w:line="272" w:lineRule="exact" w:before="27"/>
              <w:ind w:left="103" w:right="115"/>
              <w:jc w:val="left"/>
              <w:rPr>
                <w:rFonts w:ascii="宋体" w:hAnsi="宋体" w:cs="宋体" w:eastAsia="宋体" w:hint="default"/>
                <w:sz w:val="21"/>
                <w:szCs w:val="21"/>
              </w:rPr>
            </w:pPr>
            <w:r>
              <w:rPr>
                <w:rFonts w:ascii="宋体" w:hAnsi="宋体" w:cs="宋体" w:eastAsia="宋体" w:hint="default"/>
                <w:sz w:val="21"/>
                <w:szCs w:val="21"/>
              </w:rPr>
              <w:t>息技术有限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宋体" w:hAnsi="宋体" w:cs="宋体" w:eastAsia="宋体" w:hint="default"/>
                <w:sz w:val="21"/>
                <w:szCs w:val="21"/>
              </w:rPr>
            </w:pPr>
            <w:r>
              <w:rPr>
                <w:rFonts w:ascii="宋体"/>
                <w:sz w:val="21"/>
              </w:rPr>
              <w:t>56,502</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宋体" w:hAnsi="宋体" w:cs="宋体" w:eastAsia="宋体" w:hint="default"/>
                <w:sz w:val="21"/>
                <w:szCs w:val="21"/>
              </w:rPr>
            </w:pPr>
            <w:r>
              <w:rPr>
                <w:rFonts w:ascii="宋体"/>
                <w:spacing w:val="-1"/>
                <w:sz w:val="21"/>
              </w:rPr>
              <w:t>(1,550)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宋体" w:hAnsi="宋体" w:cs="宋体" w:eastAsia="宋体" w:hint="default"/>
                <w:sz w:val="21"/>
                <w:szCs w:val="21"/>
              </w:rPr>
            </w:pPr>
            <w:r>
              <w:rPr>
                <w:rFonts w:ascii="宋体"/>
                <w:sz w:val="21"/>
              </w:rPr>
              <w:t>54,952</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武汉卡比特</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z w:val="21"/>
                <w:szCs w:val="21"/>
              </w:rPr>
              <w:t>信息有限公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宋体" w:hAnsi="宋体" w:cs="宋体" w:eastAsia="宋体" w:hint="default"/>
                <w:sz w:val="21"/>
                <w:szCs w:val="21"/>
              </w:rPr>
            </w:pPr>
            <w:r>
              <w:rPr>
                <w:rFonts w:ascii="宋体"/>
                <w:sz w:val="21"/>
              </w:rPr>
              <w:t>51,380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宋体" w:hAnsi="宋体" w:cs="宋体" w:eastAsia="宋体" w:hint="default"/>
                <w:sz w:val="21"/>
                <w:szCs w:val="21"/>
              </w:rPr>
            </w:pPr>
            <w:r>
              <w:rPr>
                <w:rFonts w:ascii="宋体"/>
                <w:sz w:val="21"/>
              </w:rPr>
              <w:t>(75)</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宋体" w:hAnsi="宋体" w:cs="宋体" w:eastAsia="宋体" w:hint="default"/>
                <w:sz w:val="21"/>
                <w:szCs w:val="21"/>
              </w:rPr>
            </w:pPr>
            <w:r>
              <w:rPr>
                <w:rFonts w:ascii="宋体"/>
                <w:sz w:val="21"/>
              </w:rPr>
              <w:t>51,305</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658,839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118,950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宋体" w:hAnsi="宋体" w:cs="宋体" w:eastAsia="宋体" w:hint="default"/>
                <w:sz w:val="21"/>
                <w:szCs w:val="21"/>
              </w:rPr>
            </w:pPr>
            <w:r>
              <w:rPr>
                <w:rFonts w:ascii="宋体"/>
                <w:spacing w:val="-1"/>
                <w:sz w:val="21"/>
              </w:rPr>
              <w:t>104,101</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宋体" w:hAnsi="宋体" w:cs="宋体" w:eastAsia="宋体" w:hint="default"/>
                <w:sz w:val="21"/>
                <w:szCs w:val="21"/>
              </w:rPr>
            </w:pPr>
            <w:r>
              <w:rPr>
                <w:rFonts w:ascii="宋体"/>
                <w:spacing w:val="-1"/>
                <w:sz w:val="21"/>
              </w:rPr>
              <w:t>(9,646)</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宋体" w:hAnsi="宋体" w:cs="宋体" w:eastAsia="宋体" w:hint="default"/>
                <w:sz w:val="21"/>
                <w:szCs w:val="21"/>
              </w:rPr>
            </w:pPr>
            <w:r>
              <w:rPr>
                <w:rFonts w:ascii="宋体"/>
                <w:sz w:val="21"/>
              </w:rPr>
              <w:t>17,603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宋体" w:hAnsi="宋体" w:cs="宋体" w:eastAsia="宋体" w:hint="default"/>
                <w:sz w:val="21"/>
                <w:szCs w:val="21"/>
              </w:rPr>
            </w:pPr>
            <w:r>
              <w:rPr>
                <w:rFonts w:ascii="宋体"/>
                <w:sz w:val="21"/>
              </w:rPr>
              <w:t>5,926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宋体" w:hAnsi="宋体" w:cs="宋体" w:eastAsia="宋体" w:hint="default"/>
                <w:sz w:val="21"/>
                <w:szCs w:val="21"/>
              </w:rPr>
            </w:pPr>
            <w:r>
              <w:rPr>
                <w:rFonts w:ascii="宋体"/>
                <w:sz w:val="21"/>
              </w:rPr>
              <w:t>54,382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宋体" w:hAnsi="宋体" w:cs="宋体" w:eastAsia="宋体" w:hint="default"/>
                <w:sz w:val="21"/>
                <w:szCs w:val="21"/>
              </w:rPr>
            </w:pPr>
            <w:r>
              <w:rPr>
                <w:rFonts w:ascii="宋体"/>
                <w:sz w:val="21"/>
              </w:rPr>
              <w:t>2,286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623,623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257,439</w:t>
            </w: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4,415,252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127,559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宋体" w:hAnsi="宋体" w:cs="宋体" w:eastAsia="宋体" w:hint="default"/>
                <w:sz w:val="21"/>
                <w:szCs w:val="21"/>
              </w:rPr>
            </w:pPr>
            <w:r>
              <w:rPr>
                <w:rFonts w:ascii="宋体"/>
                <w:spacing w:val="-1"/>
                <w:sz w:val="21"/>
              </w:rPr>
              <w:t>529,876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宋体" w:hAnsi="宋体" w:cs="宋体" w:eastAsia="宋体" w:hint="default"/>
                <w:sz w:val="21"/>
                <w:szCs w:val="21"/>
              </w:rPr>
            </w:pPr>
            <w:r>
              <w:rPr>
                <w:rFonts w:ascii="宋体"/>
                <w:sz w:val="21"/>
              </w:rPr>
              <w:t>71,016</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宋体" w:hAnsi="宋体" w:cs="宋体" w:eastAsia="宋体" w:hint="default"/>
                <w:sz w:val="21"/>
                <w:szCs w:val="21"/>
              </w:rPr>
            </w:pPr>
            <w:r>
              <w:rPr>
                <w:rFonts w:ascii="宋体"/>
                <w:spacing w:val="-1"/>
                <w:sz w:val="21"/>
              </w:rPr>
              <w:t>(2,164)</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宋体" w:hAnsi="宋体" w:cs="宋体" w:eastAsia="宋体" w:hint="default"/>
                <w:sz w:val="21"/>
                <w:szCs w:val="21"/>
              </w:rPr>
            </w:pPr>
            <w:r>
              <w:rPr>
                <w:rFonts w:ascii="宋体"/>
                <w:spacing w:val="-1"/>
                <w:sz w:val="21"/>
              </w:rPr>
              <w:t>324,820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宋体" w:hAnsi="宋体" w:cs="宋体" w:eastAsia="宋体" w:hint="default"/>
                <w:sz w:val="21"/>
                <w:szCs w:val="21"/>
              </w:rPr>
            </w:pPr>
            <w:r>
              <w:rPr>
                <w:rFonts w:ascii="宋体"/>
                <w:sz w:val="21"/>
              </w:rPr>
              <w:t>7,638</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宋体" w:hAnsi="宋体" w:cs="宋体" w:eastAsia="宋体" w:hint="default"/>
                <w:sz w:val="21"/>
                <w:szCs w:val="21"/>
              </w:rPr>
            </w:pPr>
            <w:r>
              <w:rPr>
                <w:rFonts w:ascii="宋体"/>
                <w:sz w:val="21"/>
              </w:rPr>
              <w:t>54,382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宋体" w:hAnsi="宋体" w:cs="宋体" w:eastAsia="宋体" w:hint="default"/>
                <w:sz w:val="21"/>
                <w:szCs w:val="21"/>
              </w:rPr>
            </w:pPr>
            <w:r>
              <w:rPr>
                <w:rFonts w:ascii="宋体"/>
                <w:sz w:val="21"/>
              </w:rPr>
              <w:t>77,651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4,422,238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257,439</w:t>
            </w:r>
          </w:p>
        </w:tc>
      </w:tr>
      <w:tr>
        <w:trPr>
          <w:trHeight w:val="28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4,431,022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127,559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宋体" w:hAnsi="宋体" w:cs="宋体" w:eastAsia="宋体" w:hint="default"/>
                <w:sz w:val="21"/>
                <w:szCs w:val="21"/>
              </w:rPr>
            </w:pPr>
            <w:r>
              <w:rPr>
                <w:rFonts w:ascii="宋体"/>
                <w:spacing w:val="-1"/>
                <w:sz w:val="21"/>
              </w:rPr>
              <w:t>532,727</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宋体" w:hAnsi="宋体" w:cs="宋体" w:eastAsia="宋体" w:hint="default"/>
                <w:sz w:val="21"/>
                <w:szCs w:val="21"/>
              </w:rPr>
            </w:pPr>
            <w:r>
              <w:rPr>
                <w:rFonts w:ascii="宋体"/>
                <w:sz w:val="21"/>
              </w:rPr>
              <w:t>64,197</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宋体" w:hAnsi="宋体" w:cs="宋体" w:eastAsia="宋体" w:hint="default"/>
                <w:sz w:val="21"/>
                <w:szCs w:val="21"/>
              </w:rPr>
            </w:pPr>
            <w:r>
              <w:rPr>
                <w:rFonts w:ascii="宋体"/>
                <w:spacing w:val="-1"/>
                <w:sz w:val="21"/>
              </w:rPr>
              <w:t>(2,164)</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宋体" w:hAnsi="宋体" w:cs="宋体" w:eastAsia="宋体" w:hint="default"/>
                <w:sz w:val="21"/>
                <w:szCs w:val="21"/>
              </w:rPr>
            </w:pPr>
            <w:r>
              <w:rPr>
                <w:rFonts w:ascii="宋体"/>
                <w:spacing w:val="-1"/>
                <w:sz w:val="21"/>
              </w:rPr>
              <w:t>324,820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宋体" w:hAnsi="宋体" w:cs="宋体" w:eastAsia="宋体" w:hint="default"/>
                <w:sz w:val="21"/>
                <w:szCs w:val="21"/>
              </w:rPr>
            </w:pPr>
            <w:r>
              <w:rPr>
                <w:rFonts w:ascii="宋体"/>
                <w:sz w:val="21"/>
              </w:rPr>
              <w:t>7,638</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宋体" w:hAnsi="宋体" w:cs="宋体" w:eastAsia="宋体" w:hint="default"/>
                <w:sz w:val="21"/>
                <w:szCs w:val="21"/>
              </w:rPr>
            </w:pPr>
            <w:r>
              <w:rPr>
                <w:rFonts w:ascii="宋体"/>
                <w:sz w:val="21"/>
              </w:rPr>
              <w:t>56,084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宋体" w:hAnsi="宋体" w:cs="宋体" w:eastAsia="宋体" w:hint="default"/>
                <w:sz w:val="21"/>
                <w:szCs w:val="21"/>
              </w:rPr>
            </w:pPr>
            <w:r>
              <w:rPr>
                <w:rFonts w:ascii="宋体"/>
                <w:sz w:val="21"/>
              </w:rPr>
              <w:t>77,823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4,426,808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266,973</w:t>
            </w:r>
          </w:p>
        </w:tc>
      </w:tr>
    </w:tbl>
    <w:p>
      <w:pPr>
        <w:spacing w:line="240" w:lineRule="auto" w:before="1"/>
        <w:rPr>
          <w:rFonts w:ascii="宋体" w:hAnsi="宋体" w:cs="宋体" w:eastAsia="宋体" w:hint="default"/>
          <w:sz w:val="18"/>
          <w:szCs w:val="18"/>
        </w:rPr>
      </w:pPr>
    </w:p>
    <w:p>
      <w:pPr>
        <w:pStyle w:val="BodyText"/>
        <w:spacing w:line="273" w:lineRule="exact" w:before="36"/>
        <w:ind w:left="224" w:right="0"/>
        <w:jc w:val="left"/>
      </w:pPr>
      <w:r>
        <w:rPr/>
        <w:t>其他说明</w:t>
      </w:r>
    </w:p>
    <w:p>
      <w:pPr>
        <w:pStyle w:val="BodyText"/>
        <w:spacing w:line="357" w:lineRule="auto"/>
        <w:ind w:left="224" w:right="213" w:firstLine="420"/>
        <w:jc w:val="both"/>
      </w:pPr>
      <w:r>
        <w:rPr/>
        <w:t>注</w:t>
      </w:r>
      <w:r>
        <w:rPr>
          <w:spacing w:val="-55"/>
        </w:rPr>
        <w:t> </w:t>
      </w:r>
      <w:r>
        <w:rPr>
          <w:rFonts w:ascii="宋体" w:hAnsi="宋体" w:cs="宋体" w:eastAsia="宋体" w:hint="default"/>
        </w:rPr>
        <w:t>1</w:t>
      </w:r>
      <w:r>
        <w:rPr/>
        <w:t>：</w:t>
      </w:r>
      <w:r>
        <w:rPr>
          <w:rFonts w:ascii="宋体" w:hAnsi="宋体" w:cs="宋体" w:eastAsia="宋体" w:hint="default"/>
        </w:rPr>
        <w:t>2018</w:t>
      </w:r>
      <w:r>
        <w:rPr>
          <w:rFonts w:ascii="宋体" w:hAnsi="宋体" w:cs="宋体" w:eastAsia="宋体" w:hint="default"/>
          <w:spacing w:val="-57"/>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月，北京奇安信科技有限公司</w:t>
      </w:r>
      <w:r>
        <w:rPr>
          <w:rFonts w:ascii="宋体" w:hAnsi="宋体" w:cs="宋体" w:eastAsia="宋体" w:hint="default"/>
        </w:rPr>
        <w:t>(</w:t>
      </w:r>
      <w:r>
        <w:rPr/>
        <w:t>以下简称“奇安信科技”)吸收合并</w:t>
      </w:r>
      <w:r>
        <w:rPr>
          <w:spacing w:val="-55"/>
        </w:rPr>
        <w:t> </w:t>
      </w:r>
      <w:r>
        <w:rPr>
          <w:rFonts w:ascii="宋体" w:hAnsi="宋体" w:cs="宋体" w:eastAsia="宋体" w:hint="default"/>
        </w:rPr>
        <w:t>360</w:t>
      </w:r>
      <w:r>
        <w:rPr>
          <w:rFonts w:ascii="宋体" w:hAnsi="宋体" w:cs="宋体" w:eastAsia="宋体" w:hint="default"/>
          <w:spacing w:val="-55"/>
        </w:rPr>
        <w:t> </w:t>
      </w:r>
      <w:r>
        <w:rPr/>
        <w:t>企业安全技术</w:t>
      </w:r>
      <w:r>
        <w:rPr>
          <w:rFonts w:ascii="宋体" w:hAnsi="宋体" w:cs="宋体" w:eastAsia="宋体" w:hint="default"/>
        </w:rPr>
        <w:t>(</w:t>
      </w:r>
      <w:r>
        <w:rPr/>
        <w:t>北京</w:t>
      </w:r>
      <w:r>
        <w:rPr>
          <w:rFonts w:ascii="宋体" w:hAnsi="宋体" w:cs="宋体" w:eastAsia="宋体" w:hint="default"/>
        </w:rPr>
        <w:t>)</w:t>
      </w:r>
      <w:r>
        <w:rPr/>
        <w:t>集团有限公司</w:t>
      </w:r>
      <w:r>
        <w:rPr>
          <w:rFonts w:ascii="宋体" w:hAnsi="宋体" w:cs="宋体" w:eastAsia="宋体" w:hint="default"/>
        </w:rPr>
        <w:t>(</w:t>
      </w:r>
      <w:r>
        <w:rPr/>
        <w:t>曾用名：北京</w:t>
      </w:r>
      <w:r>
        <w:rPr>
          <w:spacing w:val="-55"/>
        </w:rPr>
        <w:t> </w:t>
      </w:r>
      <w:r>
        <w:rPr>
          <w:rFonts w:ascii="宋体" w:hAnsi="宋体" w:cs="宋体" w:eastAsia="宋体" w:hint="default"/>
        </w:rPr>
        <w:t>360</w:t>
      </w:r>
      <w:r>
        <w:rPr>
          <w:rFonts w:ascii="宋体" w:hAnsi="宋体" w:cs="宋体" w:eastAsia="宋体" w:hint="default"/>
          <w:spacing w:val="-57"/>
        </w:rPr>
        <w:t> </w:t>
      </w:r>
      <w:r>
        <w:rPr/>
        <w:t>企业</w:t>
      </w:r>
      <w:r>
        <w:rPr>
          <w:w w:val="100"/>
        </w:rPr>
        <w:t> </w:t>
      </w:r>
      <w:r>
        <w:rPr/>
        <w:t>安全科技有限公司</w:t>
      </w:r>
      <w:r>
        <w:rPr>
          <w:rFonts w:ascii="宋体" w:hAnsi="宋体" w:cs="宋体" w:eastAsia="宋体" w:hint="default"/>
        </w:rPr>
        <w:t>)</w:t>
      </w:r>
      <w:r>
        <w:rPr/>
        <w:t>。此次吸收合并完成后，</w:t>
      </w:r>
      <w:r>
        <w:rPr>
          <w:rFonts w:ascii="宋体" w:hAnsi="宋体" w:cs="宋体" w:eastAsia="宋体" w:hint="default"/>
        </w:rPr>
        <w:t>360 </w:t>
      </w:r>
      <w:r>
        <w:rPr>
          <w:spacing w:val="-3"/>
        </w:rPr>
        <w:t>企业安全技术</w:t>
      </w:r>
      <w:r>
        <w:rPr>
          <w:rFonts w:ascii="宋体" w:hAnsi="宋体" w:cs="宋体" w:eastAsia="宋体" w:hint="default"/>
          <w:spacing w:val="-3"/>
        </w:rPr>
        <w:t>(</w:t>
      </w:r>
      <w:r>
        <w:rPr>
          <w:spacing w:val="-3"/>
        </w:rPr>
        <w:t>北京</w:t>
      </w:r>
      <w:r>
        <w:rPr>
          <w:rFonts w:ascii="宋体" w:hAnsi="宋体" w:cs="宋体" w:eastAsia="宋体" w:hint="default"/>
          <w:spacing w:val="-3"/>
        </w:rPr>
        <w:t>)</w:t>
      </w:r>
      <w:r>
        <w:rPr>
          <w:spacing w:val="-3"/>
        </w:rPr>
        <w:t>集团有限公司注销，奇安信科技继续存续，有关资产、业务、债权债务均由奇安信</w:t>
      </w:r>
      <w:r>
        <w:rPr>
          <w:spacing w:val="-75"/>
        </w:rPr>
        <w:t> </w:t>
      </w:r>
      <w:r>
        <w:rPr>
          <w:spacing w:val="-75"/>
        </w:rPr>
      </w:r>
      <w:r>
        <w:rPr/>
        <w:t>科技承继。本年其他权益变动主要为其他投资人增资导致的本集团享有的奇安信科技所有者权益的变动。</w:t>
      </w:r>
    </w:p>
    <w:p>
      <w:pPr>
        <w:spacing w:after="0" w:line="357" w:lineRule="auto"/>
        <w:jc w:val="both"/>
        <w:sectPr>
          <w:pgSz w:w="16840" w:h="11910" w:orient="landscape"/>
          <w:pgMar w:header="857" w:footer="1218" w:top="1320" w:bottom="1400" w:left="1300" w:right="1220"/>
        </w:sectPr>
      </w:pPr>
    </w:p>
    <w:p>
      <w:pPr>
        <w:pStyle w:val="Heading3"/>
        <w:spacing w:line="355" w:lineRule="auto" w:before="21"/>
        <w:ind w:left="144" w:right="118" w:firstLine="480"/>
        <w:jc w:val="both"/>
      </w:pPr>
      <w:r>
        <w:rPr/>
        <w:pict>
          <v:group style="position:absolute;margin-left:74.760002pt;margin-top:2.705642pt;width:695.4pt;height:.1pt;mso-position-horizontal-relative:page;mso-position-vertical-relative:paragraph;z-index:-1036264" coordorigin="1495,54" coordsize="13908,2">
            <v:shape style="position:absolute;left:1495;top:54;width:13908;height:2" coordorigin="1495,54" coordsize="13908,0" path="m1495,54l15403,54e" filled="false" stroked="true" strokeweight=".72pt" strokecolor="#000000">
              <v:path arrowok="t"/>
            </v:shape>
            <w10:wrap type="none"/>
          </v:group>
        </w:pict>
      </w:r>
      <w:r>
        <w:rPr/>
        <w:t>注</w:t>
      </w:r>
      <w:r>
        <w:rPr>
          <w:spacing w:val="-60"/>
        </w:rPr>
        <w:t> </w:t>
      </w:r>
      <w:r>
        <w:rPr>
          <w:rFonts w:ascii="宋体" w:hAnsi="宋体" w:cs="宋体" w:eastAsia="宋体" w:hint="default"/>
          <w:spacing w:val="-5"/>
        </w:rPr>
        <w:t>2</w:t>
      </w:r>
      <w:r>
        <w:rPr>
          <w:spacing w:val="-5"/>
        </w:rPr>
        <w:t>：本集团原持有</w:t>
      </w:r>
      <w:r>
        <w:rPr>
          <w:spacing w:val="-60"/>
        </w:rPr>
        <w:t> </w:t>
      </w:r>
      <w:r>
        <w:rPr>
          <w:rFonts w:ascii="宋体" w:hAnsi="宋体" w:cs="宋体" w:eastAsia="宋体" w:hint="default"/>
        </w:rPr>
        <w:t>Kunhoo</w:t>
      </w:r>
      <w:r>
        <w:rPr>
          <w:rFonts w:ascii="宋体" w:hAnsi="宋体" w:cs="宋体" w:eastAsia="宋体" w:hint="default"/>
          <w:spacing w:val="-60"/>
        </w:rPr>
        <w:t> </w:t>
      </w:r>
      <w:r>
        <w:rPr>
          <w:rFonts w:ascii="宋体" w:hAnsi="宋体" w:cs="宋体" w:eastAsia="宋体" w:hint="default"/>
        </w:rPr>
        <w:t>Software</w:t>
      </w:r>
      <w:r>
        <w:rPr>
          <w:rFonts w:ascii="宋体" w:hAnsi="宋体" w:cs="宋体" w:eastAsia="宋体" w:hint="default"/>
          <w:spacing w:val="-60"/>
        </w:rPr>
        <w:t> </w:t>
      </w:r>
      <w:r>
        <w:rPr>
          <w:rFonts w:ascii="宋体" w:hAnsi="宋体" w:cs="宋体" w:eastAsia="宋体" w:hint="default"/>
        </w:rPr>
        <w:t>LLC</w:t>
      </w:r>
      <w:r>
        <w:rPr>
          <w:rFonts w:ascii="宋体" w:hAnsi="宋体" w:cs="宋体" w:eastAsia="宋体" w:hint="default"/>
          <w:spacing w:val="-60"/>
        </w:rPr>
        <w:t> </w:t>
      </w:r>
      <w:r>
        <w:rPr>
          <w:spacing w:val="-5"/>
        </w:rPr>
        <w:t>的股权。</w:t>
      </w:r>
      <w:r>
        <w:rPr>
          <w:rFonts w:ascii="宋体" w:hAnsi="宋体" w:cs="宋体" w:eastAsia="宋体" w:hint="default"/>
          <w:spacing w:val="-5"/>
        </w:rPr>
        <w:t>2018</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spacing w:val="-5"/>
        </w:rPr>
        <w:t>月，</w:t>
      </w:r>
      <w:r>
        <w:rPr>
          <w:rFonts w:ascii="宋体" w:hAnsi="宋体" w:cs="宋体" w:eastAsia="宋体" w:hint="default"/>
          <w:spacing w:val="-5"/>
        </w:rPr>
        <w:t>Kunhoo</w:t>
      </w:r>
      <w:r>
        <w:rPr>
          <w:rFonts w:ascii="宋体" w:hAnsi="宋体" w:cs="宋体" w:eastAsia="宋体" w:hint="default"/>
          <w:spacing w:val="-60"/>
        </w:rPr>
        <w:t> </w:t>
      </w:r>
      <w:r>
        <w:rPr>
          <w:rFonts w:ascii="宋体" w:hAnsi="宋体" w:cs="宋体" w:eastAsia="宋体" w:hint="default"/>
        </w:rPr>
        <w:t>Software</w:t>
      </w:r>
      <w:r>
        <w:rPr>
          <w:rFonts w:ascii="宋体" w:hAnsi="宋体" w:cs="宋体" w:eastAsia="宋体" w:hint="default"/>
          <w:spacing w:val="-60"/>
        </w:rPr>
        <w:t> </w:t>
      </w:r>
      <w:r>
        <w:rPr>
          <w:rFonts w:ascii="宋体" w:hAnsi="宋体" w:cs="宋体" w:eastAsia="宋体" w:hint="default"/>
        </w:rPr>
        <w:t>LLC</w:t>
      </w:r>
      <w:r>
        <w:rPr>
          <w:rFonts w:ascii="宋体" w:hAnsi="宋体" w:cs="宋体" w:eastAsia="宋体" w:hint="default"/>
          <w:spacing w:val="-60"/>
        </w:rPr>
        <w:t> </w:t>
      </w:r>
      <w:r>
        <w:rPr/>
        <w:t>全体股东股权同比例置换为</w:t>
      </w:r>
      <w:r>
        <w:rPr>
          <w:spacing w:val="-60"/>
        </w:rPr>
        <w:t> </w:t>
      </w:r>
      <w:r>
        <w:rPr>
          <w:rFonts w:ascii="宋体" w:hAnsi="宋体" w:cs="宋体" w:eastAsia="宋体" w:hint="default"/>
        </w:rPr>
        <w:t>Opera</w:t>
      </w:r>
      <w:r>
        <w:rPr>
          <w:rFonts w:ascii="宋体" w:hAnsi="宋体" w:cs="宋体" w:eastAsia="宋体" w:hint="default"/>
          <w:spacing w:val="-60"/>
        </w:rPr>
        <w:t> </w:t>
      </w:r>
      <w:r>
        <w:rPr>
          <w:rFonts w:ascii="宋体" w:hAnsi="宋体" w:cs="宋体" w:eastAsia="宋体" w:hint="default"/>
        </w:rPr>
        <w:t>Limited</w:t>
      </w:r>
      <w:r>
        <w:rPr>
          <w:rFonts w:ascii="宋体" w:hAnsi="宋体" w:cs="宋体" w:eastAsia="宋体" w:hint="default"/>
        </w:rPr>
        <w:t> </w:t>
      </w:r>
      <w:r>
        <w:rPr/>
        <w:t>的股权，</w:t>
      </w:r>
      <w:r>
        <w:rPr>
          <w:rFonts w:ascii="宋体" w:hAnsi="宋体" w:cs="宋体" w:eastAsia="宋体" w:hint="default"/>
        </w:rPr>
        <w:t>Opera Limited</w:t>
      </w:r>
      <w:r>
        <w:rPr>
          <w:rFonts w:ascii="宋体" w:hAnsi="宋体" w:cs="宋体" w:eastAsia="宋体" w:hint="default"/>
          <w:spacing w:val="-60"/>
        </w:rPr>
        <w:t> </w:t>
      </w:r>
      <w:r>
        <w:rPr/>
        <w:t>为</w:t>
      </w:r>
      <w:r>
        <w:rPr>
          <w:spacing w:val="-60"/>
        </w:rPr>
        <w:t> </w:t>
      </w:r>
      <w:r>
        <w:rPr>
          <w:rFonts w:ascii="宋体" w:hAnsi="宋体" w:cs="宋体" w:eastAsia="宋体" w:hint="default"/>
        </w:rPr>
        <w:t>Kunhoo Software LLC</w:t>
      </w:r>
      <w:r>
        <w:rPr>
          <w:rFonts w:ascii="宋体" w:hAnsi="宋体" w:cs="宋体" w:eastAsia="宋体" w:hint="default"/>
          <w:spacing w:val="-60"/>
        </w:rPr>
        <w:t> </w:t>
      </w:r>
      <w:r>
        <w:rPr/>
        <w:t>的母公司。</w:t>
      </w:r>
    </w:p>
    <w:p>
      <w:pPr>
        <w:pStyle w:val="Heading3"/>
        <w:spacing w:line="355" w:lineRule="auto" w:before="38"/>
        <w:ind w:left="144" w:right="133" w:firstLine="480"/>
        <w:jc w:val="both"/>
      </w:pPr>
      <w:r>
        <w:rPr/>
        <w:t>注</w:t>
      </w:r>
      <w:r>
        <w:rPr>
          <w:spacing w:val="-60"/>
        </w:rPr>
        <w:t> </w:t>
      </w:r>
      <w:r>
        <w:rPr>
          <w:rFonts w:ascii="宋体" w:hAnsi="宋体" w:cs="宋体" w:eastAsia="宋体" w:hint="default"/>
        </w:rPr>
        <w:t>3</w:t>
      </w:r>
      <w:r>
        <w:rPr/>
        <w:t>：报告期内，本集团作为有限合伙人对该合伙企业的财务和经营决策具有重大影响但不形成控制，本集团将对该合伙企业的 投资作为按权益法核算的长期股权投资处理。</w:t>
      </w:r>
    </w:p>
    <w:p>
      <w:pPr>
        <w:pStyle w:val="Heading3"/>
        <w:spacing w:line="357" w:lineRule="auto" w:before="38"/>
        <w:ind w:left="144" w:right="117" w:firstLine="480"/>
        <w:jc w:val="both"/>
      </w:pPr>
      <w:r>
        <w:rPr/>
        <w:t>注</w:t>
      </w:r>
      <w:r>
        <w:rPr>
          <w:spacing w:val="-67"/>
        </w:rPr>
        <w:t> </w:t>
      </w:r>
      <w:r>
        <w:rPr>
          <w:rFonts w:ascii="宋体" w:hAnsi="宋体" w:cs="宋体" w:eastAsia="宋体" w:hint="default"/>
          <w:spacing w:val="-5"/>
        </w:rPr>
        <w:t>4</w:t>
      </w:r>
      <w:r>
        <w:rPr>
          <w:spacing w:val="-5"/>
        </w:rPr>
        <w:t>：</w:t>
      </w:r>
      <w:r>
        <w:rPr>
          <w:rFonts w:ascii="宋体" w:hAnsi="宋体" w:cs="宋体" w:eastAsia="宋体" w:hint="default"/>
          <w:spacing w:val="-5"/>
        </w:rPr>
        <w:t>2018</w:t>
      </w:r>
      <w:r>
        <w:rPr>
          <w:rFonts w:ascii="宋体" w:hAnsi="宋体" w:cs="宋体" w:eastAsia="宋体" w:hint="default"/>
          <w:spacing w:val="-67"/>
        </w:rPr>
        <w:t> </w:t>
      </w:r>
      <w:r>
        <w:rPr/>
        <w:t>年</w:t>
      </w:r>
      <w:r>
        <w:rPr>
          <w:spacing w:val="-67"/>
        </w:rPr>
        <w:t> </w:t>
      </w:r>
      <w:r>
        <w:rPr>
          <w:rFonts w:ascii="宋体" w:hAnsi="宋体" w:cs="宋体" w:eastAsia="宋体" w:hint="default"/>
        </w:rPr>
        <w:t>2</w:t>
      </w:r>
      <w:r>
        <w:rPr>
          <w:rFonts w:ascii="宋体" w:hAnsi="宋体" w:cs="宋体" w:eastAsia="宋体" w:hint="default"/>
          <w:spacing w:val="-67"/>
        </w:rPr>
        <w:t> </w:t>
      </w:r>
      <w:r>
        <w:rPr/>
        <w:t>月，本集团对外转让其持有的成都奇鲁科技有限公司</w:t>
      </w:r>
      <w:r>
        <w:rPr>
          <w:rFonts w:ascii="宋体" w:hAnsi="宋体" w:cs="宋体" w:eastAsia="宋体" w:hint="default"/>
        </w:rPr>
        <w:t>(</w:t>
      </w:r>
      <w:r>
        <w:rPr/>
        <w:t>以下简称“成都奇鲁”)5%的股权。</w:t>
      </w:r>
      <w:r>
        <w:rPr>
          <w:rFonts w:ascii="宋体" w:hAnsi="宋体" w:cs="宋体" w:eastAsia="宋体" w:hint="default"/>
        </w:rPr>
        <w:t>2018</w:t>
      </w:r>
      <w:r>
        <w:rPr>
          <w:rFonts w:ascii="宋体" w:hAnsi="宋体" w:cs="宋体" w:eastAsia="宋体" w:hint="default"/>
          <w:spacing w:val="-67"/>
        </w:rPr>
        <w:t> </w:t>
      </w:r>
      <w:r>
        <w:rPr/>
        <w:t>年</w:t>
      </w:r>
      <w:r>
        <w:rPr>
          <w:spacing w:val="-67"/>
        </w:rPr>
        <w:t> </w:t>
      </w:r>
      <w:r>
        <w:rPr>
          <w:rFonts w:ascii="宋体" w:hAnsi="宋体" w:cs="宋体" w:eastAsia="宋体" w:hint="default"/>
        </w:rPr>
        <w:t>7</w:t>
      </w:r>
      <w:r>
        <w:rPr>
          <w:rFonts w:ascii="宋体" w:hAnsi="宋体" w:cs="宋体" w:eastAsia="宋体" w:hint="default"/>
          <w:spacing w:val="-67"/>
        </w:rPr>
        <w:t> </w:t>
      </w:r>
      <w:r>
        <w:rPr>
          <w:spacing w:val="-5"/>
        </w:rPr>
        <w:t>月，成都奇鲁</w:t>
      </w:r>
      <w:r>
        <w:rPr/>
        <w:t> 进行架构重组，</w:t>
      </w:r>
      <w:r>
        <w:rPr>
          <w:rFonts w:ascii="宋体" w:hAnsi="宋体" w:cs="宋体" w:eastAsia="宋体" w:hint="default"/>
        </w:rPr>
        <w:t>360</w:t>
      </w:r>
      <w:r>
        <w:rPr>
          <w:rFonts w:ascii="宋体" w:hAnsi="宋体" w:cs="宋体" w:eastAsia="宋体" w:hint="default"/>
          <w:spacing w:val="-60"/>
        </w:rPr>
        <w:t> </w:t>
      </w:r>
      <w:r>
        <w:rPr/>
        <w:t>鲁大师控股有限公司 </w:t>
      </w:r>
      <w:r>
        <w:rPr>
          <w:rFonts w:ascii="宋体" w:hAnsi="宋体" w:cs="宋体" w:eastAsia="宋体" w:hint="default"/>
        </w:rPr>
        <w:t>(</w:t>
      </w:r>
      <w:r>
        <w:rPr/>
        <w:t>以下简称</w:t>
      </w:r>
      <w:r>
        <w:rPr>
          <w:rFonts w:ascii="宋体" w:hAnsi="宋体" w:cs="宋体" w:eastAsia="宋体" w:hint="default"/>
        </w:rPr>
        <w:t>"360</w:t>
      </w:r>
      <w:r>
        <w:rPr>
          <w:rFonts w:ascii="宋体" w:hAnsi="宋体" w:cs="宋体" w:eastAsia="宋体" w:hint="default"/>
          <w:spacing w:val="-60"/>
        </w:rPr>
        <w:t> </w:t>
      </w:r>
      <w:r>
        <w:rPr/>
        <w:t>鲁大师</w:t>
      </w:r>
      <w:r>
        <w:rPr>
          <w:rFonts w:ascii="宋体" w:hAnsi="宋体" w:cs="宋体" w:eastAsia="宋体" w:hint="default"/>
        </w:rPr>
        <w:t>") </w:t>
      </w:r>
      <w:r>
        <w:rPr/>
        <w:t>成为成都奇鲁的最终控股母公司。成都奇鲁全体股东将其持有的 全部成都奇鲁股权通过一系列合约安排转让给</w:t>
      </w:r>
      <w:r>
        <w:rPr>
          <w:spacing w:val="-59"/>
        </w:rPr>
        <w:t> </w:t>
      </w:r>
      <w:r>
        <w:rPr>
          <w:rFonts w:ascii="宋体" w:hAnsi="宋体" w:cs="宋体" w:eastAsia="宋体" w:hint="default"/>
        </w:rPr>
        <w:t>360</w:t>
      </w:r>
      <w:r>
        <w:rPr>
          <w:rFonts w:ascii="宋体" w:hAnsi="宋体" w:cs="宋体" w:eastAsia="宋体" w:hint="default"/>
          <w:spacing w:val="-60"/>
        </w:rPr>
        <w:t> </w:t>
      </w:r>
      <w:r>
        <w:rPr/>
        <w:t>鲁大师的子公司成都安易迅科技有限公司，以取得对</w:t>
      </w:r>
      <w:r>
        <w:rPr>
          <w:spacing w:val="-59"/>
        </w:rPr>
        <w:t> </w:t>
      </w:r>
      <w:r>
        <w:rPr>
          <w:rFonts w:ascii="宋体" w:hAnsi="宋体" w:cs="宋体" w:eastAsia="宋体" w:hint="default"/>
        </w:rPr>
        <w:t>360</w:t>
      </w:r>
      <w:r>
        <w:rPr>
          <w:rFonts w:ascii="宋体" w:hAnsi="宋体" w:cs="宋体" w:eastAsia="宋体" w:hint="default"/>
          <w:spacing w:val="-60"/>
        </w:rPr>
        <w:t> </w:t>
      </w:r>
      <w:r>
        <w:rPr/>
        <w:t>鲁大师的同比例股权。</w:t>
      </w:r>
    </w:p>
    <w:p>
      <w:pPr>
        <w:pStyle w:val="Heading3"/>
        <w:spacing w:line="357" w:lineRule="auto" w:before="34"/>
        <w:ind w:left="144" w:right="118" w:firstLine="480"/>
        <w:jc w:val="both"/>
      </w:pPr>
      <w:r>
        <w:rPr/>
        <w:t>注</w:t>
      </w:r>
      <w:r>
        <w:rPr>
          <w:spacing w:val="-66"/>
        </w:rPr>
        <w:t> </w:t>
      </w:r>
      <w:r>
        <w:rPr>
          <w:rFonts w:ascii="宋体" w:hAnsi="宋体" w:cs="宋体" w:eastAsia="宋体" w:hint="default"/>
        </w:rPr>
        <w:t>5</w:t>
      </w:r>
      <w:r>
        <w:rPr/>
        <w:t>：</w:t>
      </w:r>
      <w:r>
        <w:rPr>
          <w:spacing w:val="-27"/>
        </w:rPr>
        <w:t> </w:t>
      </w:r>
      <w:r>
        <w:rPr>
          <w:rFonts w:ascii="宋体" w:hAnsi="宋体" w:cs="宋体" w:eastAsia="宋体" w:hint="default"/>
        </w:rPr>
        <w:t>2018</w:t>
      </w:r>
      <w:r>
        <w:rPr>
          <w:rFonts w:ascii="宋体" w:hAnsi="宋体" w:cs="宋体" w:eastAsia="宋体" w:hint="default"/>
          <w:spacing w:val="-66"/>
        </w:rPr>
        <w:t> </w:t>
      </w:r>
      <w:r>
        <w:rPr/>
        <w:t>年</w:t>
      </w:r>
      <w:r>
        <w:rPr>
          <w:spacing w:val="-66"/>
        </w:rPr>
        <w:t> </w:t>
      </w:r>
      <w:r>
        <w:rPr>
          <w:rFonts w:ascii="宋体" w:hAnsi="宋体" w:cs="宋体" w:eastAsia="宋体" w:hint="default"/>
        </w:rPr>
        <w:t>9</w:t>
      </w:r>
      <w:r>
        <w:rPr>
          <w:rFonts w:ascii="宋体" w:hAnsi="宋体" w:cs="宋体" w:eastAsia="宋体" w:hint="default"/>
          <w:spacing w:val="-66"/>
        </w:rPr>
        <w:t> </w:t>
      </w:r>
      <w:r>
        <w:rPr/>
        <w:t>月，本集团对外转让其持有的在线途游</w:t>
      </w:r>
      <w:r>
        <w:rPr>
          <w:rFonts w:ascii="宋体" w:hAnsi="宋体" w:cs="宋体" w:eastAsia="宋体" w:hint="default"/>
        </w:rPr>
        <w:t>(</w:t>
      </w:r>
      <w:r>
        <w:rPr/>
        <w:t>北京</w:t>
      </w:r>
      <w:r>
        <w:rPr>
          <w:rFonts w:ascii="宋体" w:hAnsi="宋体" w:cs="宋体" w:eastAsia="宋体" w:hint="default"/>
        </w:rPr>
        <w:t>)</w:t>
      </w:r>
      <w:r>
        <w:rPr/>
        <w:t>科技有限公司</w:t>
      </w:r>
      <w:r>
        <w:rPr>
          <w:rFonts w:ascii="宋体" w:hAnsi="宋体" w:cs="宋体" w:eastAsia="宋体" w:hint="default"/>
        </w:rPr>
        <w:t>(</w:t>
      </w:r>
      <w:r>
        <w:rPr/>
        <w:t>以下简称“在线途游”)35%的股权。本次交易完成 后，本集团持有在线途游</w:t>
      </w:r>
      <w:r>
        <w:rPr>
          <w:spacing w:val="-60"/>
        </w:rPr>
        <w:t> </w:t>
      </w:r>
      <w:r>
        <w:rPr>
          <w:rFonts w:ascii="宋体" w:hAnsi="宋体" w:cs="宋体" w:eastAsia="宋体" w:hint="default"/>
        </w:rPr>
        <w:t>14.5%</w:t>
      </w:r>
      <w:r>
        <w:rPr/>
        <w:t>的股权，并对该被投资公司的财务和经营决策仍具有重大影响，将该投资继续作为按权益法核算的长 期股权投资。</w:t>
      </w:r>
    </w:p>
    <w:p>
      <w:pPr>
        <w:spacing w:after="0" w:line="357" w:lineRule="auto"/>
        <w:jc w:val="both"/>
        <w:sectPr>
          <w:pgSz w:w="16840" w:h="11910" w:orient="landscape"/>
          <w:pgMar w:header="857" w:footer="1218" w:top="1260" w:bottom="1400" w:left="1380" w:right="1320"/>
        </w:sectPr>
      </w:pPr>
    </w:p>
    <w:p>
      <w:pPr>
        <w:spacing w:line="240" w:lineRule="auto" w:before="0"/>
        <w:rPr>
          <w:rFonts w:ascii="宋体" w:hAnsi="宋体" w:cs="宋体" w:eastAsia="宋体" w:hint="default"/>
          <w:sz w:val="20"/>
          <w:szCs w:val="20"/>
        </w:rPr>
      </w:pPr>
    </w:p>
    <w:p>
      <w:pPr>
        <w:spacing w:line="261" w:lineRule="auto" w:before="182"/>
        <w:ind w:left="237" w:right="6649" w:firstLine="0"/>
        <w:jc w:val="left"/>
        <w:rPr>
          <w:rFonts w:ascii="宋体" w:hAnsi="宋体" w:cs="宋体" w:eastAsia="宋体" w:hint="default"/>
          <w:sz w:val="24"/>
          <w:szCs w:val="24"/>
        </w:rPr>
      </w:pPr>
      <w:r>
        <w:rPr>
          <w:rFonts w:ascii="宋体" w:hAnsi="宋体" w:cs="宋体" w:eastAsia="宋体" w:hint="default"/>
          <w:b/>
          <w:bCs/>
          <w:sz w:val="21"/>
          <w:szCs w:val="21"/>
        </w:rPr>
        <w:t>15</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4"/>
          <w:szCs w:val="24"/>
        </w:rPr>
        <w:t>投资性房地产计量模式 不适用</w:t>
      </w:r>
    </w:p>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headerReference w:type="default" r:id="rId72"/>
          <w:footerReference w:type="default" r:id="rId73"/>
          <w:pgSz w:w="11910" w:h="16840"/>
          <w:pgMar w:header="857" w:footer="1217" w:top="1320" w:bottom="1400" w:left="1040" w:right="1560"/>
          <w:pgNumType w:start="157"/>
        </w:sectPr>
      </w:pPr>
    </w:p>
    <w:p>
      <w:pPr>
        <w:pStyle w:val="Heading5"/>
        <w:spacing w:line="290" w:lineRule="auto" w:before="36"/>
        <w:ind w:left="237" w:right="209"/>
        <w:jc w:val="left"/>
        <w:rPr>
          <w:b w:val="0"/>
          <w:bCs w:val="0"/>
        </w:rPr>
      </w:pPr>
      <w:r>
        <w:rPr>
          <w:rFonts w:ascii="宋体" w:hAnsi="宋体" w:cs="宋体" w:eastAsia="宋体" w:hint="default"/>
        </w:rPr>
        <w:t>16</w:t>
      </w:r>
      <w:r>
        <w:rPr/>
        <w:t>、</w:t>
      </w:r>
      <w:r>
        <w:rPr>
          <w:spacing w:val="-24"/>
        </w:rPr>
        <w:t> </w:t>
      </w:r>
      <w:r>
        <w:rPr/>
        <w:t>固定资产</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1815" w:space="4496"/>
            <w:col w:w="2999"/>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482,359</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355,980</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482,359</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355,980</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320" w:bottom="1400" w:left="1040" w:right="1560"/>
        </w:sectPr>
      </w:pPr>
    </w:p>
    <w:p>
      <w:pPr>
        <w:pStyle w:val="BodyText"/>
        <w:spacing w:line="274" w:lineRule="exact" w:before="36"/>
        <w:ind w:left="237" w:right="-14"/>
        <w:jc w:val="left"/>
      </w:pPr>
      <w:r>
        <w:rPr/>
        <w:t>其他说明：</w:t>
      </w:r>
    </w:p>
    <w:p>
      <w:pPr>
        <w:spacing w:line="290" w:lineRule="auto" w:before="0"/>
        <w:ind w:left="237"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固定资产</w:t>
      </w:r>
      <w:r>
        <w:rPr>
          <w:rFonts w:ascii="宋体" w:hAnsi="宋体" w:cs="宋体" w:eastAsia="宋体" w:hint="default"/>
          <w:b/>
          <w:bCs/>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固定资产情况</w:t>
      </w:r>
      <w:r>
        <w:rPr>
          <w:rFonts w:ascii="宋体" w:hAnsi="宋体" w:cs="宋体" w:eastAsia="宋体" w:hint="default"/>
          <w:sz w:val="21"/>
          <w:szCs w:val="21"/>
        </w:rPr>
      </w:r>
    </w:p>
    <w:p>
      <w:pPr>
        <w:pStyle w:val="BodyText"/>
        <w:spacing w:line="240" w:lineRule="auto" w:before="12"/>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1932" w:space="4378"/>
            <w:col w:w="3000"/>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951"/>
        <w:gridCol w:w="1130"/>
        <w:gridCol w:w="1277"/>
        <w:gridCol w:w="1135"/>
        <w:gridCol w:w="1275"/>
        <w:gridCol w:w="1294"/>
      </w:tblGrid>
      <w:tr>
        <w:trPr>
          <w:trHeight w:val="555"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房屋及建</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筑物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pacing w:val="-1"/>
                <w:sz w:val="21"/>
                <w:szCs w:val="21"/>
              </w:rPr>
              <w:t>办公设备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运输设备及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16,125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sz w:val="21"/>
              </w:rPr>
              <w:t>2,142,288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33,962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4,889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2,197,264</w:t>
            </w:r>
          </w:p>
        </w:tc>
      </w:tr>
      <w:tr>
        <w:trPr>
          <w:trHeight w:val="283"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387,665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sz w:val="21"/>
              </w:rPr>
              <w:t>4,026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sz w:val="21"/>
              </w:rPr>
              <w:t>7,167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398,858</w:t>
            </w:r>
          </w:p>
        </w:tc>
      </w:tr>
      <w:tr>
        <w:trPr>
          <w:trHeight w:val="283"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386,599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4,019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1,857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392,475</w:t>
            </w:r>
          </w:p>
        </w:tc>
      </w:tr>
      <w:tr>
        <w:trPr>
          <w:trHeight w:val="281"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1"/>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）企业合并增加</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227</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5,310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5,537</w:t>
            </w:r>
          </w:p>
        </w:tc>
      </w:tr>
      <w:tr>
        <w:trPr>
          <w:trHeight w:val="283"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11"/>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）汇率变动影响</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z w:val="21"/>
              </w:rPr>
              <w:t>839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w w:val="100"/>
                <w:sz w:val="21"/>
              </w:rPr>
              <w:t>7</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sz w:val="21"/>
              </w:rPr>
              <w:t>846</w:t>
            </w:r>
          </w:p>
        </w:tc>
      </w:tr>
      <w:tr>
        <w:trPr>
          <w:trHeight w:val="283"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71,417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2,367</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73,784</w:t>
            </w:r>
          </w:p>
        </w:tc>
      </w:tr>
      <w:tr>
        <w:trPr>
          <w:trHeight w:val="281"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71,417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2,367</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73,784</w:t>
            </w:r>
          </w:p>
        </w:tc>
      </w:tr>
      <w:tr>
        <w:trPr>
          <w:trHeight w:val="283"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16,125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sz w:val="21"/>
              </w:rPr>
              <w:t>2,458,536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35,621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12,056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2,522,338</w:t>
            </w:r>
          </w:p>
        </w:tc>
      </w:tr>
      <w:tr>
        <w:trPr>
          <w:trHeight w:val="283"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1,527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sz w:val="21"/>
              </w:rPr>
              <w:t>1,819,392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18,268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2,097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1,841,284</w:t>
            </w:r>
          </w:p>
        </w:tc>
      </w:tr>
      <w:tr>
        <w:trPr>
          <w:trHeight w:val="284"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423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261,955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7,802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1,922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272,102</w:t>
            </w:r>
          </w:p>
        </w:tc>
      </w:tr>
      <w:tr>
        <w:trPr>
          <w:trHeight w:val="283"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423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261,118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7,796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1,922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271,259</w:t>
            </w:r>
          </w:p>
        </w:tc>
      </w:tr>
      <w:tr>
        <w:trPr>
          <w:trHeight w:val="281"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1"/>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）汇率变动影响</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837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6</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843</w:t>
            </w:r>
          </w:p>
        </w:tc>
      </w:tr>
      <w:tr>
        <w:trPr>
          <w:trHeight w:val="283"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71,135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2,272</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73,407</w:t>
            </w:r>
          </w:p>
        </w:tc>
      </w:tr>
      <w:tr>
        <w:trPr>
          <w:trHeight w:val="281"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71,135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2,272</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73,407</w:t>
            </w:r>
          </w:p>
        </w:tc>
      </w:tr>
      <w:tr>
        <w:trPr>
          <w:trHeight w:val="283"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z w:val="21"/>
              </w:rPr>
              <w:t>1,950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3" w:right="0"/>
              <w:jc w:val="left"/>
              <w:rPr>
                <w:rFonts w:ascii="宋体" w:hAnsi="宋体" w:cs="宋体" w:eastAsia="宋体" w:hint="default"/>
                <w:sz w:val="21"/>
                <w:szCs w:val="21"/>
              </w:rPr>
            </w:pPr>
            <w:r>
              <w:rPr>
                <w:rFonts w:ascii="宋体"/>
                <w:sz w:val="21"/>
              </w:rPr>
              <w:t>2,010,212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sz w:val="21"/>
              </w:rPr>
              <w:t>23,798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sz w:val="21"/>
              </w:rPr>
              <w:t>4,019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2,039,979</w:t>
            </w:r>
          </w:p>
        </w:tc>
      </w:tr>
      <w:tr>
        <w:trPr>
          <w:trHeight w:val="283"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14,175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448,324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11,823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8,037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482,359</w:t>
            </w:r>
          </w:p>
        </w:tc>
      </w:tr>
      <w:tr>
        <w:trPr>
          <w:trHeight w:val="281"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14,598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322,896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15,694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2,792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355,980</w:t>
            </w:r>
          </w:p>
        </w:tc>
      </w:tr>
    </w:tbl>
    <w:p>
      <w:pPr>
        <w:spacing w:after="0" w:line="241" w:lineRule="exact"/>
        <w:jc w:val="right"/>
        <w:rPr>
          <w:rFonts w:ascii="宋体" w:hAnsi="宋体" w:cs="宋体" w:eastAsia="宋体" w:hint="default"/>
          <w:sz w:val="21"/>
          <w:szCs w:val="21"/>
        </w:rPr>
        <w:sectPr>
          <w:type w:val="continuous"/>
          <w:pgSz w:w="11910" w:h="16840"/>
          <w:pgMar w:top="1320" w:bottom="1400" w:left="1040" w:right="15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5"/>
        <w:spacing w:line="240" w:lineRule="auto"/>
        <w:ind w:left="237" w:right="127"/>
        <w:jc w:val="left"/>
        <w:rPr>
          <w:b w:val="0"/>
          <w:bCs w:val="0"/>
        </w:rPr>
      </w:pPr>
      <w:r>
        <w:rPr>
          <w:rFonts w:ascii="宋体" w:hAnsi="宋体" w:cs="宋体" w:eastAsia="宋体" w:hint="default"/>
        </w:rPr>
        <w:t>(3).</w:t>
      </w:r>
      <w:r>
        <w:rPr/>
        <w:t>暂时闲置的固定资产情况</w:t>
      </w:r>
      <w:r>
        <w:rPr>
          <w:b w:val="0"/>
          <w:bCs w:val="0"/>
        </w:rPr>
      </w:r>
    </w:p>
    <w:p>
      <w:pPr>
        <w:spacing w:line="290" w:lineRule="auto" w:before="56"/>
        <w:ind w:left="237" w:right="546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290" w:lineRule="auto" w:before="12"/>
        <w:ind w:left="237" w:right="588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90" w:lineRule="auto" w:before="12"/>
        <w:ind w:left="237" w:right="56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pStyle w:val="BodyText"/>
        <w:spacing w:line="240" w:lineRule="auto" w:before="12"/>
        <w:ind w:left="237" w:right="7474"/>
        <w:jc w:val="left"/>
      </w:pPr>
      <w:r>
        <w:rPr/>
        <w:t>□适用 √不适用</w:t>
      </w:r>
      <w:r>
        <w:rPr>
          <w:w w:val="100"/>
        </w:rPr>
        <w:t> </w:t>
      </w:r>
      <w:r>
        <w:rPr/>
        <w:t>其他说明：</w:t>
      </w:r>
    </w:p>
    <w:p>
      <w:pPr>
        <w:pStyle w:val="BodyText"/>
        <w:spacing w:line="272" w:lineRule="exact"/>
        <w:ind w:left="237" w:right="127"/>
        <w:jc w:val="left"/>
      </w:pPr>
      <w:r>
        <w:rPr/>
        <w:t>□适用 √不适用</w:t>
      </w:r>
    </w:p>
    <w:p>
      <w:pPr>
        <w:spacing w:line="240" w:lineRule="auto" w:before="2"/>
        <w:rPr>
          <w:rFonts w:ascii="宋体" w:hAnsi="宋体" w:cs="宋体" w:eastAsia="宋体" w:hint="default"/>
          <w:sz w:val="28"/>
          <w:szCs w:val="28"/>
        </w:rPr>
      </w:pPr>
    </w:p>
    <w:p>
      <w:pPr>
        <w:pStyle w:val="Heading5"/>
        <w:spacing w:line="240" w:lineRule="auto"/>
        <w:ind w:left="237" w:right="127"/>
        <w:jc w:val="left"/>
        <w:rPr>
          <w:b w:val="0"/>
          <w:bCs w:val="0"/>
        </w:rPr>
      </w:pPr>
      <w:r>
        <w:rPr/>
        <w:t>固定资产清理</w:t>
      </w:r>
      <w:r>
        <w:rPr>
          <w:b w:val="0"/>
          <w:bCs w:val="0"/>
        </w:rPr>
      </w:r>
    </w:p>
    <w:p>
      <w:pPr>
        <w:pStyle w:val="BodyText"/>
        <w:spacing w:line="240" w:lineRule="auto" w:before="58"/>
        <w:ind w:left="237" w:right="127"/>
        <w:jc w:val="left"/>
      </w:pPr>
      <w:r>
        <w:rPr/>
        <w:t>□适用 √不适用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57" w:footer="1217" w:top="1320" w:bottom="1400" w:left="1040" w:right="1560"/>
        </w:sectPr>
      </w:pPr>
    </w:p>
    <w:p>
      <w:pPr>
        <w:pStyle w:val="Heading5"/>
        <w:spacing w:line="290" w:lineRule="auto" w:before="36"/>
        <w:ind w:left="237" w:right="209"/>
        <w:jc w:val="left"/>
        <w:rPr>
          <w:b w:val="0"/>
          <w:bCs w:val="0"/>
        </w:rPr>
      </w:pPr>
      <w:r>
        <w:rPr>
          <w:rFonts w:ascii="宋体" w:hAnsi="宋体" w:cs="宋体" w:eastAsia="宋体" w:hint="default"/>
        </w:rPr>
        <w:t>17</w:t>
      </w:r>
      <w:r>
        <w:rPr/>
        <w:t>、</w:t>
      </w:r>
      <w:r>
        <w:rPr>
          <w:spacing w:val="-24"/>
        </w:rPr>
        <w:t> </w:t>
      </w:r>
      <w:r>
        <w:rPr/>
        <w:t>在建工程</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1815" w:space="4496"/>
            <w:col w:w="299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237,189</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119,080</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237,189</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pacing w:val="-1"/>
                <w:sz w:val="21"/>
              </w:rPr>
              <w:t>119,080</w:t>
            </w:r>
          </w:p>
        </w:tc>
      </w:tr>
    </w:tbl>
    <w:p>
      <w:pPr>
        <w:spacing w:line="240" w:lineRule="auto" w:before="6"/>
        <w:rPr>
          <w:rFonts w:ascii="宋体" w:hAnsi="宋体" w:cs="宋体" w:eastAsia="宋体" w:hint="default"/>
          <w:sz w:val="18"/>
          <w:szCs w:val="18"/>
        </w:rPr>
      </w:pPr>
    </w:p>
    <w:p>
      <w:pPr>
        <w:pStyle w:val="BodyText"/>
        <w:spacing w:line="273" w:lineRule="exact" w:before="36"/>
        <w:ind w:left="237" w:right="127"/>
        <w:jc w:val="left"/>
      </w:pPr>
      <w:r>
        <w:rPr/>
        <w:t>其他说明：</w:t>
      </w:r>
    </w:p>
    <w:p>
      <w:pPr>
        <w:pStyle w:val="BodyText"/>
        <w:spacing w:line="273" w:lineRule="exact"/>
        <w:ind w:left="237" w:right="127"/>
        <w:jc w:val="left"/>
      </w:pPr>
      <w:r>
        <w:rPr/>
        <w:t>□适用 √不适用</w:t>
      </w:r>
    </w:p>
    <w:p>
      <w:pPr>
        <w:spacing w:after="0" w:line="273" w:lineRule="exact"/>
        <w:jc w:val="left"/>
        <w:sectPr>
          <w:type w:val="continuous"/>
          <w:pgSz w:w="11910" w:h="16840"/>
          <w:pgMar w:top="1320" w:bottom="1400" w:left="1040" w:right="1560"/>
        </w:sectPr>
      </w:pPr>
    </w:p>
    <w:p>
      <w:pPr>
        <w:spacing w:line="240" w:lineRule="auto" w:before="11"/>
        <w:rPr>
          <w:rFonts w:ascii="宋体" w:hAnsi="宋体" w:cs="宋体" w:eastAsia="宋体" w:hint="default"/>
          <w:sz w:val="15"/>
          <w:szCs w:val="15"/>
        </w:rPr>
      </w:pPr>
    </w:p>
    <w:p>
      <w:pPr>
        <w:spacing w:before="44"/>
        <w:ind w:left="3644" w:right="0" w:firstLine="0"/>
        <w:jc w:val="left"/>
        <w:rPr>
          <w:rFonts w:ascii="宋体" w:hAnsi="宋体" w:cs="宋体" w:eastAsia="宋体" w:hint="default"/>
          <w:sz w:val="18"/>
          <w:szCs w:val="18"/>
        </w:rPr>
      </w:pPr>
      <w:r>
        <w:rPr/>
        <w:pict>
          <v:shape style="position:absolute;margin-left:76.25pt;margin-top:-6.848299pt;width:69.361pt;height:19.52pt;mso-position-horizontal-relative:page;mso-position-vertical-relative:paragraph;z-index:1408" type="#_x0000_t75" stroked="false">
            <v:imagedata r:id="rId21" o:title=""/>
          </v:shape>
        </w:pic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3"/>
          <w:szCs w:val="3"/>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74"/>
          <w:footerReference w:type="default" r:id="rId75"/>
          <w:pgSz w:w="16840" w:h="11910" w:orient="landscape"/>
          <w:pgMar w:header="0" w:footer="0" w:top="780" w:bottom="280" w:left="1380" w:right="1280"/>
        </w:sectPr>
      </w:pPr>
    </w:p>
    <w:p>
      <w:pPr>
        <w:pStyle w:val="Heading5"/>
        <w:spacing w:line="290" w:lineRule="auto" w:before="36"/>
        <w:ind w:left="144" w:right="-14"/>
        <w:jc w:val="left"/>
        <w:rPr>
          <w:b w:val="0"/>
          <w:bCs w:val="0"/>
        </w:rPr>
      </w:pPr>
      <w:r>
        <w:rPr/>
        <w:t>在建工程</w:t>
      </w:r>
      <w:r>
        <w:rPr>
          <w:w w:val="100"/>
        </w:rPr>
        <w:t> </w:t>
      </w:r>
      <w:r>
        <w:rPr>
          <w:rFonts w:ascii="宋体" w:hAnsi="宋体" w:cs="宋体" w:eastAsia="宋体" w:hint="default"/>
        </w:rPr>
        <w:t>(2).</w:t>
      </w:r>
      <w:r>
        <w:rPr/>
        <w:t>在建工程情况</w:t>
      </w:r>
      <w:r>
        <w:rPr>
          <w:b w:val="0"/>
          <w:bCs w:val="0"/>
        </w:rPr>
      </w:r>
    </w:p>
    <w:p>
      <w:pPr>
        <w:pStyle w:val="BodyText"/>
        <w:spacing w:line="240" w:lineRule="auto" w:before="12"/>
        <w:ind w:left="144"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406" w:val="left" w:leader="none"/>
        </w:tabs>
        <w:spacing w:line="240" w:lineRule="auto"/>
        <w:ind w:left="144" w:right="0"/>
        <w:jc w:val="left"/>
      </w:pPr>
      <w:r>
        <w:rPr>
          <w:spacing w:val="-1"/>
        </w:rPr>
        <w:t>单位：千元</w:t>
        <w:tab/>
      </w:r>
      <w:r>
        <w:rPr>
          <w:spacing w:val="-2"/>
        </w:rPr>
        <w:t>币种：人民币</w:t>
      </w:r>
    </w:p>
    <w:p>
      <w:pPr>
        <w:spacing w:after="0" w:line="240" w:lineRule="auto"/>
        <w:jc w:val="left"/>
        <w:sectPr>
          <w:type w:val="continuous"/>
          <w:pgSz w:w="16840" w:h="11910" w:orient="landscape"/>
          <w:pgMar w:top="1320" w:bottom="1400" w:left="1380" w:right="1280"/>
          <w:cols w:num="2" w:equalWidth="0">
            <w:col w:w="1839" w:space="9512"/>
            <w:col w:w="2829"/>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902"/>
        <w:gridCol w:w="1841"/>
        <w:gridCol w:w="1843"/>
        <w:gridCol w:w="1822"/>
        <w:gridCol w:w="1822"/>
        <w:gridCol w:w="1841"/>
        <w:gridCol w:w="1865"/>
      </w:tblGrid>
      <w:tr>
        <w:trPr>
          <w:trHeight w:val="283" w:hRule="exact"/>
        </w:trPr>
        <w:tc>
          <w:tcPr>
            <w:tcW w:w="2902"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5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5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2"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天津华苑产业园创新开放平台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7" w:right="0"/>
              <w:jc w:val="left"/>
              <w:rPr>
                <w:rFonts w:ascii="宋体" w:hAnsi="宋体" w:cs="宋体" w:eastAsia="宋体" w:hint="default"/>
                <w:sz w:val="21"/>
                <w:szCs w:val="21"/>
              </w:rPr>
            </w:pPr>
            <w:r>
              <w:rPr>
                <w:rFonts w:ascii="宋体"/>
                <w:sz w:val="21"/>
              </w:rPr>
              <w:t>237,189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237,189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119,080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119,080</w:t>
            </w:r>
          </w:p>
        </w:tc>
      </w:tr>
      <w:tr>
        <w:trPr>
          <w:trHeight w:val="284"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3" w:right="0"/>
              <w:jc w:val="left"/>
              <w:rPr>
                <w:rFonts w:ascii="宋体" w:hAnsi="宋体" w:cs="宋体" w:eastAsia="宋体" w:hint="default"/>
                <w:sz w:val="21"/>
                <w:szCs w:val="21"/>
              </w:rPr>
            </w:pPr>
            <w:r>
              <w:rPr>
                <w:rFonts w:ascii="宋体"/>
                <w:sz w:val="21"/>
              </w:rPr>
              <w:t>237,189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237,189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119,080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119,080</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6840" w:h="11910" w:orient="landscape"/>
          <w:pgMar w:top="1320" w:bottom="1400" w:left="1380" w:right="1280"/>
        </w:sectPr>
      </w:pPr>
    </w:p>
    <w:p>
      <w:pPr>
        <w:pStyle w:val="Heading5"/>
        <w:spacing w:line="240" w:lineRule="auto" w:before="36"/>
        <w:ind w:left="144" w:right="-15"/>
        <w:jc w:val="left"/>
        <w:rPr>
          <w:b w:val="0"/>
          <w:bCs w:val="0"/>
        </w:rPr>
      </w:pPr>
      <w:r>
        <w:rPr>
          <w:rFonts w:ascii="宋体" w:hAnsi="宋体" w:cs="宋体" w:eastAsia="宋体" w:hint="default"/>
        </w:rPr>
        <w:t>(3).</w:t>
      </w:r>
      <w:r>
        <w:rPr/>
        <w:t>重要在建工程项目本期变动情况</w:t>
      </w:r>
      <w:r>
        <w:rPr>
          <w:b w:val="0"/>
          <w:bCs w:val="0"/>
        </w:rPr>
      </w:r>
    </w:p>
    <w:p>
      <w:pPr>
        <w:pStyle w:val="BodyText"/>
        <w:spacing w:line="240" w:lineRule="auto" w:before="56"/>
        <w:ind w:left="14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06" w:val="left" w:leader="none"/>
        </w:tabs>
        <w:spacing w:line="240" w:lineRule="auto"/>
        <w:ind w:left="144" w:right="0"/>
        <w:jc w:val="left"/>
      </w:pPr>
      <w:r>
        <w:rPr>
          <w:spacing w:val="-1"/>
        </w:rPr>
        <w:t>单位：千元</w:t>
        <w:tab/>
      </w:r>
      <w:r>
        <w:rPr>
          <w:spacing w:val="-2"/>
        </w:rPr>
        <w:t>币种：人民币</w:t>
      </w:r>
    </w:p>
    <w:p>
      <w:pPr>
        <w:spacing w:after="0" w:line="240" w:lineRule="auto"/>
        <w:jc w:val="left"/>
        <w:sectPr>
          <w:type w:val="continuous"/>
          <w:pgSz w:w="16840" w:h="11910" w:orient="landscape"/>
          <w:pgMar w:top="1320" w:bottom="1400" w:left="1380" w:right="1280"/>
          <w:cols w:num="2" w:equalWidth="0">
            <w:col w:w="3524" w:space="7827"/>
            <w:col w:w="2829"/>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224"/>
        <w:gridCol w:w="1111"/>
        <w:gridCol w:w="922"/>
        <w:gridCol w:w="1085"/>
        <w:gridCol w:w="1070"/>
        <w:gridCol w:w="1070"/>
        <w:gridCol w:w="1047"/>
        <w:gridCol w:w="1070"/>
        <w:gridCol w:w="1068"/>
        <w:gridCol w:w="1073"/>
        <w:gridCol w:w="1054"/>
        <w:gridCol w:w="1085"/>
        <w:gridCol w:w="1056"/>
      </w:tblGrid>
      <w:tr>
        <w:trPr>
          <w:trHeight w:val="828"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预算数</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4" w:right="293"/>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6" w:right="164" w:hanging="21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left"/>
              <w:rPr>
                <w:rFonts w:ascii="宋体" w:hAnsi="宋体" w:cs="宋体" w:eastAsia="宋体" w:hint="default"/>
                <w:sz w:val="21"/>
                <w:szCs w:val="21"/>
              </w:rPr>
            </w:pPr>
            <w:r>
              <w:rPr>
                <w:rFonts w:ascii="宋体" w:hAnsi="宋体" w:cs="宋体" w:eastAsia="宋体" w:hint="default"/>
                <w:sz w:val="21"/>
                <w:szCs w:val="21"/>
              </w:rPr>
              <w:t>本期转入</w:t>
            </w:r>
          </w:p>
          <w:p>
            <w:pPr>
              <w:pStyle w:val="TableParagraph"/>
              <w:spacing w:line="272" w:lineRule="exact" w:before="27"/>
              <w:ind w:left="283" w:right="141" w:hanging="209"/>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4" w:right="141"/>
              <w:jc w:val="left"/>
              <w:rPr>
                <w:rFonts w:ascii="宋体" w:hAnsi="宋体" w:cs="宋体" w:eastAsia="宋体" w:hint="default"/>
                <w:sz w:val="21"/>
                <w:szCs w:val="21"/>
              </w:rPr>
            </w:pPr>
            <w:r>
              <w:rPr>
                <w:rFonts w:ascii="宋体" w:hAnsi="宋体" w:cs="宋体" w:eastAsia="宋体" w:hint="default"/>
                <w:sz w:val="21"/>
                <w:szCs w:val="21"/>
              </w:rPr>
              <w:t>本期其他</w:t>
            </w:r>
            <w:r>
              <w:rPr>
                <w:rFonts w:ascii="宋体" w:hAnsi="宋体" w:cs="宋体" w:eastAsia="宋体" w:hint="default"/>
                <w:w w:val="100"/>
                <w:sz w:val="21"/>
                <w:szCs w:val="21"/>
              </w:rPr>
              <w:t> </w:t>
            </w:r>
            <w:r>
              <w:rPr>
                <w:rFonts w:ascii="宋体" w:hAnsi="宋体" w:cs="宋体" w:eastAsia="宋体" w:hint="default"/>
                <w:sz w:val="21"/>
                <w:szCs w:val="21"/>
              </w:rPr>
              <w:t>减少金额</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7" w:right="305"/>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工程累计</w:t>
            </w:r>
          </w:p>
          <w:p>
            <w:pPr>
              <w:pStyle w:val="TableParagraph"/>
              <w:spacing w:line="272" w:lineRule="exact" w:before="27"/>
              <w:ind w:left="57" w:right="53" w:firstLine="52"/>
              <w:jc w:val="left"/>
              <w:rPr>
                <w:rFonts w:ascii="宋体" w:hAnsi="宋体" w:cs="宋体" w:eastAsia="宋体" w:hint="default"/>
                <w:sz w:val="21"/>
                <w:szCs w:val="21"/>
              </w:rPr>
            </w:pPr>
            <w:r>
              <w:rPr>
                <w:rFonts w:ascii="宋体" w:hAnsi="宋体" w:cs="宋体" w:eastAsia="宋体" w:hint="default"/>
                <w:sz w:val="21"/>
                <w:szCs w:val="21"/>
              </w:rPr>
              <w:t>投入占预</w:t>
            </w:r>
            <w:r>
              <w:rPr>
                <w:rFonts w:ascii="宋体" w:hAnsi="宋体" w:cs="宋体" w:eastAsia="宋体" w:hint="default"/>
                <w:w w:val="100"/>
                <w:sz w:val="21"/>
                <w:szCs w:val="21"/>
              </w:rPr>
              <w:t> </w:t>
            </w:r>
            <w:r>
              <w:rPr>
                <w:rFonts w:ascii="宋体" w:hAnsi="宋体" w:cs="宋体" w:eastAsia="宋体" w:hint="default"/>
                <w:sz w:val="21"/>
                <w:szCs w:val="21"/>
              </w:rPr>
              <w:t>算比例</w:t>
            </w:r>
            <w:r>
              <w:rPr>
                <w:rFonts w:ascii="宋体" w:hAnsi="宋体" w:cs="宋体" w:eastAsia="宋体" w:hint="default"/>
                <w:sz w:val="21"/>
                <w:szCs w:val="21"/>
              </w:rPr>
              <w:t>(%)</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工程进度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利息资本</w:t>
            </w:r>
          </w:p>
          <w:p>
            <w:pPr>
              <w:pStyle w:val="TableParagraph"/>
              <w:spacing w:line="272" w:lineRule="exact" w:before="27"/>
              <w:ind w:left="427" w:right="106" w:hanging="315"/>
              <w:jc w:val="left"/>
              <w:rPr>
                <w:rFonts w:ascii="宋体" w:hAnsi="宋体" w:cs="宋体" w:eastAsia="宋体" w:hint="default"/>
                <w:sz w:val="21"/>
                <w:szCs w:val="21"/>
              </w:rPr>
            </w:pPr>
            <w:r>
              <w:rPr>
                <w:rFonts w:ascii="宋体" w:hAnsi="宋体" w:cs="宋体" w:eastAsia="宋体" w:hint="default"/>
                <w:sz w:val="21"/>
                <w:szCs w:val="21"/>
              </w:rPr>
              <w:t>化累计金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hanging="75"/>
              <w:jc w:val="left"/>
              <w:rPr>
                <w:rFonts w:ascii="宋体" w:hAnsi="宋体" w:cs="宋体" w:eastAsia="宋体" w:hint="default"/>
                <w:sz w:val="21"/>
                <w:szCs w:val="21"/>
              </w:rPr>
            </w:pPr>
            <w:r>
              <w:rPr>
                <w:rFonts w:ascii="宋体" w:hAnsi="宋体" w:cs="宋体" w:eastAsia="宋体" w:hint="default"/>
                <w:spacing w:val="-13"/>
                <w:sz w:val="21"/>
                <w:szCs w:val="21"/>
              </w:rPr>
              <w:t>其中：本期</w:t>
            </w:r>
          </w:p>
          <w:p>
            <w:pPr>
              <w:pStyle w:val="TableParagraph"/>
              <w:spacing w:line="272" w:lineRule="exact" w:before="27"/>
              <w:ind w:left="206" w:right="98" w:hanging="106"/>
              <w:jc w:val="left"/>
              <w:rPr>
                <w:rFonts w:ascii="宋体" w:hAnsi="宋体" w:cs="宋体" w:eastAsia="宋体" w:hint="default"/>
                <w:sz w:val="21"/>
                <w:szCs w:val="21"/>
              </w:rPr>
            </w:pPr>
            <w:r>
              <w:rPr>
                <w:rFonts w:ascii="宋体" w:hAnsi="宋体" w:cs="宋体" w:eastAsia="宋体" w:hint="default"/>
                <w:sz w:val="21"/>
                <w:szCs w:val="21"/>
              </w:rPr>
              <w:t>利息资本</w:t>
            </w:r>
            <w:r>
              <w:rPr>
                <w:rFonts w:ascii="宋体" w:hAnsi="宋体" w:cs="宋体" w:eastAsia="宋体" w:hint="default"/>
                <w:w w:val="100"/>
                <w:sz w:val="21"/>
                <w:szCs w:val="21"/>
              </w:rPr>
              <w:t> </w:t>
            </w:r>
            <w:r>
              <w:rPr>
                <w:rFonts w:ascii="宋体" w:hAnsi="宋体" w:cs="宋体" w:eastAsia="宋体" w:hint="default"/>
                <w:sz w:val="21"/>
                <w:szCs w:val="21"/>
              </w:rPr>
              <w:t>化金额</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本期利息</w:t>
            </w:r>
          </w:p>
          <w:p>
            <w:pPr>
              <w:pStyle w:val="TableParagraph"/>
              <w:spacing w:line="272" w:lineRule="exact" w:before="27"/>
              <w:ind w:left="379" w:right="113" w:hanging="262"/>
              <w:jc w:val="left"/>
              <w:rPr>
                <w:rFonts w:ascii="宋体" w:hAnsi="宋体" w:cs="宋体" w:eastAsia="宋体" w:hint="default"/>
                <w:sz w:val="21"/>
                <w:szCs w:val="21"/>
              </w:rPr>
            </w:pPr>
            <w:r>
              <w:rPr>
                <w:rFonts w:ascii="宋体" w:hAnsi="宋体" w:cs="宋体" w:eastAsia="宋体" w:hint="default"/>
                <w:sz w:val="21"/>
                <w:szCs w:val="21"/>
              </w:rPr>
              <w:t>资本化率</w:t>
            </w:r>
            <w:r>
              <w:rPr>
                <w:rFonts w:ascii="宋体" w:hAnsi="宋体" w:cs="宋体" w:eastAsia="宋体" w:hint="default"/>
                <w:w w:val="100"/>
                <w:sz w:val="21"/>
                <w:szCs w:val="21"/>
              </w:rPr>
              <w:t> </w:t>
            </w:r>
            <w:r>
              <w:rPr>
                <w:rFonts w:ascii="宋体" w:hAnsi="宋体" w:cs="宋体" w:eastAsia="宋体" w:hint="default"/>
                <w:sz w:val="21"/>
                <w:szCs w:val="21"/>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资金来源</w:t>
            </w:r>
          </w:p>
        </w:tc>
      </w:tr>
      <w:tr>
        <w:trPr>
          <w:trHeight w:val="826"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天津华苑产</w:t>
            </w:r>
          </w:p>
          <w:p>
            <w:pPr>
              <w:pStyle w:val="TableParagraph"/>
              <w:spacing w:line="240" w:lineRule="auto"/>
              <w:ind w:left="26" w:right="132"/>
              <w:jc w:val="left"/>
              <w:rPr>
                <w:rFonts w:ascii="宋体" w:hAnsi="宋体" w:cs="宋体" w:eastAsia="宋体" w:hint="default"/>
                <w:sz w:val="21"/>
                <w:szCs w:val="21"/>
              </w:rPr>
            </w:pPr>
            <w:r>
              <w:rPr>
                <w:rFonts w:ascii="宋体" w:hAnsi="宋体" w:cs="宋体" w:eastAsia="宋体" w:hint="default"/>
                <w:sz w:val="21"/>
                <w:szCs w:val="21"/>
              </w:rPr>
              <w:t>业园创新开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放平台</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center"/>
              <w:rPr>
                <w:rFonts w:ascii="宋体" w:hAnsi="宋体" w:cs="宋体" w:eastAsia="宋体" w:hint="default"/>
                <w:sz w:val="21"/>
                <w:szCs w:val="21"/>
              </w:rPr>
            </w:pPr>
            <w:r>
              <w:rPr>
                <w:rFonts w:ascii="宋体"/>
                <w:sz w:val="21"/>
              </w:rPr>
              <w:t>1,931,362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119,080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126,834</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8,725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237,189</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11" w:right="0"/>
              <w:jc w:val="left"/>
              <w:rPr>
                <w:rFonts w:ascii="宋体" w:hAnsi="宋体" w:cs="宋体" w:eastAsia="宋体" w:hint="default"/>
                <w:sz w:val="21"/>
                <w:szCs w:val="21"/>
              </w:rPr>
            </w:pPr>
            <w:r>
              <w:rPr>
                <w:rFonts w:ascii="宋体"/>
                <w:sz w:val="21"/>
              </w:rPr>
              <w:t>12.28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08" w:right="0"/>
              <w:jc w:val="left"/>
              <w:rPr>
                <w:rFonts w:ascii="宋体" w:hAnsi="宋体" w:cs="宋体" w:eastAsia="宋体" w:hint="default"/>
                <w:sz w:val="21"/>
                <w:szCs w:val="21"/>
              </w:rPr>
            </w:pPr>
            <w:r>
              <w:rPr>
                <w:rFonts w:ascii="宋体"/>
                <w:sz w:val="21"/>
              </w:rPr>
              <w:t>12.28</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02" w:right="0"/>
              <w:jc w:val="left"/>
              <w:rPr>
                <w:rFonts w:ascii="宋体" w:hAnsi="宋体" w:cs="宋体" w:eastAsia="宋体" w:hint="default"/>
                <w:sz w:val="21"/>
                <w:szCs w:val="21"/>
              </w:rPr>
            </w:pPr>
            <w:r>
              <w:rPr>
                <w:rFonts w:ascii="宋体" w:hAnsi="宋体" w:cs="宋体" w:eastAsia="宋体" w:hint="default"/>
                <w:sz w:val="21"/>
                <w:szCs w:val="21"/>
              </w:rPr>
              <w:t>自筹</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center"/>
              <w:rPr>
                <w:rFonts w:ascii="宋体" w:hAnsi="宋体" w:cs="宋体" w:eastAsia="宋体" w:hint="default"/>
                <w:sz w:val="21"/>
                <w:szCs w:val="21"/>
              </w:rPr>
            </w:pPr>
            <w:r>
              <w:rPr>
                <w:rFonts w:ascii="宋体"/>
                <w:sz w:val="21"/>
              </w:rPr>
              <w:t>1,931,362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119,080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126,834</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8,725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237,189</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0"/>
              <w:jc w:val="center"/>
              <w:rPr>
                <w:rFonts w:ascii="宋体" w:hAnsi="宋体" w:cs="宋体" w:eastAsia="宋体" w:hint="default"/>
                <w:sz w:val="21"/>
                <w:szCs w:val="21"/>
              </w:rPr>
            </w:pPr>
            <w:r>
              <w:rPr>
                <w:rFonts w:ascii="宋体"/>
                <w:w w:val="100"/>
                <w:sz w:val="21"/>
              </w:rPr>
              <w:t>/</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8"/>
              <w:jc w:val="center"/>
              <w:rPr>
                <w:rFonts w:ascii="宋体" w:hAnsi="宋体" w:cs="宋体" w:eastAsia="宋体" w:hint="default"/>
                <w:sz w:val="21"/>
                <w:szCs w:val="21"/>
              </w:rPr>
            </w:pPr>
            <w:r>
              <w:rPr>
                <w:rFonts w:ascii="宋体"/>
                <w:w w:val="100"/>
                <w:sz w:val="21"/>
              </w:rPr>
              <w:t>/</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0"/>
              <w:jc w:val="center"/>
              <w:rPr>
                <w:rFonts w:ascii="宋体" w:hAnsi="宋体" w:cs="宋体" w:eastAsia="宋体" w:hint="default"/>
                <w:sz w:val="21"/>
                <w:szCs w:val="21"/>
              </w:rPr>
            </w:pPr>
            <w:r>
              <w:rPr>
                <w:rFonts w:ascii="宋体"/>
                <w:w w:val="100"/>
                <w:sz w:val="21"/>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0"/>
              <w:jc w:val="center"/>
              <w:rPr>
                <w:rFonts w:ascii="宋体" w:hAnsi="宋体" w:cs="宋体" w:eastAsia="宋体" w:hint="default"/>
                <w:sz w:val="21"/>
                <w:szCs w:val="21"/>
              </w:rPr>
            </w:pPr>
            <w:r>
              <w:rPr>
                <w:rFonts w:ascii="宋体"/>
                <w:w w:val="100"/>
                <w:sz w:val="21"/>
              </w:rPr>
              <w:t>/</w:t>
            </w:r>
          </w:p>
        </w:tc>
      </w:tr>
    </w:tbl>
    <w:p>
      <w:pPr>
        <w:spacing w:line="240" w:lineRule="auto" w:before="1"/>
        <w:rPr>
          <w:rFonts w:ascii="宋体" w:hAnsi="宋体" w:cs="宋体" w:eastAsia="宋体" w:hint="default"/>
          <w:sz w:val="23"/>
          <w:szCs w:val="23"/>
        </w:rPr>
      </w:pPr>
    </w:p>
    <w:p>
      <w:pPr>
        <w:pStyle w:val="Heading5"/>
        <w:spacing w:line="240" w:lineRule="auto" w:before="36"/>
        <w:ind w:left="144" w:right="0"/>
        <w:jc w:val="left"/>
        <w:rPr>
          <w:b w:val="0"/>
          <w:bCs w:val="0"/>
        </w:rPr>
      </w:pPr>
      <w:r>
        <w:rPr>
          <w:rFonts w:ascii="宋体" w:hAnsi="宋体" w:cs="宋体" w:eastAsia="宋体" w:hint="default"/>
        </w:rPr>
        <w:t>(4).</w:t>
      </w:r>
      <w:r>
        <w:rPr/>
        <w:t>本期计提在建工程减值准备情况</w:t>
      </w:r>
      <w:r>
        <w:rPr>
          <w:b w:val="0"/>
          <w:bCs w:val="0"/>
        </w:rPr>
      </w:r>
    </w:p>
    <w:p>
      <w:pPr>
        <w:pStyle w:val="BodyText"/>
        <w:spacing w:line="240" w:lineRule="auto" w:before="56"/>
        <w:ind w:left="144" w:right="12439"/>
        <w:jc w:val="left"/>
      </w:pPr>
      <w:r>
        <w:rPr/>
        <w:t>□适用 √不适用</w:t>
      </w:r>
      <w:r>
        <w:rPr>
          <w:w w:val="100"/>
        </w:rPr>
        <w:t> </w:t>
      </w:r>
      <w:r>
        <w:rPr/>
        <w:t>其他说明</w:t>
      </w:r>
    </w:p>
    <w:p>
      <w:pPr>
        <w:pStyle w:val="BodyText"/>
        <w:spacing w:line="271" w:lineRule="exact"/>
        <w:ind w:left="144" w:right="0"/>
        <w:jc w:val="left"/>
      </w:pPr>
      <w:r>
        <w:rPr/>
        <w:t>□适用 √不适用</w:t>
      </w:r>
    </w:p>
    <w:p>
      <w:pPr>
        <w:spacing w:line="240" w:lineRule="auto" w:before="3"/>
        <w:rPr>
          <w:rFonts w:ascii="宋体" w:hAnsi="宋体" w:cs="宋体" w:eastAsia="宋体" w:hint="default"/>
          <w:sz w:val="25"/>
          <w:szCs w:val="25"/>
        </w:rPr>
      </w:pPr>
    </w:p>
    <w:p>
      <w:pPr>
        <w:pStyle w:val="Heading5"/>
        <w:spacing w:line="290" w:lineRule="auto"/>
        <w:ind w:left="144" w:right="12326"/>
        <w:jc w:val="left"/>
        <w:rPr>
          <w:b w:val="0"/>
          <w:bCs w:val="0"/>
        </w:rPr>
      </w:pPr>
      <w:r>
        <w:rPr/>
        <w:t>工程物资</w:t>
      </w:r>
      <w:r>
        <w:rPr>
          <w:w w:val="100"/>
        </w:rPr>
        <w:t> </w:t>
      </w:r>
      <w:r>
        <w:rPr>
          <w:rFonts w:ascii="宋体" w:hAnsi="宋体" w:cs="宋体" w:eastAsia="宋体" w:hint="default"/>
        </w:rPr>
        <w:t>(5).</w:t>
      </w:r>
      <w:r>
        <w:rPr/>
        <w:t>工程物资情况</w:t>
      </w:r>
      <w:r>
        <w:rPr>
          <w:b w:val="0"/>
          <w:bCs w:val="0"/>
        </w:rPr>
      </w:r>
    </w:p>
    <w:p>
      <w:pPr>
        <w:pStyle w:val="BodyText"/>
        <w:spacing w:line="240" w:lineRule="auto" w:before="12"/>
        <w:ind w:left="144" w:right="0"/>
        <w:jc w:val="left"/>
      </w:pPr>
      <w:r>
        <w:rPr/>
        <w:t>□适用 √不适用</w:t>
      </w:r>
    </w:p>
    <w:p>
      <w:pPr>
        <w:spacing w:line="240" w:lineRule="auto" w:before="1"/>
        <w:rPr>
          <w:rFonts w:ascii="宋体" w:hAnsi="宋体" w:cs="宋体" w:eastAsia="宋体" w:hint="default"/>
          <w:sz w:val="29"/>
          <w:szCs w:val="29"/>
        </w:rPr>
      </w:pPr>
    </w:p>
    <w:p>
      <w:pPr>
        <w:spacing w:before="44"/>
        <w:ind w:left="6654" w:right="6669" w:firstLine="0"/>
        <w:jc w:val="center"/>
        <w:rPr>
          <w:rFonts w:ascii="宋体" w:hAnsi="宋体" w:cs="宋体" w:eastAsia="宋体" w:hint="default"/>
          <w:sz w:val="18"/>
          <w:szCs w:val="18"/>
        </w:rPr>
      </w:pPr>
      <w:r>
        <w:rPr>
          <w:rFonts w:ascii="宋体"/>
          <w:b/>
          <w:sz w:val="18"/>
        </w:rPr>
        <w:t>159 </w:t>
      </w:r>
      <w:r>
        <w:rPr>
          <w:rFonts w:ascii="宋体"/>
          <w:sz w:val="18"/>
        </w:rPr>
        <w:t>/</w:t>
      </w:r>
      <w:r>
        <w:rPr>
          <w:rFonts w:ascii="宋体"/>
          <w:spacing w:val="-1"/>
          <w:sz w:val="18"/>
        </w:rPr>
        <w:t> </w:t>
      </w:r>
      <w:r>
        <w:rPr>
          <w:rFonts w:ascii="宋体"/>
          <w:b/>
          <w:sz w:val="18"/>
        </w:rPr>
        <w:t>220</w:t>
      </w:r>
      <w:r>
        <w:rPr>
          <w:rFonts w:ascii="宋体"/>
          <w:sz w:val="18"/>
        </w:rPr>
      </w:r>
    </w:p>
    <w:p>
      <w:pPr>
        <w:spacing w:after="0"/>
        <w:jc w:val="center"/>
        <w:rPr>
          <w:rFonts w:ascii="宋体" w:hAnsi="宋体" w:cs="宋体" w:eastAsia="宋体" w:hint="default"/>
          <w:sz w:val="18"/>
          <w:szCs w:val="18"/>
        </w:rPr>
        <w:sectPr>
          <w:type w:val="continuous"/>
          <w:pgSz w:w="16840" w:h="11910" w:orient="landscape"/>
          <w:pgMar w:top="1320" w:bottom="1400" w:left="1380" w:right="128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Heading5"/>
        <w:spacing w:line="290" w:lineRule="auto"/>
        <w:ind w:left="217" w:right="5253"/>
        <w:jc w:val="left"/>
        <w:rPr>
          <w:b w:val="0"/>
          <w:bCs w:val="0"/>
        </w:rPr>
      </w:pPr>
      <w:r>
        <w:rPr>
          <w:rFonts w:ascii="宋体" w:hAnsi="宋体" w:cs="宋体" w:eastAsia="宋体" w:hint="default"/>
        </w:rPr>
        <w:t>18</w:t>
      </w:r>
      <w:r>
        <w:rPr/>
        <w:t>、</w:t>
      </w:r>
      <w:r>
        <w:rPr>
          <w:spacing w:val="-25"/>
        </w:rPr>
        <w:t> </w:t>
      </w:r>
      <w:r>
        <w:rPr/>
        <w:t>生产性生物资产</w:t>
      </w:r>
      <w:r>
        <w:rPr>
          <w:spacing w:val="-104"/>
        </w:rPr>
        <w:t> </w:t>
      </w:r>
      <w:r>
        <w:rPr>
          <w:spacing w:val="-104"/>
        </w:rPr>
      </w:r>
      <w:r>
        <w:rPr>
          <w:rFonts w:ascii="宋体" w:hAnsi="宋体" w:cs="宋体" w:eastAsia="宋体" w:hint="default"/>
        </w:rPr>
        <w:t>(1).</w:t>
      </w:r>
      <w:r>
        <w:rPr/>
        <w:t>采用成本计量模式的生产性生物资产</w:t>
      </w:r>
      <w:r>
        <w:rPr>
          <w:b w:val="0"/>
          <w:bCs w:val="0"/>
        </w:rPr>
      </w:r>
    </w:p>
    <w:p>
      <w:pPr>
        <w:spacing w:line="290" w:lineRule="auto" w:before="14"/>
        <w:ind w:left="217" w:right="48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pStyle w:val="BodyText"/>
        <w:spacing w:line="270" w:lineRule="exact" w:before="14"/>
        <w:ind w:left="217" w:right="234"/>
        <w:jc w:val="left"/>
      </w:pPr>
      <w:r>
        <w:rPr/>
        <w:t>□适用 √不适用</w:t>
      </w:r>
    </w:p>
    <w:p>
      <w:pPr>
        <w:pStyle w:val="Heading3"/>
        <w:spacing w:line="309" w:lineRule="exact"/>
        <w:ind w:left="217" w:right="234"/>
        <w:jc w:val="left"/>
      </w:pPr>
      <w:r>
        <w:rPr/>
        <w:t>其他说明</w:t>
      </w:r>
    </w:p>
    <w:p>
      <w:pPr>
        <w:pStyle w:val="BodyText"/>
        <w:spacing w:line="240" w:lineRule="auto" w:before="4"/>
        <w:ind w:left="217" w:right="234"/>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left="217" w:right="234"/>
        <w:jc w:val="left"/>
        <w:rPr>
          <w:b w:val="0"/>
          <w:bCs w:val="0"/>
        </w:rPr>
      </w:pPr>
      <w:r>
        <w:rPr>
          <w:rFonts w:ascii="宋体" w:hAnsi="宋体" w:cs="宋体" w:eastAsia="宋体" w:hint="default"/>
        </w:rPr>
        <w:t>19</w:t>
      </w:r>
      <w:r>
        <w:rPr/>
        <w:t>、</w:t>
      </w:r>
      <w:r>
        <w:rPr>
          <w:spacing w:val="-24"/>
        </w:rPr>
        <w:t> </w:t>
      </w:r>
      <w:r>
        <w:rPr/>
        <w:t>油气资产</w:t>
      </w:r>
      <w:r>
        <w:rPr>
          <w:b w:val="0"/>
          <w:bCs w:val="0"/>
        </w:rPr>
      </w:r>
    </w:p>
    <w:p>
      <w:pPr>
        <w:pStyle w:val="BodyText"/>
        <w:spacing w:line="240" w:lineRule="auto" w:before="56"/>
        <w:ind w:left="217" w:right="234"/>
        <w:jc w:val="left"/>
      </w:pPr>
      <w:r>
        <w:rPr/>
        <w:t>□适用 √不适用</w:t>
      </w: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76"/>
          <w:pgSz w:w="11910" w:h="16840"/>
          <w:pgMar w:footer="1217" w:header="0" w:top="1320" w:bottom="1400" w:left="1060" w:right="1560"/>
          <w:pgNumType w:start="160"/>
        </w:sectPr>
      </w:pPr>
    </w:p>
    <w:p>
      <w:pPr>
        <w:pStyle w:val="Heading5"/>
        <w:spacing w:line="290" w:lineRule="auto" w:before="36"/>
        <w:ind w:left="217" w:right="-14"/>
        <w:jc w:val="left"/>
        <w:rPr>
          <w:b w:val="0"/>
          <w:bCs w:val="0"/>
        </w:rPr>
      </w:pPr>
      <w:r>
        <w:rPr>
          <w:rFonts w:ascii="宋体" w:hAnsi="宋体" w:cs="宋体" w:eastAsia="宋体" w:hint="default"/>
        </w:rPr>
        <w:t>20</w:t>
      </w:r>
      <w:r>
        <w:rPr/>
        <w:t>、</w:t>
      </w:r>
      <w:r>
        <w:rPr>
          <w:spacing w:val="-25"/>
        </w:rPr>
        <w:t> </w:t>
      </w:r>
      <w:r>
        <w:rPr/>
        <w:t>无形资产</w:t>
      </w:r>
      <w:r>
        <w:rPr>
          <w:w w:val="100"/>
        </w:rPr>
        <w:t> </w:t>
      </w:r>
      <w:r>
        <w:rPr>
          <w:rFonts w:ascii="宋体" w:hAnsi="宋体" w:cs="宋体" w:eastAsia="宋体" w:hint="default"/>
        </w:rPr>
        <w:t>(1).</w:t>
      </w:r>
      <w:r>
        <w:rPr/>
        <w:t>无形资产情况</w:t>
      </w:r>
      <w:r>
        <w:rPr>
          <w:b w:val="0"/>
          <w:bCs w:val="0"/>
        </w:rPr>
      </w:r>
    </w:p>
    <w:p>
      <w:pPr>
        <w:pStyle w:val="BodyText"/>
        <w:tabs>
          <w:tab w:pos="1059" w:val="left" w:leader="none"/>
        </w:tabs>
        <w:spacing w:line="240" w:lineRule="auto" w:before="12"/>
        <w:ind w:left="217" w:right="-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479" w:val="left" w:leader="none"/>
        </w:tabs>
        <w:spacing w:line="240" w:lineRule="auto"/>
        <w:ind w:left="21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60" w:right="1560"/>
          <w:cols w:num="2" w:equalWidth="0">
            <w:col w:w="1912" w:space="4398"/>
            <w:col w:w="2980"/>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31"/>
        <w:gridCol w:w="1565"/>
        <w:gridCol w:w="936"/>
        <w:gridCol w:w="936"/>
        <w:gridCol w:w="950"/>
        <w:gridCol w:w="1431"/>
      </w:tblGrid>
      <w:tr>
        <w:trPr>
          <w:trHeight w:val="554"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软件使</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用权</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4"/>
              <w:jc w:val="right"/>
              <w:rPr>
                <w:rFonts w:ascii="宋体" w:hAnsi="宋体" w:cs="宋体" w:eastAsia="宋体" w:hint="default"/>
                <w:sz w:val="21"/>
                <w:szCs w:val="21"/>
              </w:rPr>
            </w:pPr>
            <w:r>
              <w:rPr>
                <w:rFonts w:ascii="宋体" w:hAnsi="宋体" w:cs="宋体" w:eastAsia="宋体" w:hint="default"/>
                <w:sz w:val="21"/>
                <w:szCs w:val="21"/>
              </w:rPr>
              <w:t>专利权</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非专利</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技术</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6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86,599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z w:val="21"/>
              </w:rPr>
              <w:t>25,721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26,953</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368,460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507,733</w:t>
            </w:r>
          </w:p>
        </w:tc>
      </w:tr>
      <w:tr>
        <w:trPr>
          <w:trHeight w:val="35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6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z w:val="21"/>
              </w:rPr>
              <w:t>1,922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58,248</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3,883</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64,053</w:t>
            </w:r>
          </w:p>
        </w:tc>
      </w:tr>
      <w:tr>
        <w:trPr>
          <w:trHeight w:val="351"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56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宋体" w:hAnsi="宋体" w:cs="宋体" w:eastAsia="宋体" w:hint="default"/>
                <w:sz w:val="21"/>
                <w:szCs w:val="21"/>
              </w:rPr>
            </w:pPr>
            <w:r>
              <w:rPr>
                <w:rFonts w:ascii="宋体"/>
                <w:sz w:val="21"/>
              </w:rPr>
              <w:t>1,922</w:t>
            </w:r>
          </w:p>
        </w:tc>
        <w:tc>
          <w:tcPr>
            <w:tcW w:w="936"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宋体" w:hAnsi="宋体" w:cs="宋体" w:eastAsia="宋体" w:hint="default"/>
                <w:sz w:val="21"/>
                <w:szCs w:val="21"/>
              </w:rPr>
            </w:pPr>
            <w:r>
              <w:rPr>
                <w:rFonts w:ascii="宋体"/>
                <w:sz w:val="21"/>
              </w:rPr>
              <w:t>2,385</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宋体" w:hAnsi="宋体" w:cs="宋体" w:eastAsia="宋体" w:hint="default"/>
                <w:sz w:val="21"/>
                <w:szCs w:val="21"/>
              </w:rPr>
            </w:pPr>
            <w:r>
              <w:rPr>
                <w:rFonts w:ascii="宋体"/>
                <w:sz w:val="21"/>
              </w:rPr>
              <w:t>4,307</w:t>
            </w:r>
          </w:p>
        </w:tc>
      </w:tr>
      <w:tr>
        <w:trPr>
          <w:trHeight w:val="35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企业合并增加</w:t>
            </w:r>
          </w:p>
        </w:tc>
        <w:tc>
          <w:tcPr>
            <w:tcW w:w="156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58,026</w:t>
            </w:r>
          </w:p>
        </w:tc>
        <w:tc>
          <w:tcPr>
            <w:tcW w:w="950"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58,026</w:t>
            </w:r>
          </w:p>
        </w:tc>
      </w:tr>
      <w:tr>
        <w:trPr>
          <w:trHeight w:val="281"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汇率变动影响</w:t>
            </w:r>
          </w:p>
        </w:tc>
        <w:tc>
          <w:tcPr>
            <w:tcW w:w="156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1,498</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1,720</w:t>
            </w:r>
          </w:p>
        </w:tc>
      </w:tr>
      <w:tr>
        <w:trPr>
          <w:trHeight w:val="35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6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86,599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z w:val="21"/>
              </w:rPr>
              <w:t>27,643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85,201</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372,343</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571,786</w:t>
            </w:r>
          </w:p>
        </w:tc>
      </w:tr>
      <w:tr>
        <w:trPr>
          <w:trHeight w:val="35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56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3,731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z w:val="21"/>
              </w:rPr>
              <w:t>24,406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19,500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105,725</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153,362</w:t>
            </w:r>
          </w:p>
        </w:tc>
      </w:tr>
      <w:tr>
        <w:trPr>
          <w:trHeight w:val="348"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1,732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785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11,376</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23,683</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37,576</w:t>
            </w:r>
          </w:p>
        </w:tc>
      </w:tr>
      <w:tr>
        <w:trPr>
          <w:trHeight w:val="35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1,732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785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11,376</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22,949</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36,842</w:t>
            </w:r>
          </w:p>
        </w:tc>
      </w:tr>
      <w:tr>
        <w:trPr>
          <w:trHeight w:val="284"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汇率变动影响</w:t>
            </w:r>
          </w:p>
        </w:tc>
        <w:tc>
          <w:tcPr>
            <w:tcW w:w="156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734</w:t>
            </w:r>
          </w:p>
        </w:tc>
      </w:tr>
      <w:tr>
        <w:trPr>
          <w:trHeight w:val="35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6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5,463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z w:val="21"/>
              </w:rPr>
              <w:t>25,191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30,876</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129,408</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190,938</w:t>
            </w:r>
          </w:p>
        </w:tc>
      </w:tr>
      <w:tr>
        <w:trPr>
          <w:trHeight w:val="35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6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6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4,413</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36,395</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40,808</w:t>
            </w:r>
          </w:p>
        </w:tc>
      </w:tr>
      <w:tr>
        <w:trPr>
          <w:trHeight w:val="35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6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1,167</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1,167</w:t>
            </w:r>
          </w:p>
        </w:tc>
      </w:tr>
      <w:tr>
        <w:trPr>
          <w:trHeight w:val="35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6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1,058</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1,058</w:t>
            </w:r>
          </w:p>
        </w:tc>
      </w:tr>
      <w:tr>
        <w:trPr>
          <w:trHeight w:val="281"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）汇率变动影响</w:t>
            </w:r>
          </w:p>
        </w:tc>
        <w:tc>
          <w:tcPr>
            <w:tcW w:w="156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109</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109</w:t>
            </w:r>
          </w:p>
        </w:tc>
      </w:tr>
      <w:tr>
        <w:trPr>
          <w:trHeight w:val="35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6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6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4,413</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37,562</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41,975</w:t>
            </w:r>
          </w:p>
        </w:tc>
      </w:tr>
      <w:tr>
        <w:trPr>
          <w:trHeight w:val="351"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6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81,136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z w:val="21"/>
              </w:rPr>
              <w:t>2,452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49,912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205,373</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338,873</w:t>
            </w:r>
          </w:p>
        </w:tc>
      </w:tr>
    </w:tbl>
    <w:p>
      <w:pPr>
        <w:spacing w:after="0" w:line="274" w:lineRule="exact"/>
        <w:jc w:val="right"/>
        <w:rPr>
          <w:rFonts w:ascii="宋体" w:hAnsi="宋体" w:cs="宋体" w:eastAsia="宋体" w:hint="default"/>
          <w:sz w:val="21"/>
          <w:szCs w:val="21"/>
        </w:rPr>
        <w:sectPr>
          <w:type w:val="continuous"/>
          <w:pgSz w:w="11910" w:h="16840"/>
          <w:pgMar w:top="1320" w:bottom="1400" w:left="1060" w:right="1560"/>
        </w:sectPr>
      </w:pP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3231"/>
        <w:gridCol w:w="1565"/>
        <w:gridCol w:w="936"/>
        <w:gridCol w:w="936"/>
        <w:gridCol w:w="950"/>
        <w:gridCol w:w="1431"/>
      </w:tblGrid>
      <w:tr>
        <w:trPr>
          <w:trHeight w:val="55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软件使</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用权</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44"/>
              <w:jc w:val="right"/>
              <w:rPr>
                <w:rFonts w:ascii="宋体" w:hAnsi="宋体" w:cs="宋体" w:eastAsia="宋体" w:hint="default"/>
                <w:sz w:val="21"/>
                <w:szCs w:val="21"/>
              </w:rPr>
            </w:pPr>
            <w:r>
              <w:rPr>
                <w:rFonts w:ascii="宋体" w:hAnsi="宋体" w:cs="宋体" w:eastAsia="宋体" w:hint="default"/>
                <w:sz w:val="21"/>
                <w:szCs w:val="21"/>
              </w:rPr>
              <w:t>专利权</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非专利</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技术</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0" w:right="0"/>
              <w:jc w:val="left"/>
              <w:rPr>
                <w:rFonts w:ascii="宋体" w:hAnsi="宋体" w:cs="宋体" w:eastAsia="宋体" w:hint="default"/>
                <w:sz w:val="21"/>
                <w:szCs w:val="21"/>
              </w:rPr>
            </w:pPr>
            <w:r>
              <w:rPr>
                <w:rFonts w:ascii="宋体"/>
                <w:sz w:val="21"/>
              </w:rPr>
              <w:t>82,868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7" w:right="0"/>
              <w:jc w:val="left"/>
              <w:rPr>
                <w:rFonts w:ascii="宋体" w:hAnsi="宋体" w:cs="宋体" w:eastAsia="宋体" w:hint="default"/>
                <w:sz w:val="21"/>
                <w:szCs w:val="21"/>
              </w:rPr>
            </w:pPr>
            <w:r>
              <w:rPr>
                <w:rFonts w:ascii="宋体"/>
                <w:sz w:val="21"/>
              </w:rPr>
              <w:t>1,315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3,040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sz w:val="21"/>
              </w:rPr>
              <w:t>226,340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1"/>
                <w:szCs w:val="21"/>
              </w:rPr>
            </w:pPr>
            <w:r>
              <w:rPr>
                <w:rFonts w:ascii="宋体"/>
                <w:sz w:val="21"/>
              </w:rPr>
              <w:t>313,563</w:t>
            </w:r>
          </w:p>
        </w:tc>
      </w:tr>
    </w:tbl>
    <w:p>
      <w:pPr>
        <w:spacing w:line="240" w:lineRule="auto" w:before="7"/>
        <w:rPr>
          <w:rFonts w:ascii="宋体" w:hAnsi="宋体" w:cs="宋体" w:eastAsia="宋体" w:hint="default"/>
          <w:sz w:val="15"/>
          <w:szCs w:val="15"/>
        </w:rPr>
      </w:pPr>
    </w:p>
    <w:p>
      <w:pPr>
        <w:pStyle w:val="BodyText"/>
        <w:spacing w:line="240" w:lineRule="auto" w:before="36"/>
        <w:ind w:left="217" w:right="234"/>
        <w:jc w:val="left"/>
        <w:rPr>
          <w:rFonts w:ascii="宋体" w:hAnsi="宋体" w:cs="宋体" w:eastAsia="宋体" w:hint="default"/>
        </w:rPr>
      </w:pPr>
      <w:r>
        <w:rPr>
          <w:spacing w:val="-2"/>
        </w:rPr>
        <w:t>本期末通过公司内部研发形成的无形资产占无形资产余额的比例</w:t>
      </w:r>
      <w:r>
        <w:rPr>
          <w:spacing w:val="1"/>
        </w:rPr>
        <w:t> </w:t>
      </w:r>
      <w:r>
        <w:rPr>
          <w:rFonts w:ascii="宋体" w:hAnsi="宋体" w:cs="宋体" w:eastAsia="宋体" w:hint="default"/>
        </w:rPr>
        <w:t>0</w:t>
      </w:r>
    </w:p>
    <w:p>
      <w:pPr>
        <w:spacing w:line="240" w:lineRule="auto" w:before="3"/>
        <w:rPr>
          <w:rFonts w:ascii="宋体" w:hAnsi="宋体" w:cs="宋体" w:eastAsia="宋体" w:hint="default"/>
          <w:sz w:val="25"/>
          <w:szCs w:val="25"/>
        </w:rPr>
      </w:pPr>
    </w:p>
    <w:p>
      <w:pPr>
        <w:pStyle w:val="Heading5"/>
        <w:spacing w:line="240" w:lineRule="auto"/>
        <w:ind w:left="217" w:right="234"/>
        <w:jc w:val="left"/>
        <w:rPr>
          <w:b w:val="0"/>
          <w:bCs w:val="0"/>
        </w:rPr>
      </w:pPr>
      <w:r>
        <w:rPr>
          <w:rFonts w:ascii="宋体" w:hAnsi="宋体" w:cs="宋体" w:eastAsia="宋体" w:hint="default"/>
        </w:rPr>
        <w:t>(2).</w:t>
      </w:r>
      <w:r>
        <w:rPr/>
        <w:t>未办妥产权证书的土地使用权情况</w:t>
      </w:r>
      <w:r>
        <w:rPr>
          <w:b w:val="0"/>
          <w:bCs w:val="0"/>
        </w:rPr>
      </w:r>
    </w:p>
    <w:p>
      <w:pPr>
        <w:pStyle w:val="BodyText"/>
        <w:spacing w:line="271" w:lineRule="exact" w:before="56"/>
        <w:ind w:left="217" w:right="234"/>
        <w:jc w:val="left"/>
      </w:pPr>
      <w:r>
        <w:rPr/>
        <w:t>□适用 √不适用</w:t>
      </w:r>
    </w:p>
    <w:p>
      <w:pPr>
        <w:pStyle w:val="Heading3"/>
        <w:spacing w:line="310" w:lineRule="exact"/>
        <w:ind w:left="217" w:right="234"/>
        <w:jc w:val="left"/>
      </w:pPr>
      <w:r>
        <w:rPr/>
        <w:t>其他说明：</w:t>
      </w:r>
    </w:p>
    <w:p>
      <w:pPr>
        <w:pStyle w:val="BodyText"/>
        <w:spacing w:line="240" w:lineRule="auto" w:before="1"/>
        <w:ind w:left="217" w:right="234"/>
        <w:jc w:val="left"/>
      </w:pPr>
      <w:r>
        <w:rPr/>
        <w:t>□适用 √不适用</w:t>
      </w:r>
    </w:p>
    <w:p>
      <w:pPr>
        <w:spacing w:line="240" w:lineRule="auto" w:before="3"/>
        <w:rPr>
          <w:rFonts w:ascii="宋体" w:hAnsi="宋体" w:cs="宋体" w:eastAsia="宋体" w:hint="default"/>
          <w:sz w:val="28"/>
          <w:szCs w:val="28"/>
        </w:rPr>
      </w:pPr>
    </w:p>
    <w:p>
      <w:pPr>
        <w:pStyle w:val="Heading5"/>
        <w:spacing w:line="240" w:lineRule="auto"/>
        <w:ind w:left="217" w:right="234"/>
        <w:jc w:val="left"/>
        <w:rPr>
          <w:b w:val="0"/>
          <w:bCs w:val="0"/>
        </w:rPr>
      </w:pPr>
      <w:r>
        <w:rPr>
          <w:rFonts w:ascii="宋体" w:hAnsi="宋体" w:cs="宋体" w:eastAsia="宋体" w:hint="default"/>
        </w:rPr>
        <w:t>21</w:t>
      </w:r>
      <w:r>
        <w:rPr/>
        <w:t>、</w:t>
      </w:r>
      <w:r>
        <w:rPr>
          <w:spacing w:val="-25"/>
        </w:rPr>
        <w:t> </w:t>
      </w:r>
      <w:r>
        <w:rPr/>
        <w:t>开发支出</w:t>
      </w:r>
      <w:r>
        <w:rPr>
          <w:b w:val="0"/>
          <w:bCs w:val="0"/>
        </w:rPr>
      </w:r>
    </w:p>
    <w:p>
      <w:pPr>
        <w:pStyle w:val="BodyText"/>
        <w:spacing w:line="240" w:lineRule="auto" w:before="58"/>
        <w:ind w:left="217" w:right="234"/>
        <w:jc w:val="left"/>
      </w:pPr>
      <w:r>
        <w:rPr/>
        <w:t>□适用 √不适用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217" w:top="1320" w:bottom="1400" w:left="1060" w:right="1560"/>
        </w:sectPr>
      </w:pPr>
    </w:p>
    <w:p>
      <w:pPr>
        <w:pStyle w:val="Heading5"/>
        <w:spacing w:line="290" w:lineRule="auto" w:before="36"/>
        <w:ind w:left="217" w:right="-14"/>
        <w:jc w:val="left"/>
        <w:rPr>
          <w:b w:val="0"/>
          <w:bCs w:val="0"/>
        </w:rPr>
      </w:pPr>
      <w:r>
        <w:rPr>
          <w:rFonts w:ascii="宋体" w:hAnsi="宋体" w:cs="宋体" w:eastAsia="宋体" w:hint="default"/>
        </w:rPr>
        <w:t>22</w:t>
      </w:r>
      <w:r>
        <w:rPr/>
        <w:t>、</w:t>
      </w:r>
      <w:r>
        <w:rPr>
          <w:spacing w:val="-25"/>
        </w:rPr>
        <w:t> </w:t>
      </w:r>
      <w:r>
        <w:rPr/>
        <w:t>商誉</w:t>
      </w:r>
      <w:r>
        <w:rPr>
          <w:w w:val="100"/>
        </w:rPr>
        <w:t> </w:t>
      </w:r>
      <w:r>
        <w:rPr>
          <w:rFonts w:ascii="宋体" w:hAnsi="宋体" w:cs="宋体" w:eastAsia="宋体" w:hint="default"/>
        </w:rPr>
        <w:t>(1).</w:t>
      </w:r>
      <w:r>
        <w:rPr/>
        <w:t>商誉账面原值</w:t>
      </w:r>
      <w:r>
        <w:rPr>
          <w:b w:val="0"/>
          <w:bCs w:val="0"/>
        </w:rPr>
      </w:r>
    </w:p>
    <w:p>
      <w:pPr>
        <w:pStyle w:val="BodyText"/>
        <w:spacing w:line="240" w:lineRule="auto" w:before="14"/>
        <w:ind w:left="21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479" w:val="left" w:leader="none"/>
        </w:tabs>
        <w:spacing w:line="240" w:lineRule="auto"/>
        <w:ind w:left="21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60" w:right="1560"/>
          <w:cols w:num="2" w:equalWidth="0">
            <w:col w:w="1912" w:space="4398"/>
            <w:col w:w="2980"/>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928"/>
        <w:gridCol w:w="994"/>
        <w:gridCol w:w="1135"/>
        <w:gridCol w:w="711"/>
        <w:gridCol w:w="1282"/>
      </w:tblGrid>
      <w:tr>
        <w:trPr>
          <w:trHeight w:val="554" w:hRule="exact"/>
        </w:trPr>
        <w:tc>
          <w:tcPr>
            <w:tcW w:w="492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883" w:right="0"/>
              <w:jc w:val="left"/>
              <w:rPr>
                <w:rFonts w:ascii="宋体" w:hAnsi="宋体" w:cs="宋体" w:eastAsia="宋体" w:hint="default"/>
                <w:sz w:val="21"/>
                <w:szCs w:val="21"/>
              </w:rPr>
            </w:pPr>
            <w:r>
              <w:rPr>
                <w:rFonts w:ascii="宋体" w:hAnsi="宋体" w:cs="宋体" w:eastAsia="宋体" w:hint="default"/>
                <w:sz w:val="21"/>
                <w:szCs w:val="21"/>
              </w:rPr>
              <w:t>被投资单位名称或形成商誉的事项</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384" w:right="173" w:hanging="210"/>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减少</w:t>
            </w:r>
          </w:p>
        </w:tc>
        <w:tc>
          <w:tcPr>
            <w:tcW w:w="128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4928"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形成的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282" w:type="dxa"/>
            <w:vMerge/>
            <w:tcBorders>
              <w:left w:val="single" w:sz="4" w:space="0" w:color="000000"/>
              <w:bottom w:val="single" w:sz="4" w:space="0" w:color="000000"/>
              <w:right w:val="single" w:sz="4" w:space="0" w:color="000000"/>
            </w:tcBorders>
          </w:tcPr>
          <w:p>
            <w:pPr/>
          </w:p>
        </w:tc>
      </w:tr>
      <w:tr>
        <w:trPr>
          <w:trHeight w:val="28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MV</w:t>
              <w:tab/>
              <w:t>Holding Company</w:t>
            </w:r>
            <w:r>
              <w:rPr>
                <w:rFonts w:ascii="宋体" w:hAnsi="宋体" w:cs="宋体" w:eastAsia="宋体" w:hint="default"/>
                <w:spacing w:val="-9"/>
                <w:sz w:val="21"/>
                <w:szCs w:val="21"/>
              </w:rPr>
              <w:t> </w:t>
            </w:r>
            <w:r>
              <w:rPr>
                <w:rFonts w:ascii="宋体" w:hAnsi="宋体" w:cs="宋体" w:eastAsia="宋体" w:hint="default"/>
                <w:sz w:val="21"/>
                <w:szCs w:val="21"/>
              </w:rPr>
              <w:t>Limited</w:t>
            </w:r>
            <w:r>
              <w:rPr>
                <w:rFonts w:ascii="宋体" w:hAnsi="宋体" w:cs="宋体" w:eastAsia="宋体" w:hint="default"/>
                <w:sz w:val="21"/>
                <w:szCs w:val="21"/>
              </w:rPr>
              <w:t>及其控制的公司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center"/>
              <w:rPr>
                <w:rFonts w:ascii="宋体" w:hAnsi="宋体" w:cs="宋体" w:eastAsia="宋体" w:hint="default"/>
                <w:sz w:val="21"/>
                <w:szCs w:val="21"/>
              </w:rPr>
            </w:pPr>
            <w:r>
              <w:rPr>
                <w:rFonts w:ascii="宋体"/>
                <w:sz w:val="21"/>
              </w:rPr>
              <w:t>646,227</w:t>
            </w:r>
          </w:p>
        </w:tc>
        <w:tc>
          <w:tcPr>
            <w:tcW w:w="113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646,227</w:t>
            </w:r>
          </w:p>
        </w:tc>
      </w:tr>
      <w:tr>
        <w:trPr>
          <w:trHeight w:val="55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8"/>
              <w:jc w:val="left"/>
              <w:rPr>
                <w:rFonts w:ascii="宋体" w:hAnsi="宋体" w:cs="宋体" w:eastAsia="宋体" w:hint="default"/>
                <w:sz w:val="21"/>
                <w:szCs w:val="21"/>
              </w:rPr>
            </w:pPr>
            <w:r>
              <w:rPr>
                <w:rFonts w:ascii="宋体" w:hAnsi="宋体" w:cs="宋体" w:eastAsia="宋体" w:hint="default"/>
                <w:spacing w:val="-2"/>
                <w:sz w:val="21"/>
                <w:szCs w:val="21"/>
              </w:rPr>
              <w:t>深圳市蜂联科技有限公司及其控制的公司（附注八、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170,778</w:t>
            </w:r>
          </w:p>
        </w:tc>
        <w:tc>
          <w:tcPr>
            <w:tcW w:w="711"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170,778</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GameWave Group Limited</w:t>
            </w:r>
            <w:r>
              <w:rPr>
                <w:rFonts w:ascii="宋体" w:hAnsi="宋体" w:cs="宋体" w:eastAsia="宋体" w:hint="default"/>
                <w:sz w:val="21"/>
                <w:szCs w:val="21"/>
              </w:rPr>
              <w:t>及其控制的公司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center"/>
              <w:rPr>
                <w:rFonts w:ascii="宋体" w:hAnsi="宋体" w:cs="宋体" w:eastAsia="宋体" w:hint="default"/>
                <w:sz w:val="21"/>
                <w:szCs w:val="21"/>
              </w:rPr>
            </w:pPr>
            <w:r>
              <w:rPr>
                <w:rFonts w:ascii="宋体"/>
                <w:sz w:val="21"/>
              </w:rPr>
              <w:t>133,432</w:t>
            </w:r>
          </w:p>
        </w:tc>
        <w:tc>
          <w:tcPr>
            <w:tcW w:w="113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133,432</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深圳沃通电子商务服务有限公司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center"/>
              <w:rPr>
                <w:rFonts w:ascii="宋体" w:hAnsi="宋体" w:cs="宋体" w:eastAsia="宋体" w:hint="default"/>
                <w:sz w:val="21"/>
                <w:szCs w:val="21"/>
              </w:rPr>
            </w:pPr>
            <w:r>
              <w:rPr>
                <w:rFonts w:ascii="宋体"/>
                <w:sz w:val="21"/>
              </w:rPr>
              <w:t>50,938</w:t>
            </w:r>
          </w:p>
        </w:tc>
        <w:tc>
          <w:tcPr>
            <w:tcW w:w="113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50,938</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center"/>
              <w:rPr>
                <w:rFonts w:ascii="宋体" w:hAnsi="宋体" w:cs="宋体" w:eastAsia="宋体" w:hint="default"/>
                <w:sz w:val="21"/>
                <w:szCs w:val="21"/>
              </w:rPr>
            </w:pPr>
            <w:r>
              <w:rPr>
                <w:rFonts w:ascii="宋体"/>
                <w:sz w:val="21"/>
              </w:rPr>
              <w:t>33,536</w:t>
            </w:r>
          </w:p>
        </w:tc>
        <w:tc>
          <w:tcPr>
            <w:tcW w:w="113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33,536</w:t>
            </w:r>
          </w:p>
        </w:tc>
      </w:tr>
      <w:tr>
        <w:trPr>
          <w:trHeight w:val="307"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center"/>
              <w:rPr>
                <w:rFonts w:ascii="宋体" w:hAnsi="宋体" w:cs="宋体" w:eastAsia="宋体" w:hint="default"/>
                <w:sz w:val="21"/>
                <w:szCs w:val="21"/>
              </w:rPr>
            </w:pPr>
            <w:r>
              <w:rPr>
                <w:rFonts w:ascii="宋体"/>
                <w:sz w:val="21"/>
              </w:rPr>
              <w:t>864,133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170,778</w:t>
            </w:r>
          </w:p>
        </w:tc>
        <w:tc>
          <w:tcPr>
            <w:tcW w:w="711"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1,034,911</w:t>
            </w:r>
          </w:p>
        </w:tc>
      </w:tr>
    </w:tbl>
    <w:p>
      <w:pPr>
        <w:spacing w:line="240" w:lineRule="auto" w:before="0"/>
        <w:rPr>
          <w:rFonts w:ascii="宋体" w:hAnsi="宋体" w:cs="宋体" w:eastAsia="宋体" w:hint="default"/>
          <w:sz w:val="17"/>
          <w:szCs w:val="17"/>
        </w:rPr>
      </w:pPr>
    </w:p>
    <w:p>
      <w:pPr>
        <w:pStyle w:val="Heading5"/>
        <w:spacing w:line="240" w:lineRule="auto" w:before="36"/>
        <w:ind w:left="217" w:right="234"/>
        <w:jc w:val="left"/>
        <w:rPr>
          <w:b w:val="0"/>
          <w:bCs w:val="0"/>
        </w:rPr>
      </w:pPr>
      <w:r>
        <w:rPr>
          <w:rFonts w:ascii="宋体" w:hAnsi="宋体" w:cs="宋体" w:eastAsia="宋体" w:hint="default"/>
        </w:rPr>
        <w:t>(2).</w:t>
      </w:r>
      <w:r>
        <w:rPr/>
        <w:t>商誉减值准备</w:t>
      </w:r>
      <w:r>
        <w:rPr>
          <w:b w:val="0"/>
          <w:bCs w:val="0"/>
        </w:rPr>
      </w:r>
    </w:p>
    <w:p>
      <w:pPr>
        <w:spacing w:line="290" w:lineRule="auto" w:before="56"/>
        <w:ind w:left="217" w:right="48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商誉所在资产组或资产组组合的相关信息</w:t>
      </w:r>
      <w:r>
        <w:rPr>
          <w:rFonts w:ascii="宋体" w:hAnsi="宋体" w:cs="宋体" w:eastAsia="宋体" w:hint="default"/>
          <w:sz w:val="21"/>
          <w:szCs w:val="21"/>
        </w:rPr>
      </w:r>
    </w:p>
    <w:p>
      <w:pPr>
        <w:pStyle w:val="BodyText"/>
        <w:spacing w:line="240" w:lineRule="auto" w:before="13"/>
        <w:ind w:left="637" w:right="1484" w:hanging="420"/>
        <w:jc w:val="left"/>
      </w:pPr>
      <w:r>
        <w:rPr/>
        <w:t>√适用</w:t>
      </w:r>
      <w:r>
        <w:rPr>
          <w:spacing w:val="-2"/>
        </w:rPr>
        <w:t> </w:t>
      </w:r>
      <w:r>
        <w:rPr/>
        <w:t>□不适用</w:t>
      </w:r>
      <w:r>
        <w:rPr>
          <w:spacing w:val="-103"/>
        </w:rPr>
        <w:t> </w:t>
      </w:r>
      <w:r>
        <w:rPr>
          <w:spacing w:val="-103"/>
        </w:rPr>
      </w:r>
      <w:r>
        <w:rPr>
          <w:spacing w:val="-2"/>
        </w:rPr>
        <w:t>商誉所在资产组与以前年度商誉减值测试时所确定的资产组一致。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5"/>
        <w:spacing w:line="240" w:lineRule="auto"/>
        <w:ind w:left="642" w:right="124" w:hanging="425"/>
        <w:jc w:val="left"/>
        <w:rPr>
          <w:b w:val="0"/>
          <w:bCs w:val="0"/>
        </w:rPr>
      </w:pPr>
      <w:r>
        <w:rPr>
          <w:rFonts w:ascii="宋体" w:hAnsi="宋体" w:cs="宋体" w:eastAsia="宋体" w:hint="default"/>
          <w:spacing w:val="-1"/>
        </w:rPr>
        <w:t>(4).</w:t>
      </w:r>
      <w:r>
        <w:rPr>
          <w:spacing w:val="-1"/>
        </w:rPr>
        <w:t>说明商誉减值测试过程、关键参数（例如预计未来现金流量现值时的预测期增长率、稳定期</w:t>
      </w:r>
      <w:r>
        <w:rPr>
          <w:spacing w:val="-87"/>
        </w:rPr>
        <w:t> </w:t>
      </w:r>
      <w:r>
        <w:rPr>
          <w:spacing w:val="-87"/>
        </w:rPr>
      </w:r>
      <w:r>
        <w:rPr/>
        <w:t>增长率、利润率、折现率、预测期等，如适用）及商誉减值损失的确认方法</w:t>
      </w:r>
      <w:r>
        <w:rPr>
          <w:b w:val="0"/>
          <w:bCs w:val="0"/>
        </w:rPr>
      </w:r>
    </w:p>
    <w:p>
      <w:pPr>
        <w:pStyle w:val="BodyText"/>
        <w:spacing w:line="240" w:lineRule="auto" w:before="56"/>
        <w:ind w:left="637" w:right="234" w:hanging="420"/>
        <w:jc w:val="left"/>
      </w:pPr>
      <w:r>
        <w:rPr/>
        <w:t>√适用</w:t>
      </w:r>
      <w:r>
        <w:rPr>
          <w:spacing w:val="-2"/>
        </w:rPr>
        <w:t> </w:t>
      </w:r>
      <w:r>
        <w:rPr/>
        <w:t>□不适用</w:t>
      </w:r>
      <w:r>
        <w:rPr>
          <w:spacing w:val="-103"/>
        </w:rPr>
        <w:t> </w:t>
      </w:r>
      <w:r>
        <w:rPr>
          <w:spacing w:val="-103"/>
        </w:rPr>
      </w:r>
      <w:r>
        <w:rPr>
          <w:spacing w:val="-2"/>
        </w:rPr>
        <w:t>商誉可收回金额按照预计未来现金流量的现值确定。未来现金流量基于管理层假设未来盈利</w:t>
      </w:r>
    </w:p>
    <w:p>
      <w:pPr>
        <w:pStyle w:val="BodyText"/>
        <w:spacing w:line="355" w:lineRule="auto" w:before="133"/>
        <w:ind w:left="217" w:right="234"/>
        <w:jc w:val="left"/>
      </w:pPr>
      <w:r>
        <w:rPr>
          <w:spacing w:val="-3"/>
        </w:rPr>
        <w:t>水平与历史期基本保持不变的条件下确定，并采用 </w:t>
      </w:r>
      <w:r>
        <w:rPr>
          <w:rFonts w:ascii="宋体" w:hAnsi="宋体" w:cs="宋体" w:eastAsia="宋体" w:hint="default"/>
          <w:spacing w:val="-3"/>
        </w:rPr>
        <w:t>13.63%</w:t>
      </w:r>
      <w:r>
        <w:rPr>
          <w:spacing w:val="-3"/>
        </w:rPr>
        <w:t>的折现率。管理层认为上述假设发生的</w:t>
      </w:r>
      <w:r>
        <w:rPr>
          <w:spacing w:val="-69"/>
        </w:rPr>
        <w:t> </w:t>
      </w:r>
      <w:r>
        <w:rPr>
          <w:spacing w:val="-69"/>
        </w:rPr>
      </w:r>
      <w:r>
        <w:rPr/>
        <w:t>任何合理变化均不会导致商誉的账面价值超过其可收回金额。</w:t>
      </w:r>
    </w:p>
    <w:p>
      <w:pPr>
        <w:spacing w:after="0" w:line="355" w:lineRule="auto"/>
        <w:jc w:val="left"/>
        <w:sectPr>
          <w:type w:val="continuous"/>
          <w:pgSz w:w="11910" w:h="16840"/>
          <w:pgMar w:top="1320" w:bottom="1400" w:left="1060" w:right="1560"/>
        </w:sectPr>
      </w:pPr>
    </w:p>
    <w:p>
      <w:pPr>
        <w:pStyle w:val="Heading5"/>
        <w:spacing w:line="240" w:lineRule="auto" w:before="72"/>
        <w:ind w:left="217" w:right="234"/>
        <w:jc w:val="left"/>
        <w:rPr>
          <w:b w:val="0"/>
          <w:bCs w:val="0"/>
        </w:rPr>
      </w:pPr>
      <w:r>
        <w:rPr>
          <w:rFonts w:ascii="宋体" w:hAnsi="宋体" w:cs="宋体" w:eastAsia="宋体" w:hint="default"/>
        </w:rPr>
        <w:t>(5).</w:t>
      </w:r>
      <w:r>
        <w:rPr/>
        <w:t>商誉减值测试的影响</w:t>
      </w:r>
      <w:r>
        <w:rPr>
          <w:b w:val="0"/>
          <w:bCs w:val="0"/>
        </w:rPr>
      </w:r>
    </w:p>
    <w:p>
      <w:pPr>
        <w:pStyle w:val="BodyText"/>
        <w:spacing w:line="240" w:lineRule="auto" w:before="56"/>
        <w:ind w:left="217" w:right="234"/>
        <w:jc w:val="left"/>
      </w:pPr>
      <w:r>
        <w:rPr/>
        <w:t>□适用 √不适用</w:t>
      </w:r>
    </w:p>
    <w:p>
      <w:pPr>
        <w:spacing w:line="240" w:lineRule="auto" w:before="8"/>
        <w:rPr>
          <w:rFonts w:ascii="宋体" w:hAnsi="宋体" w:cs="宋体" w:eastAsia="宋体" w:hint="default"/>
          <w:sz w:val="20"/>
          <w:szCs w:val="20"/>
        </w:rPr>
      </w:pPr>
    </w:p>
    <w:p>
      <w:pPr>
        <w:pStyle w:val="BodyText"/>
        <w:spacing w:line="274" w:lineRule="exact"/>
        <w:ind w:left="217" w:right="234"/>
        <w:jc w:val="left"/>
      </w:pPr>
      <w:r>
        <w:rPr/>
        <w:t>其他说明</w:t>
      </w:r>
    </w:p>
    <w:p>
      <w:pPr>
        <w:pStyle w:val="BodyText"/>
        <w:spacing w:line="274" w:lineRule="exact"/>
        <w:ind w:left="217" w:right="234"/>
        <w:jc w:val="left"/>
      </w:pPr>
      <w:r>
        <w:rPr/>
        <w:t>□适用 √不适用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217" w:top="1320" w:bottom="1400" w:left="1060" w:right="1560"/>
        </w:sectPr>
      </w:pPr>
    </w:p>
    <w:p>
      <w:pPr>
        <w:pStyle w:val="Heading5"/>
        <w:spacing w:line="240" w:lineRule="auto" w:before="36"/>
        <w:ind w:left="217" w:right="-19"/>
        <w:jc w:val="left"/>
        <w:rPr>
          <w:b w:val="0"/>
          <w:bCs w:val="0"/>
        </w:rPr>
      </w:pPr>
      <w:r>
        <w:rPr>
          <w:rFonts w:ascii="宋体" w:hAnsi="宋体" w:cs="宋体" w:eastAsia="宋体" w:hint="default"/>
        </w:rPr>
        <w:t>23</w:t>
      </w:r>
      <w:r>
        <w:rPr/>
        <w:t>、</w:t>
      </w:r>
      <w:r>
        <w:rPr>
          <w:spacing w:val="-23"/>
        </w:rPr>
        <w:t> </w:t>
      </w:r>
      <w:r>
        <w:rPr/>
        <w:t>长期待摊费用</w:t>
      </w:r>
      <w:r>
        <w:rPr>
          <w:b w:val="0"/>
          <w:bCs w:val="0"/>
        </w:rPr>
      </w:r>
    </w:p>
    <w:p>
      <w:pPr>
        <w:pStyle w:val="BodyText"/>
        <w:spacing w:line="240" w:lineRule="auto" w:before="58"/>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79" w:val="left" w:leader="none"/>
        </w:tabs>
        <w:spacing w:line="240" w:lineRule="auto"/>
        <w:ind w:left="21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60" w:right="1560"/>
          <w:cols w:num="2" w:equalWidth="0">
            <w:col w:w="1989" w:space="4322"/>
            <w:col w:w="297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52"/>
        <w:gridCol w:w="1136"/>
        <w:gridCol w:w="1558"/>
        <w:gridCol w:w="1560"/>
        <w:gridCol w:w="1558"/>
        <w:gridCol w:w="1286"/>
      </w:tblGrid>
      <w:tr>
        <w:trPr>
          <w:trHeight w:val="28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0"/>
              <w:jc w:val="right"/>
              <w:rPr>
                <w:rFonts w:ascii="宋体" w:hAnsi="宋体" w:cs="宋体" w:eastAsia="宋体" w:hint="default"/>
                <w:sz w:val="21"/>
                <w:szCs w:val="21"/>
              </w:rPr>
            </w:pPr>
            <w:r>
              <w:rPr>
                <w:rFonts w:ascii="宋体" w:hAnsi="宋体" w:cs="宋体" w:eastAsia="宋体" w:hint="default"/>
                <w:spacing w:val="-1"/>
                <w:sz w:val="21"/>
                <w:szCs w:val="21"/>
              </w:rPr>
              <w:t>期初余额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0"/>
              <w:jc w:val="right"/>
              <w:rPr>
                <w:rFonts w:ascii="宋体" w:hAnsi="宋体" w:cs="宋体" w:eastAsia="宋体" w:hint="default"/>
                <w:sz w:val="21"/>
                <w:szCs w:val="21"/>
              </w:rPr>
            </w:pPr>
            <w:r>
              <w:rPr>
                <w:rFonts w:ascii="宋体" w:hAnsi="宋体" w:cs="宋体" w:eastAsia="宋体" w:hint="default"/>
                <w:spacing w:val="-1"/>
                <w:sz w:val="21"/>
                <w:szCs w:val="21"/>
              </w:rPr>
              <w:t>其他减少金额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游戏版权及分成款</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162,905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52,276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53,103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25,392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136,686</w:t>
            </w:r>
          </w:p>
        </w:tc>
      </w:tr>
      <w:tr>
        <w:trPr>
          <w:trHeight w:val="28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1,233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13,628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3,186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1,064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10,611</w:t>
            </w:r>
          </w:p>
        </w:tc>
      </w:tr>
      <w:tr>
        <w:trPr>
          <w:trHeight w:val="28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带宽租赁费</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40,683</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2,568</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38,115</w:t>
            </w:r>
          </w:p>
        </w:tc>
      </w:tr>
      <w:tr>
        <w:trPr>
          <w:trHeight w:val="28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技术服务费</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14,469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(661)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6,450</w:t>
            </w:r>
          </w:p>
        </w:tc>
      </w:tr>
      <w:tr>
        <w:trPr>
          <w:trHeight w:val="28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5,591</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5,591</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224,881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66,099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73,323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25,795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191,862</w:t>
            </w:r>
          </w:p>
        </w:tc>
      </w:tr>
    </w:tbl>
    <w:p>
      <w:pPr>
        <w:spacing w:line="240" w:lineRule="auto" w:before="7"/>
        <w:rPr>
          <w:rFonts w:ascii="宋体" w:hAnsi="宋体" w:cs="宋体" w:eastAsia="宋体" w:hint="default"/>
          <w:sz w:val="15"/>
          <w:szCs w:val="15"/>
        </w:rPr>
      </w:pPr>
    </w:p>
    <w:p>
      <w:pPr>
        <w:pStyle w:val="BodyText"/>
        <w:spacing w:line="272" w:lineRule="exact" w:before="64"/>
        <w:ind w:left="217" w:right="7999"/>
        <w:jc w:val="left"/>
      </w:pPr>
      <w:r>
        <w:rPr/>
        <w:t>其他说明：</w:t>
      </w:r>
      <w:r>
        <w:rPr>
          <w:spacing w:val="-102"/>
        </w:rPr>
        <w:t> </w:t>
      </w:r>
      <w:r>
        <w:rPr>
          <w:spacing w:val="-102"/>
        </w:rPr>
      </w:r>
      <w:r>
        <w:rPr/>
        <w:t>无。</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20" w:bottom="1400" w:left="1060" w:right="1560"/>
        </w:sectPr>
      </w:pPr>
    </w:p>
    <w:p>
      <w:pPr>
        <w:pStyle w:val="Heading5"/>
        <w:spacing w:line="290" w:lineRule="auto" w:before="36"/>
        <w:ind w:left="217" w:right="-17"/>
        <w:jc w:val="left"/>
        <w:rPr>
          <w:b w:val="0"/>
          <w:bCs w:val="0"/>
        </w:rPr>
      </w:pPr>
      <w:r>
        <w:rPr>
          <w:rFonts w:ascii="宋体" w:hAnsi="宋体" w:cs="宋体" w:eastAsia="宋体" w:hint="default"/>
        </w:rPr>
        <w:t>24</w:t>
      </w:r>
      <w:r>
        <w:rPr/>
        <w:t>、 递延所得税资产</w:t>
      </w:r>
      <w:r>
        <w:rPr>
          <w:rFonts w:ascii="宋体" w:hAnsi="宋体" w:cs="宋体" w:eastAsia="宋体" w:hint="default"/>
        </w:rPr>
        <w:t>/</w:t>
      </w:r>
      <w:r>
        <w:rPr>
          <w:rFonts w:ascii="宋体" w:hAnsi="宋体" w:cs="宋体" w:eastAsia="宋体" w:hint="default"/>
          <w:spacing w:val="-25"/>
        </w:rPr>
        <w:t> </w:t>
      </w:r>
      <w:r>
        <w:rPr/>
        <w:t>递延所得税负债</w:t>
      </w:r>
      <w:r>
        <w:rPr>
          <w:w w:val="100"/>
        </w:rPr>
        <w:t> </w:t>
      </w:r>
      <w:r>
        <w:rPr>
          <w:rFonts w:ascii="宋体" w:hAnsi="宋体" w:cs="宋体" w:eastAsia="宋体" w:hint="default"/>
        </w:rPr>
        <w:t>(1).</w:t>
      </w:r>
      <w:r>
        <w:rPr/>
        <w:t>未经抵销的递延所得税资产</w:t>
      </w:r>
      <w:r>
        <w:rPr>
          <w:b w:val="0"/>
          <w:bCs w:val="0"/>
        </w:rPr>
      </w:r>
    </w:p>
    <w:p>
      <w:pPr>
        <w:pStyle w:val="BodyText"/>
        <w:spacing w:line="240" w:lineRule="auto" w:before="12"/>
        <w:ind w:left="21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479" w:val="left" w:leader="none"/>
        </w:tabs>
        <w:spacing w:line="240" w:lineRule="auto"/>
        <w:ind w:left="21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60" w:right="1560"/>
          <w:cols w:num="2" w:equalWidth="0">
            <w:col w:w="3887" w:space="2423"/>
            <w:col w:w="2980"/>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44"/>
        <w:gridCol w:w="1652"/>
        <w:gridCol w:w="1649"/>
        <w:gridCol w:w="1663"/>
        <w:gridCol w:w="1645"/>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44" w:type="dxa"/>
            <w:vMerge/>
            <w:tcBorders>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151,602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22,740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136,228</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20,434</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预提费用</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285,604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43,557</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160,352</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24,219</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5,663</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934</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107,981</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23,313</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7,649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1,150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14,112</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2,119</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450,518</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68,381</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418,673</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70,085</w:t>
            </w:r>
          </w:p>
        </w:tc>
      </w:tr>
    </w:tbl>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20" w:bottom="1400" w:left="1060" w:right="1560"/>
        </w:sectPr>
      </w:pPr>
    </w:p>
    <w:p>
      <w:pPr>
        <w:pStyle w:val="Heading5"/>
        <w:spacing w:line="240" w:lineRule="auto" w:before="36"/>
        <w:ind w:left="217" w:right="-16"/>
        <w:jc w:val="left"/>
        <w:rPr>
          <w:b w:val="0"/>
          <w:bCs w:val="0"/>
        </w:rPr>
      </w:pPr>
      <w:r>
        <w:rPr>
          <w:rFonts w:ascii="宋体" w:hAnsi="宋体" w:cs="宋体" w:eastAsia="宋体" w:hint="default"/>
        </w:rPr>
        <w:t>(2).</w:t>
      </w:r>
      <w:r>
        <w:rPr/>
        <w:t>未经抵销的递延所得税负债</w:t>
      </w:r>
      <w:r>
        <w:rPr>
          <w:b w:val="0"/>
          <w:bCs w:val="0"/>
        </w:rPr>
      </w:r>
    </w:p>
    <w:p>
      <w:pPr>
        <w:pStyle w:val="BodyText"/>
        <w:spacing w:line="240" w:lineRule="auto" w:before="59"/>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479" w:val="left" w:leader="none"/>
        </w:tabs>
        <w:spacing w:line="240" w:lineRule="auto"/>
        <w:ind w:left="21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60" w:right="1560"/>
          <w:cols w:num="2" w:equalWidth="0">
            <w:col w:w="3175" w:space="3136"/>
            <w:col w:w="297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74"/>
        <w:gridCol w:w="1678"/>
        <w:gridCol w:w="1664"/>
        <w:gridCol w:w="1658"/>
        <w:gridCol w:w="1676"/>
      </w:tblGrid>
      <w:tr>
        <w:trPr>
          <w:trHeight w:val="295"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14"/>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37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76,659</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12,836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36,023</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8,077</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设备器具类固定资产一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次性扣除（注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229,803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34,470</w:t>
            </w: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72,748</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z w:val="21"/>
              </w:rPr>
              <w:t>11,518</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43,679</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7,146</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379,210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z w:val="21"/>
              </w:rPr>
              <w:t>58,824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79,702</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15,223</w:t>
            </w:r>
          </w:p>
        </w:tc>
      </w:tr>
    </w:tbl>
    <w:p>
      <w:pPr>
        <w:spacing w:after="0" w:line="248" w:lineRule="exact"/>
        <w:jc w:val="right"/>
        <w:rPr>
          <w:rFonts w:ascii="宋体" w:hAnsi="宋体" w:cs="宋体" w:eastAsia="宋体" w:hint="default"/>
          <w:sz w:val="21"/>
          <w:szCs w:val="21"/>
        </w:rPr>
        <w:sectPr>
          <w:type w:val="continuous"/>
          <w:pgSz w:w="11910" w:h="16840"/>
          <w:pgMar w:top="1320" w:bottom="1400" w:left="1060" w:right="1560"/>
        </w:sectPr>
      </w:pPr>
    </w:p>
    <w:p>
      <w:pPr>
        <w:pStyle w:val="Heading5"/>
        <w:spacing w:line="240" w:lineRule="auto" w:before="72"/>
        <w:ind w:left="217" w:right="-14"/>
        <w:jc w:val="left"/>
        <w:rPr>
          <w:b w:val="0"/>
          <w:bCs w:val="0"/>
        </w:rPr>
      </w:pPr>
      <w:r>
        <w:rPr>
          <w:rFonts w:ascii="宋体" w:hAnsi="宋体" w:cs="宋体" w:eastAsia="宋体" w:hint="default"/>
        </w:rPr>
        <w:t>(3).</w:t>
      </w:r>
      <w:r>
        <w:rPr/>
        <w:t>以抵销后净额列示的递延所得税资产或负债</w:t>
      </w:r>
      <w:r>
        <w:rPr>
          <w:b w:val="0"/>
          <w:bCs w:val="0"/>
        </w:rPr>
      </w:r>
    </w:p>
    <w:p>
      <w:pPr>
        <w:pStyle w:val="BodyText"/>
        <w:spacing w:line="240" w:lineRule="auto" w:before="56"/>
        <w:ind w:left="21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479" w:val="left" w:leader="none"/>
        </w:tabs>
        <w:spacing w:line="240" w:lineRule="auto" w:before="153"/>
        <w:ind w:left="217" w:right="0"/>
        <w:jc w:val="left"/>
      </w:pPr>
      <w:r>
        <w:rPr>
          <w:spacing w:val="-1"/>
        </w:rPr>
        <w:t>单位：千元</w:t>
        <w:tab/>
      </w:r>
      <w:r>
        <w:rPr>
          <w:spacing w:val="-2"/>
        </w:rPr>
        <w:t>币种：人民币</w:t>
      </w:r>
    </w:p>
    <w:p>
      <w:pPr>
        <w:spacing w:after="0" w:line="240" w:lineRule="auto"/>
        <w:jc w:val="left"/>
        <w:sectPr>
          <w:pgSz w:w="11910" w:h="16840"/>
          <w:pgMar w:header="0" w:footer="1217" w:top="1320" w:bottom="1400" w:left="1060" w:right="1560"/>
          <w:cols w:num="2" w:equalWidth="0">
            <w:col w:w="4653" w:space="1657"/>
            <w:col w:w="2980"/>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64"/>
        <w:gridCol w:w="1676"/>
        <w:gridCol w:w="1661"/>
        <w:gridCol w:w="1690"/>
        <w:gridCol w:w="1659"/>
      </w:tblGrid>
      <w:tr>
        <w:trPr>
          <w:trHeight w:val="828"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递延所得税资</w:t>
            </w:r>
          </w:p>
          <w:p>
            <w:pPr>
              <w:pStyle w:val="TableParagraph"/>
              <w:spacing w:line="240" w:lineRule="auto"/>
              <w:ind w:left="410" w:right="202" w:hanging="212"/>
              <w:jc w:val="left"/>
              <w:rPr>
                <w:rFonts w:ascii="宋体" w:hAnsi="宋体" w:cs="宋体" w:eastAsia="宋体" w:hint="default"/>
                <w:sz w:val="21"/>
                <w:szCs w:val="21"/>
              </w:rPr>
            </w:pPr>
            <w:r>
              <w:rPr>
                <w:rFonts w:ascii="宋体" w:hAnsi="宋体" w:cs="宋体" w:eastAsia="宋体" w:hint="default"/>
                <w:sz w:val="21"/>
                <w:szCs w:val="21"/>
              </w:rPr>
              <w:t>产和负债期末</w:t>
            </w:r>
            <w:r>
              <w:rPr>
                <w:rFonts w:ascii="宋体" w:hAnsi="宋体" w:cs="宋体" w:eastAsia="宋体" w:hint="default"/>
                <w:w w:val="100"/>
                <w:sz w:val="21"/>
                <w:szCs w:val="21"/>
              </w:rPr>
              <w:t> </w:t>
            </w:r>
            <w:r>
              <w:rPr>
                <w:rFonts w:ascii="宋体" w:hAnsi="宋体" w:cs="宋体" w:eastAsia="宋体" w:hint="default"/>
                <w:sz w:val="21"/>
                <w:szCs w:val="21"/>
              </w:rPr>
              <w:t>互抵金额</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抵销后递延所</w:t>
            </w:r>
          </w:p>
          <w:p>
            <w:pPr>
              <w:pStyle w:val="TableParagraph"/>
              <w:spacing w:line="240" w:lineRule="auto"/>
              <w:ind w:left="300" w:right="192" w:hanging="106"/>
              <w:jc w:val="left"/>
              <w:rPr>
                <w:rFonts w:ascii="宋体" w:hAnsi="宋体" w:cs="宋体" w:eastAsia="宋体" w:hint="default"/>
                <w:sz w:val="21"/>
                <w:szCs w:val="21"/>
              </w:rPr>
            </w:pPr>
            <w:r>
              <w:rPr>
                <w:rFonts w:ascii="宋体" w:hAnsi="宋体" w:cs="宋体" w:eastAsia="宋体" w:hint="default"/>
                <w:sz w:val="21"/>
                <w:szCs w:val="21"/>
              </w:rPr>
              <w:t>得税资产或负</w:t>
            </w:r>
            <w:r>
              <w:rPr>
                <w:rFonts w:ascii="宋体" w:hAnsi="宋体" w:cs="宋体" w:eastAsia="宋体" w:hint="default"/>
                <w:w w:val="100"/>
                <w:sz w:val="21"/>
                <w:szCs w:val="21"/>
              </w:rPr>
              <w:t> </w:t>
            </w:r>
            <w:r>
              <w:rPr>
                <w:rFonts w:ascii="宋体" w:hAnsi="宋体" w:cs="宋体" w:eastAsia="宋体" w:hint="default"/>
                <w:sz w:val="21"/>
                <w:szCs w:val="21"/>
              </w:rPr>
              <w:t>债期末余额</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p>
            <w:pPr>
              <w:pStyle w:val="TableParagraph"/>
              <w:spacing w:line="240" w:lineRule="auto"/>
              <w:ind w:left="628" w:right="101" w:hanging="526"/>
              <w:jc w:val="left"/>
              <w:rPr>
                <w:rFonts w:ascii="宋体" w:hAnsi="宋体" w:cs="宋体" w:eastAsia="宋体" w:hint="default"/>
                <w:sz w:val="21"/>
                <w:szCs w:val="21"/>
              </w:rPr>
            </w:pPr>
            <w:r>
              <w:rPr>
                <w:rFonts w:ascii="宋体" w:hAnsi="宋体" w:cs="宋体" w:eastAsia="宋体" w:hint="default"/>
                <w:sz w:val="21"/>
                <w:szCs w:val="21"/>
              </w:rPr>
              <w:t>和负债期初互抵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金额</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抵销后递延所</w:t>
            </w:r>
          </w:p>
          <w:p>
            <w:pPr>
              <w:pStyle w:val="TableParagraph"/>
              <w:spacing w:line="240" w:lineRule="auto"/>
              <w:ind w:left="297" w:right="192" w:hanging="106"/>
              <w:jc w:val="left"/>
              <w:rPr>
                <w:rFonts w:ascii="宋体" w:hAnsi="宋体" w:cs="宋体" w:eastAsia="宋体" w:hint="default"/>
                <w:sz w:val="21"/>
                <w:szCs w:val="21"/>
              </w:rPr>
            </w:pPr>
            <w:r>
              <w:rPr>
                <w:rFonts w:ascii="宋体" w:hAnsi="宋体" w:cs="宋体" w:eastAsia="宋体" w:hint="default"/>
                <w:sz w:val="21"/>
                <w:szCs w:val="21"/>
              </w:rPr>
              <w:t>得税资产或负</w:t>
            </w:r>
            <w:r>
              <w:rPr>
                <w:rFonts w:ascii="宋体" w:hAnsi="宋体" w:cs="宋体" w:eastAsia="宋体" w:hint="default"/>
                <w:w w:val="100"/>
                <w:sz w:val="21"/>
                <w:szCs w:val="21"/>
              </w:rPr>
              <w:t> </w:t>
            </w:r>
            <w:r>
              <w:rPr>
                <w:rFonts w:ascii="宋体" w:hAnsi="宋体" w:cs="宋体" w:eastAsia="宋体" w:hint="default"/>
                <w:sz w:val="21"/>
                <w:szCs w:val="21"/>
              </w:rPr>
              <w:t>债期初余额</w:t>
            </w:r>
          </w:p>
        </w:tc>
      </w:tr>
      <w:tr>
        <w:trPr>
          <w:trHeight w:val="283"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41,898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26,483</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5,442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64,643</w:t>
            </w:r>
          </w:p>
        </w:tc>
      </w:tr>
      <w:tr>
        <w:trPr>
          <w:trHeight w:val="281"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41,898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16,926</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5,442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9,781</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20" w:bottom="1400" w:left="1060" w:right="1560"/>
        </w:sectPr>
      </w:pPr>
    </w:p>
    <w:p>
      <w:pPr>
        <w:pStyle w:val="Heading5"/>
        <w:spacing w:line="240" w:lineRule="auto" w:before="36"/>
        <w:ind w:left="217" w:right="-16"/>
        <w:jc w:val="left"/>
        <w:rPr>
          <w:b w:val="0"/>
          <w:bCs w:val="0"/>
        </w:rPr>
      </w:pPr>
      <w:r>
        <w:rPr>
          <w:rFonts w:ascii="宋体" w:hAnsi="宋体" w:cs="宋体" w:eastAsia="宋体" w:hint="default"/>
        </w:rPr>
        <w:t>(4).</w:t>
      </w:r>
      <w:r>
        <w:rPr/>
        <w:t>未确认递延所得税资产明细</w:t>
      </w:r>
      <w:r>
        <w:rPr>
          <w:b w:val="0"/>
          <w:bCs w:val="0"/>
        </w:rPr>
      </w:r>
    </w:p>
    <w:p>
      <w:pPr>
        <w:pStyle w:val="BodyText"/>
        <w:spacing w:line="240" w:lineRule="auto" w:before="56"/>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79" w:val="left" w:leader="none"/>
        </w:tabs>
        <w:spacing w:line="240" w:lineRule="auto"/>
        <w:ind w:left="21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60" w:right="1560"/>
          <w:cols w:num="2" w:equalWidth="0">
            <w:col w:w="3175" w:space="3136"/>
            <w:col w:w="2979"/>
          </w:cols>
        </w:sectPr>
      </w:pP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1,065,761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842,848</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1,510,568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853,997</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2,576,329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1,696,845</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20" w:bottom="1400" w:left="1060" w:right="1560"/>
        </w:sectPr>
      </w:pPr>
    </w:p>
    <w:p>
      <w:pPr>
        <w:pStyle w:val="Heading5"/>
        <w:spacing w:line="240" w:lineRule="auto" w:before="36"/>
        <w:ind w:left="217" w:right="0"/>
        <w:jc w:val="left"/>
        <w:rPr>
          <w:b w:val="0"/>
          <w:bCs w:val="0"/>
        </w:rPr>
      </w:pPr>
      <w:r>
        <w:rPr>
          <w:rFonts w:ascii="宋体" w:hAnsi="宋体" w:cs="宋体" w:eastAsia="宋体" w:hint="default"/>
          <w:spacing w:val="-1"/>
        </w:rPr>
        <w:t>(5).</w:t>
      </w:r>
      <w:r>
        <w:rPr>
          <w:spacing w:val="-1"/>
        </w:rPr>
        <w:t>未确认递延所得税资产的可抵扣亏损将于以下年度到期</w:t>
      </w:r>
      <w:r>
        <w:rPr>
          <w:b w:val="0"/>
          <w:bCs w:val="0"/>
          <w:spacing w:val="-1"/>
        </w:rPr>
      </w:r>
    </w:p>
    <w:p>
      <w:pPr>
        <w:pStyle w:val="BodyText"/>
        <w:spacing w:line="240" w:lineRule="auto" w:before="56"/>
        <w:ind w:left="2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79" w:val="left" w:leader="none"/>
        </w:tabs>
        <w:spacing w:line="240" w:lineRule="auto"/>
        <w:ind w:left="21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60" w:right="1560"/>
          <w:cols w:num="2" w:equalWidth="0">
            <w:col w:w="5704" w:space="551"/>
            <w:col w:w="3035"/>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84"/>
        <w:gridCol w:w="2288"/>
        <w:gridCol w:w="2324"/>
        <w:gridCol w:w="2355"/>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12,875</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47,734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15,781</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208,371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125,659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2021</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320,953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423,798</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120,296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166,760</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2023</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119,235</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2024</w:t>
            </w:r>
            <w:r>
              <w:rPr>
                <w:rFonts w:ascii="宋体" w:hAnsi="宋体" w:cs="宋体" w:eastAsia="宋体" w:hint="default"/>
                <w:spacing w:val="-65"/>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及</w:t>
            </w:r>
            <w:r>
              <w:rPr>
                <w:rFonts w:ascii="宋体" w:hAnsi="宋体" w:cs="宋体" w:eastAsia="宋体" w:hint="default"/>
                <w:spacing w:val="-3"/>
                <w:w w:val="100"/>
                <w:sz w:val="21"/>
                <w:szCs w:val="21"/>
              </w:rPr>
              <w:t>以</w:t>
            </w:r>
            <w:r>
              <w:rPr>
                <w:rFonts w:ascii="宋体" w:hAnsi="宋体" w:cs="宋体" w:eastAsia="宋体" w:hint="default"/>
                <w:spacing w:val="-106"/>
                <w:w w:val="100"/>
                <w:sz w:val="21"/>
                <w:szCs w:val="21"/>
              </w:rPr>
              <w:t>后</w:t>
            </w:r>
            <w:r>
              <w:rPr>
                <w:rFonts w:ascii="宋体" w:hAnsi="宋体" w:cs="宋体" w:eastAsia="宋体" w:hint="default"/>
                <w:w w:val="100"/>
                <w:sz w:val="21"/>
                <w:szCs w:val="21"/>
              </w:rPr>
              <w:t>（注</w:t>
            </w:r>
            <w:r>
              <w:rPr>
                <w:rFonts w:ascii="宋体" w:hAnsi="宋体" w:cs="宋体" w:eastAsia="宋体" w:hint="default"/>
                <w:spacing w:val="-65"/>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529,504</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无到期日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164,475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109,124</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1,510,568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853,997</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6"/>
        <w:ind w:left="217" w:right="234"/>
        <w:jc w:val="left"/>
      </w:pPr>
      <w:r>
        <w:rPr/>
        <w:t>其他说明：</w:t>
      </w:r>
    </w:p>
    <w:p>
      <w:pPr>
        <w:pStyle w:val="BodyText"/>
        <w:spacing w:line="273" w:lineRule="exact"/>
        <w:ind w:left="217" w:right="234"/>
        <w:jc w:val="left"/>
      </w:pPr>
      <w:r>
        <w:rPr/>
        <w:t>√适用 □不适用</w:t>
      </w:r>
    </w:p>
    <w:p>
      <w:pPr>
        <w:pStyle w:val="BodyText"/>
        <w:spacing w:line="357" w:lineRule="auto"/>
        <w:ind w:left="217" w:right="231" w:firstLine="420"/>
        <w:jc w:val="both"/>
      </w:pPr>
      <w:r>
        <w:rPr>
          <w:w w:val="100"/>
        </w:rPr>
        <w:t>注 </w:t>
      </w:r>
      <w:r>
        <w:rPr>
          <w:rFonts w:ascii="宋体" w:hAnsi="宋体" w:cs="宋体" w:eastAsia="宋体" w:hint="default"/>
          <w:spacing w:val="-19"/>
          <w:w w:val="100"/>
        </w:rPr>
        <w:t>1</w:t>
      </w:r>
      <w:r>
        <w:rPr>
          <w:spacing w:val="-19"/>
          <w:w w:val="100"/>
        </w:rPr>
        <w:t>：根据《财政部</w:t>
      </w:r>
      <w:r>
        <w:rPr>
          <w:w w:val="100"/>
        </w:rPr>
        <w:t> </w:t>
      </w:r>
      <w:r>
        <w:rPr>
          <w:spacing w:val="-2"/>
          <w:w w:val="100"/>
        </w:rPr>
        <w:t>税务总局关于设备</w:t>
      </w:r>
      <w:r>
        <w:rPr>
          <w:spacing w:val="-42"/>
          <w:w w:val="100"/>
        </w:rPr>
        <w:t> </w:t>
      </w:r>
      <w:r>
        <w:rPr>
          <w:spacing w:val="-10"/>
          <w:w w:val="100"/>
        </w:rPr>
        <w:t>器具扣除有关企业所得税政策的通知》（财税〔</w:t>
      </w:r>
      <w:r>
        <w:rPr>
          <w:rFonts w:ascii="宋体" w:hAnsi="宋体" w:cs="宋体" w:eastAsia="宋体" w:hint="default"/>
          <w:spacing w:val="-10"/>
          <w:w w:val="100"/>
        </w:rPr>
        <w:t>2018</w:t>
      </w:r>
      <w:r>
        <w:rPr>
          <w:spacing w:val="-10"/>
          <w:w w:val="100"/>
        </w:rPr>
        <w:t>〕</w:t>
      </w:r>
      <w:r>
        <w:rPr>
          <w:w w:val="100"/>
        </w:rPr>
        <w:t> </w:t>
      </w:r>
      <w:r>
        <w:rPr>
          <w:rFonts w:ascii="宋体" w:hAnsi="宋体" w:cs="宋体" w:eastAsia="宋体" w:hint="default"/>
        </w:rPr>
        <w:t>54</w:t>
      </w:r>
      <w:r>
        <w:rPr>
          <w:rFonts w:ascii="宋体" w:hAnsi="宋体" w:cs="宋体" w:eastAsia="宋体" w:hint="default"/>
          <w:spacing w:val="-55"/>
        </w:rPr>
        <w:t> </w:t>
      </w:r>
      <w:r>
        <w:rPr/>
        <w:t>号）规定：本集团在</w:t>
      </w:r>
      <w:r>
        <w:rPr>
          <w:spacing w:val="-55"/>
        </w:rPr>
        <w:t> </w:t>
      </w:r>
      <w:r>
        <w:rPr>
          <w:rFonts w:ascii="宋体" w:hAnsi="宋体" w:cs="宋体" w:eastAsia="宋体" w:hint="default"/>
        </w:rPr>
        <w:t>2018</w:t>
      </w:r>
      <w:r>
        <w:rPr>
          <w:rFonts w:ascii="宋体" w:hAnsi="宋体" w:cs="宋体" w:eastAsia="宋体" w:hint="default"/>
          <w:spacing w:val="-54"/>
        </w:rPr>
        <w:t> </w:t>
      </w:r>
      <w:r>
        <w:rPr/>
        <w:t>年度新购进的设备、器具，单位价值不超过</w:t>
      </w:r>
      <w:r>
        <w:rPr>
          <w:spacing w:val="-55"/>
        </w:rPr>
        <w:t> </w:t>
      </w:r>
      <w:r>
        <w:rPr>
          <w:rFonts w:ascii="宋体" w:hAnsi="宋体" w:cs="宋体" w:eastAsia="宋体" w:hint="default"/>
        </w:rPr>
        <w:t>500</w:t>
      </w:r>
      <w:r>
        <w:rPr>
          <w:rFonts w:ascii="宋体" w:hAnsi="宋体" w:cs="宋体" w:eastAsia="宋体" w:hint="default"/>
          <w:spacing w:val="-57"/>
        </w:rPr>
        <w:t> </w:t>
      </w:r>
      <w:r>
        <w:rPr/>
        <w:t>万元的，一次性计</w:t>
      </w:r>
      <w:r>
        <w:rPr>
          <w:w w:val="100"/>
        </w:rPr>
        <w:t> </w:t>
      </w:r>
      <w:r>
        <w:rPr/>
        <w:t>入当期成本费用在计算应纳税所得额时扣除。</w:t>
      </w:r>
    </w:p>
    <w:p>
      <w:pPr>
        <w:pStyle w:val="BodyText"/>
        <w:spacing w:line="240" w:lineRule="auto" w:before="30"/>
        <w:ind w:left="637" w:right="0"/>
        <w:jc w:val="left"/>
      </w:pPr>
      <w:r>
        <w:rPr/>
        <w:t>注 </w:t>
      </w:r>
      <w:r>
        <w:rPr>
          <w:rFonts w:ascii="宋体" w:hAnsi="宋体" w:cs="宋体" w:eastAsia="宋体" w:hint="default"/>
          <w:spacing w:val="-20"/>
        </w:rPr>
        <w:t>2</w:t>
      </w:r>
      <w:r>
        <w:rPr>
          <w:spacing w:val="-20"/>
        </w:rPr>
        <w:t>：根据《财政部</w:t>
      </w:r>
      <w:r>
        <w:rPr>
          <w:spacing w:val="-47"/>
        </w:rPr>
        <w:t> </w:t>
      </w:r>
      <w:r>
        <w:rPr/>
        <w:t>税务总局关于延长高新技术企业和科技型中小企业亏损结转年限的通知》</w:t>
      </w:r>
    </w:p>
    <w:p>
      <w:pPr>
        <w:pStyle w:val="BodyText"/>
        <w:spacing w:line="240" w:lineRule="auto" w:before="133"/>
        <w:ind w:left="217" w:right="234"/>
        <w:jc w:val="left"/>
      </w:pPr>
      <w:r>
        <w:rPr/>
        <w:t>（财税〔</w:t>
      </w:r>
      <w:r>
        <w:rPr>
          <w:rFonts w:ascii="宋体" w:hAnsi="宋体" w:cs="宋体" w:eastAsia="宋体" w:hint="default"/>
        </w:rPr>
        <w:t>2018</w:t>
      </w:r>
      <w:r>
        <w:rPr/>
        <w:t>〕</w:t>
      </w:r>
      <w:r>
        <w:rPr>
          <w:rFonts w:ascii="宋体" w:hAnsi="宋体" w:cs="宋体" w:eastAsia="宋体" w:hint="default"/>
        </w:rPr>
        <w:t>76</w:t>
      </w:r>
      <w:r>
        <w:rPr>
          <w:rFonts w:ascii="宋体" w:hAnsi="宋体" w:cs="宋体" w:eastAsia="宋体" w:hint="default"/>
          <w:spacing w:val="-56"/>
        </w:rPr>
        <w:t> </w:t>
      </w:r>
      <w:r>
        <w:rPr/>
        <w:t>号）规定：自</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日起，当年具备高新技术企业资格的子公司，其</w:t>
      </w:r>
    </w:p>
    <w:p>
      <w:pPr>
        <w:pStyle w:val="BodyText"/>
        <w:spacing w:line="240" w:lineRule="auto" w:before="133"/>
        <w:ind w:left="217" w:right="124"/>
        <w:jc w:val="left"/>
      </w:pPr>
      <w:r>
        <w:rPr/>
        <w:t>具备资格年度之前</w:t>
      </w:r>
      <w:r>
        <w:rPr>
          <w:spacing w:val="-54"/>
        </w:rPr>
        <w:t> </w:t>
      </w:r>
      <w:r>
        <w:rPr>
          <w:rFonts w:ascii="宋体" w:hAnsi="宋体" w:cs="宋体" w:eastAsia="宋体" w:hint="default"/>
        </w:rPr>
        <w:t>5</w:t>
      </w:r>
      <w:r>
        <w:rPr>
          <w:rFonts w:ascii="宋体" w:hAnsi="宋体" w:cs="宋体" w:eastAsia="宋体" w:hint="default"/>
          <w:spacing w:val="-56"/>
        </w:rPr>
        <w:t> </w:t>
      </w:r>
      <w:r>
        <w:rPr/>
        <w:t>个年度发生的尚未弥补完的亏损，准予结转以后年度弥补，最长结转年限由</w:t>
      </w:r>
    </w:p>
    <w:p>
      <w:pPr>
        <w:pStyle w:val="BodyText"/>
        <w:spacing w:line="240" w:lineRule="auto" w:before="133"/>
        <w:ind w:left="217" w:right="234"/>
        <w:jc w:val="left"/>
      </w:pPr>
      <w:r>
        <w:rPr>
          <w:rFonts w:ascii="宋体" w:hAnsi="宋体" w:cs="宋体" w:eastAsia="宋体" w:hint="default"/>
        </w:rPr>
        <w:t>5</w:t>
      </w:r>
      <w:r>
        <w:rPr>
          <w:rFonts w:ascii="宋体" w:hAnsi="宋体" w:cs="宋体" w:eastAsia="宋体" w:hint="default"/>
          <w:spacing w:val="-51"/>
        </w:rPr>
        <w:t> </w:t>
      </w:r>
      <w:r>
        <w:rPr/>
        <w:t>年延长至</w:t>
      </w:r>
      <w:r>
        <w:rPr>
          <w:spacing w:val="-54"/>
        </w:rPr>
        <w:t> </w:t>
      </w:r>
      <w:r>
        <w:rPr>
          <w:rFonts w:ascii="宋体" w:hAnsi="宋体" w:cs="宋体" w:eastAsia="宋体" w:hint="default"/>
        </w:rPr>
        <w:t>10</w:t>
      </w:r>
      <w:r>
        <w:rPr>
          <w:rFonts w:ascii="宋体" w:hAnsi="宋体" w:cs="宋体" w:eastAsia="宋体" w:hint="default"/>
          <w:spacing w:val="-54"/>
        </w:rPr>
        <w:t> </w:t>
      </w:r>
      <w:r>
        <w:rPr/>
        <w:t>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5"/>
        <w:spacing w:line="240" w:lineRule="auto"/>
        <w:ind w:left="217" w:right="234"/>
        <w:jc w:val="left"/>
        <w:rPr>
          <w:b w:val="0"/>
          <w:bCs w:val="0"/>
        </w:rPr>
      </w:pPr>
      <w:r>
        <w:rPr>
          <w:rFonts w:ascii="宋体" w:hAnsi="宋体" w:cs="宋体" w:eastAsia="宋体" w:hint="default"/>
        </w:rPr>
        <w:t>25</w:t>
      </w:r>
      <w:r>
        <w:rPr/>
        <w:t>、</w:t>
      </w:r>
      <w:r>
        <w:rPr>
          <w:spacing w:val="-23"/>
        </w:rPr>
        <w:t> </w:t>
      </w:r>
      <w:r>
        <w:rPr/>
        <w:t>其他非流动资产</w:t>
      </w:r>
      <w:r>
        <w:rPr>
          <w:b w:val="0"/>
          <w:bCs w:val="0"/>
        </w:rPr>
      </w:r>
    </w:p>
    <w:p>
      <w:pPr>
        <w:pStyle w:val="BodyText"/>
        <w:spacing w:line="240" w:lineRule="auto" w:before="58"/>
        <w:ind w:left="217" w:right="234"/>
        <w:jc w:val="left"/>
      </w:pPr>
      <w:r>
        <w:rPr/>
        <w:t>√适用 □不适用</w:t>
      </w:r>
    </w:p>
    <w:p>
      <w:pPr>
        <w:spacing w:after="0" w:line="240" w:lineRule="auto"/>
        <w:jc w:val="left"/>
        <w:sectPr>
          <w:type w:val="continuous"/>
          <w:pgSz w:w="11910" w:h="16840"/>
          <w:pgMar w:top="1320" w:bottom="1400" w:left="1060" w:right="1560"/>
        </w:sectPr>
      </w:pPr>
    </w:p>
    <w:p>
      <w:pPr>
        <w:pStyle w:val="BodyText"/>
        <w:tabs>
          <w:tab w:pos="1262" w:val="left" w:leader="none"/>
        </w:tabs>
        <w:spacing w:line="240" w:lineRule="auto" w:before="72"/>
        <w:ind w:left="0" w:right="233"/>
        <w:jc w:val="right"/>
      </w:pPr>
      <w:r>
        <w:rPr>
          <w:spacing w:val="-1"/>
        </w:rPr>
        <w:t>单位：千元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16"/>
        <w:gridCol w:w="3080"/>
        <w:gridCol w:w="3001"/>
      </w:tblGrid>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90"/>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预付投资款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265,000</w:t>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长期押金</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1,924</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08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19,700</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265,010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21,624</w:t>
            </w:r>
          </w:p>
        </w:tc>
      </w:tr>
    </w:tbl>
    <w:p>
      <w:pPr>
        <w:spacing w:line="240" w:lineRule="auto" w:before="5"/>
        <w:rPr>
          <w:rFonts w:ascii="宋体" w:hAnsi="宋体" w:cs="宋体" w:eastAsia="宋体" w:hint="default"/>
          <w:sz w:val="15"/>
          <w:szCs w:val="15"/>
        </w:rPr>
      </w:pPr>
    </w:p>
    <w:p>
      <w:pPr>
        <w:pStyle w:val="BodyText"/>
        <w:spacing w:line="240" w:lineRule="auto" w:before="36"/>
        <w:ind w:left="217" w:right="7999"/>
        <w:jc w:val="left"/>
      </w:pPr>
      <w:r>
        <w:rPr/>
        <w:t>其他说明：</w:t>
      </w:r>
      <w:r>
        <w:rPr>
          <w:spacing w:val="-102"/>
        </w:rPr>
        <w:t> </w:t>
      </w:r>
      <w:r>
        <w:rPr>
          <w:spacing w:val="-102"/>
        </w:rPr>
      </w:r>
      <w:r>
        <w:rPr/>
        <w:t>无。</w:t>
      </w:r>
    </w:p>
    <w:p>
      <w:pPr>
        <w:spacing w:line="240" w:lineRule="auto" w:before="2"/>
        <w:rPr>
          <w:rFonts w:ascii="宋体" w:hAnsi="宋体" w:cs="宋体" w:eastAsia="宋体" w:hint="default"/>
          <w:sz w:val="28"/>
          <w:szCs w:val="28"/>
        </w:rPr>
      </w:pPr>
    </w:p>
    <w:p>
      <w:pPr>
        <w:pStyle w:val="Heading5"/>
        <w:spacing w:line="290" w:lineRule="auto"/>
        <w:ind w:left="217" w:right="7361"/>
        <w:jc w:val="left"/>
        <w:rPr>
          <w:b w:val="0"/>
          <w:bCs w:val="0"/>
        </w:rPr>
      </w:pPr>
      <w:r>
        <w:rPr>
          <w:rFonts w:ascii="宋体" w:hAnsi="宋体" w:cs="宋体" w:eastAsia="宋体" w:hint="default"/>
        </w:rPr>
        <w:t>26</w:t>
      </w:r>
      <w:r>
        <w:rPr/>
        <w:t>、</w:t>
      </w:r>
      <w:r>
        <w:rPr>
          <w:spacing w:val="-25"/>
        </w:rPr>
        <w:t> </w:t>
      </w:r>
      <w:r>
        <w:rPr/>
        <w:t>短期借款</w:t>
      </w:r>
      <w:r>
        <w:rPr>
          <w:w w:val="100"/>
        </w:rPr>
        <w:t> </w:t>
      </w:r>
      <w:r>
        <w:rPr>
          <w:rFonts w:ascii="宋体" w:hAnsi="宋体" w:cs="宋体" w:eastAsia="宋体" w:hint="default"/>
        </w:rPr>
        <w:t>(1).</w:t>
      </w:r>
      <w:r>
        <w:rPr/>
        <w:t>短期借款分类</w:t>
      </w:r>
      <w:r>
        <w:rPr>
          <w:b w:val="0"/>
          <w:bCs w:val="0"/>
        </w:rPr>
      </w:r>
    </w:p>
    <w:p>
      <w:pPr>
        <w:pStyle w:val="BodyText"/>
        <w:spacing w:line="240" w:lineRule="auto" w:before="15"/>
        <w:ind w:left="217" w:right="234"/>
        <w:jc w:val="left"/>
      </w:pPr>
      <w:r>
        <w:rPr/>
        <w:t>□适用 √不适用</w:t>
      </w:r>
    </w:p>
    <w:p>
      <w:pPr>
        <w:spacing w:line="240" w:lineRule="auto" w:before="2"/>
        <w:rPr>
          <w:rFonts w:ascii="宋体" w:hAnsi="宋体" w:cs="宋体" w:eastAsia="宋体" w:hint="default"/>
          <w:sz w:val="28"/>
          <w:szCs w:val="28"/>
        </w:rPr>
      </w:pPr>
    </w:p>
    <w:p>
      <w:pPr>
        <w:pStyle w:val="Heading5"/>
        <w:spacing w:line="240" w:lineRule="auto"/>
        <w:ind w:left="217" w:right="234"/>
        <w:jc w:val="left"/>
        <w:rPr>
          <w:b w:val="0"/>
          <w:bCs w:val="0"/>
        </w:rPr>
      </w:pPr>
      <w:r>
        <w:rPr>
          <w:rFonts w:ascii="宋体" w:hAnsi="宋体" w:cs="宋体" w:eastAsia="宋体" w:hint="default"/>
        </w:rPr>
        <w:t>(2).</w:t>
      </w:r>
      <w:r>
        <w:rPr/>
        <w:t>已逾期未偿还的短期借款情况</w:t>
      </w:r>
      <w:r>
        <w:rPr>
          <w:b w:val="0"/>
          <w:bCs w:val="0"/>
        </w:rPr>
      </w:r>
    </w:p>
    <w:p>
      <w:pPr>
        <w:pStyle w:val="BodyText"/>
        <w:spacing w:line="240" w:lineRule="auto" w:before="58"/>
        <w:ind w:left="217" w:right="234"/>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left="217" w:right="234"/>
        <w:jc w:val="left"/>
      </w:pPr>
      <w:r>
        <w:rPr/>
        <w:t>其中重要的已逾期未偿还的短期借款情况如下：</w:t>
      </w:r>
    </w:p>
    <w:p>
      <w:pPr>
        <w:pStyle w:val="BodyText"/>
        <w:spacing w:line="272" w:lineRule="exact" w:before="26"/>
        <w:ind w:left="217" w:right="7474"/>
        <w:jc w:val="left"/>
      </w:pPr>
      <w:r>
        <w:rPr/>
        <w:t>□适用 √不适用</w:t>
      </w:r>
      <w:r>
        <w:rPr>
          <w:w w:val="100"/>
        </w:rPr>
        <w:t> </w:t>
      </w:r>
      <w:r>
        <w:rPr/>
        <w:t>其他说明</w:t>
      </w:r>
    </w:p>
    <w:p>
      <w:pPr>
        <w:pStyle w:val="BodyText"/>
        <w:spacing w:line="249" w:lineRule="exact"/>
        <w:ind w:left="217" w:right="234"/>
        <w:jc w:val="left"/>
      </w:pPr>
      <w:r>
        <w:rPr/>
        <w:t>□适用 √不适用</w:t>
      </w:r>
    </w:p>
    <w:p>
      <w:pPr>
        <w:spacing w:line="240" w:lineRule="auto" w:before="2"/>
        <w:rPr>
          <w:rFonts w:ascii="宋体" w:hAnsi="宋体" w:cs="宋体" w:eastAsia="宋体" w:hint="default"/>
          <w:sz w:val="28"/>
          <w:szCs w:val="28"/>
        </w:rPr>
      </w:pPr>
    </w:p>
    <w:p>
      <w:pPr>
        <w:pStyle w:val="Heading5"/>
        <w:spacing w:line="240" w:lineRule="auto"/>
        <w:ind w:left="217" w:right="234"/>
        <w:jc w:val="left"/>
        <w:rPr>
          <w:b w:val="0"/>
          <w:bCs w:val="0"/>
        </w:rPr>
      </w:pPr>
      <w:r>
        <w:rPr>
          <w:rFonts w:ascii="宋体" w:hAnsi="宋体" w:cs="宋体" w:eastAsia="宋体" w:hint="default"/>
        </w:rPr>
        <w:t>27</w:t>
      </w:r>
      <w:r>
        <w:rPr/>
        <w:t>、</w:t>
      </w:r>
      <w:r>
        <w:rPr>
          <w:spacing w:val="-27"/>
        </w:rPr>
        <w:t> </w:t>
      </w:r>
      <w:r>
        <w:rPr/>
        <w:t>以公允价值计量且其变动计入当期损益的金融负债</w:t>
      </w:r>
      <w:r>
        <w:rPr>
          <w:b w:val="0"/>
          <w:bCs w:val="0"/>
        </w:rPr>
      </w:r>
    </w:p>
    <w:p>
      <w:pPr>
        <w:pStyle w:val="BodyText"/>
        <w:spacing w:line="240" w:lineRule="auto" w:before="58"/>
        <w:ind w:left="217" w:right="234"/>
        <w:jc w:val="left"/>
      </w:pPr>
      <w:r>
        <w:rPr/>
        <w:t>□适用 √不适用</w:t>
      </w:r>
    </w:p>
    <w:p>
      <w:pPr>
        <w:spacing w:line="240" w:lineRule="auto" w:before="2"/>
        <w:rPr>
          <w:rFonts w:ascii="宋体" w:hAnsi="宋体" w:cs="宋体" w:eastAsia="宋体" w:hint="default"/>
          <w:sz w:val="28"/>
          <w:szCs w:val="28"/>
        </w:rPr>
      </w:pPr>
    </w:p>
    <w:p>
      <w:pPr>
        <w:pStyle w:val="Heading5"/>
        <w:spacing w:line="240" w:lineRule="auto"/>
        <w:ind w:left="217" w:right="234"/>
        <w:jc w:val="left"/>
        <w:rPr>
          <w:b w:val="0"/>
          <w:bCs w:val="0"/>
        </w:rPr>
      </w:pPr>
      <w:r>
        <w:rPr>
          <w:rFonts w:ascii="宋体" w:hAnsi="宋体" w:cs="宋体" w:eastAsia="宋体" w:hint="default"/>
        </w:rPr>
        <w:t>28</w:t>
      </w:r>
      <w:r>
        <w:rPr/>
        <w:t>、</w:t>
      </w:r>
      <w:r>
        <w:rPr>
          <w:spacing w:val="-24"/>
        </w:rPr>
        <w:t> </w:t>
      </w:r>
      <w:r>
        <w:rPr/>
        <w:t>衍生金融负债</w:t>
      </w:r>
      <w:r>
        <w:rPr>
          <w:b w:val="0"/>
          <w:bCs w:val="0"/>
        </w:rPr>
      </w:r>
    </w:p>
    <w:p>
      <w:pPr>
        <w:pStyle w:val="BodyText"/>
        <w:spacing w:line="240" w:lineRule="auto" w:before="56"/>
        <w:ind w:left="217" w:right="234"/>
        <w:jc w:val="left"/>
      </w:pPr>
      <w:r>
        <w:rPr/>
        <w:t>□适用 √不适用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217" w:top="1320" w:bottom="1400" w:left="1060" w:right="1560"/>
        </w:sectPr>
      </w:pPr>
    </w:p>
    <w:p>
      <w:pPr>
        <w:pStyle w:val="Heading5"/>
        <w:spacing w:line="290" w:lineRule="auto" w:before="36"/>
        <w:ind w:left="217" w:right="-19"/>
        <w:jc w:val="left"/>
        <w:rPr>
          <w:b w:val="0"/>
          <w:bCs w:val="0"/>
        </w:rPr>
      </w:pPr>
      <w:r>
        <w:rPr>
          <w:rFonts w:ascii="宋体" w:hAnsi="宋体" w:cs="宋体" w:eastAsia="宋体" w:hint="default"/>
        </w:rPr>
        <w:t>29</w:t>
      </w:r>
      <w:r>
        <w:rPr/>
        <w:t>、</w:t>
      </w:r>
      <w:r>
        <w:rPr>
          <w:spacing w:val="-22"/>
        </w:rPr>
        <w:t> </w:t>
      </w:r>
      <w:r>
        <w:rPr/>
        <w:t>应付票据及应付账款</w:t>
      </w:r>
      <w:r>
        <w:rPr>
          <w:w w:val="100"/>
        </w:rPr>
        <w:t> </w:t>
      </w:r>
      <w:r>
        <w:rPr/>
        <w:t>总表情况</w:t>
      </w:r>
      <w:r>
        <w:rPr>
          <w:b w:val="0"/>
          <w:bCs w:val="0"/>
        </w:rPr>
      </w:r>
    </w:p>
    <w:p>
      <w:pPr>
        <w:pStyle w:val="Heading5"/>
        <w:spacing w:line="240" w:lineRule="auto" w:before="12"/>
        <w:ind w:left="217" w:right="-19"/>
        <w:jc w:val="left"/>
        <w:rPr>
          <w:b w:val="0"/>
          <w:bCs w:val="0"/>
        </w:rPr>
      </w:pPr>
      <w:r>
        <w:rPr>
          <w:rFonts w:ascii="宋体" w:hAnsi="宋体" w:cs="宋体" w:eastAsia="宋体" w:hint="default"/>
        </w:rPr>
        <w:t>(1).</w:t>
      </w:r>
      <w:r>
        <w:rPr/>
        <w:t>分类列示</w:t>
      </w:r>
      <w:r>
        <w:rPr>
          <w:b w:val="0"/>
          <w:bCs w:val="0"/>
        </w:rPr>
      </w:r>
    </w:p>
    <w:p>
      <w:pPr>
        <w:pStyle w:val="BodyText"/>
        <w:spacing w:line="240" w:lineRule="auto" w:before="58"/>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479" w:val="left" w:leader="none"/>
        </w:tabs>
        <w:spacing w:line="240" w:lineRule="auto"/>
        <w:ind w:left="21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60" w:right="1560"/>
          <w:cols w:num="2" w:equalWidth="0">
            <w:col w:w="2623" w:space="3688"/>
            <w:col w:w="297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2,350,152</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2,121,084</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2,350,152</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2,121,084</w:t>
            </w:r>
          </w:p>
        </w:tc>
      </w:tr>
    </w:tbl>
    <w:p>
      <w:pPr>
        <w:spacing w:line="240" w:lineRule="auto" w:before="5"/>
        <w:rPr>
          <w:rFonts w:ascii="宋体" w:hAnsi="宋体" w:cs="宋体" w:eastAsia="宋体" w:hint="default"/>
          <w:sz w:val="15"/>
          <w:szCs w:val="15"/>
        </w:rPr>
      </w:pPr>
    </w:p>
    <w:p>
      <w:pPr>
        <w:pStyle w:val="BodyText"/>
        <w:spacing w:line="274" w:lineRule="exact" w:before="36"/>
        <w:ind w:left="217" w:right="234"/>
        <w:jc w:val="left"/>
      </w:pPr>
      <w:r>
        <w:rPr/>
        <w:t>其他说明：</w:t>
      </w:r>
    </w:p>
    <w:p>
      <w:pPr>
        <w:pStyle w:val="BodyText"/>
        <w:spacing w:line="274" w:lineRule="exact"/>
        <w:ind w:left="217" w:right="234"/>
        <w:jc w:val="left"/>
      </w:pPr>
      <w:r>
        <w:rPr/>
        <w:t>□适用 √不适用</w:t>
      </w:r>
    </w:p>
    <w:p>
      <w:pPr>
        <w:spacing w:line="240" w:lineRule="auto" w:before="2"/>
        <w:rPr>
          <w:rFonts w:ascii="宋体" w:hAnsi="宋体" w:cs="宋体" w:eastAsia="宋体" w:hint="default"/>
          <w:sz w:val="28"/>
          <w:szCs w:val="28"/>
        </w:rPr>
      </w:pPr>
    </w:p>
    <w:p>
      <w:pPr>
        <w:pStyle w:val="Heading5"/>
        <w:spacing w:line="290" w:lineRule="auto"/>
        <w:ind w:left="217" w:right="7361"/>
        <w:jc w:val="left"/>
        <w:rPr>
          <w:b w:val="0"/>
          <w:bCs w:val="0"/>
        </w:rPr>
      </w:pPr>
      <w:r>
        <w:rPr/>
        <w:t>应付票据</w:t>
      </w:r>
      <w:r>
        <w:rPr>
          <w:w w:val="100"/>
        </w:rPr>
        <w:t> </w:t>
      </w:r>
      <w:r>
        <w:rPr>
          <w:rFonts w:ascii="宋体" w:hAnsi="宋体" w:cs="宋体" w:eastAsia="宋体" w:hint="default"/>
        </w:rPr>
        <w:t>(2).</w:t>
      </w:r>
      <w:r>
        <w:rPr/>
        <w:t>应付票据列示</w:t>
      </w:r>
      <w:r>
        <w:rPr>
          <w:b w:val="0"/>
          <w:bCs w:val="0"/>
        </w:rPr>
      </w:r>
    </w:p>
    <w:p>
      <w:pPr>
        <w:pStyle w:val="BodyText"/>
        <w:spacing w:line="240" w:lineRule="auto" w:before="14"/>
        <w:ind w:left="217" w:right="234"/>
        <w:jc w:val="left"/>
      </w:pPr>
      <w:r>
        <w:rPr/>
        <w:t>□适用 √不适用</w:t>
      </w:r>
    </w:p>
    <w:p>
      <w:pPr>
        <w:spacing w:after="0" w:line="240" w:lineRule="auto"/>
        <w:jc w:val="left"/>
        <w:sectPr>
          <w:type w:val="continuous"/>
          <w:pgSz w:w="11910" w:h="16840"/>
          <w:pgMar w:top="1320" w:bottom="1400" w:left="1060" w:right="1560"/>
        </w:sectPr>
      </w:pPr>
    </w:p>
    <w:p>
      <w:pPr>
        <w:pStyle w:val="Heading5"/>
        <w:spacing w:line="290" w:lineRule="auto" w:before="72"/>
        <w:ind w:left="217" w:right="-14"/>
        <w:jc w:val="left"/>
        <w:rPr>
          <w:b w:val="0"/>
          <w:bCs w:val="0"/>
        </w:rPr>
      </w:pPr>
      <w:r>
        <w:rPr/>
        <w:t>应付账款</w:t>
      </w:r>
      <w:r>
        <w:rPr>
          <w:w w:val="100"/>
        </w:rPr>
        <w:t> </w:t>
      </w:r>
      <w:r>
        <w:rPr>
          <w:rFonts w:ascii="宋体" w:hAnsi="宋体" w:cs="宋体" w:eastAsia="宋体" w:hint="default"/>
        </w:rPr>
        <w:t>(3).</w:t>
      </w:r>
      <w:r>
        <w:rPr/>
        <w:t>应付账款列示</w:t>
      </w:r>
      <w:r>
        <w:rPr>
          <w:b w:val="0"/>
          <w:bCs w:val="0"/>
        </w:rPr>
      </w:r>
    </w:p>
    <w:p>
      <w:pPr>
        <w:pStyle w:val="BodyText"/>
        <w:spacing w:line="240" w:lineRule="auto" w:before="14"/>
        <w:ind w:left="21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tabs>
          <w:tab w:pos="1479" w:val="left" w:leader="none"/>
        </w:tabs>
        <w:spacing w:line="240" w:lineRule="auto"/>
        <w:ind w:left="217" w:right="0"/>
        <w:jc w:val="left"/>
      </w:pPr>
      <w:r>
        <w:rPr>
          <w:spacing w:val="-1"/>
        </w:rPr>
        <w:t>单位：千元</w:t>
        <w:tab/>
      </w:r>
      <w:r>
        <w:rPr>
          <w:spacing w:val="-2"/>
        </w:rPr>
        <w:t>币种：人民币</w:t>
      </w:r>
    </w:p>
    <w:p>
      <w:pPr>
        <w:spacing w:after="0" w:line="240" w:lineRule="auto"/>
        <w:jc w:val="left"/>
        <w:sectPr>
          <w:pgSz w:w="11910" w:h="16840"/>
          <w:pgMar w:header="0" w:footer="1217" w:top="1320" w:bottom="1400" w:left="1060" w:right="1560"/>
          <w:cols w:num="2" w:equalWidth="0">
            <w:col w:w="1912" w:space="4398"/>
            <w:col w:w="2980"/>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43"/>
        <w:gridCol w:w="2866"/>
        <w:gridCol w:w="3341"/>
      </w:tblGrid>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游戏分成款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351,158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489,742</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流量采购分成款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363,493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263,140</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市场推广费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326,352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459,185</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互联网广告返点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875,584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552,984</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存货采购款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128,306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99,106</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带宽租赁费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106,837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148,497</w:t>
            </w:r>
          </w:p>
        </w:tc>
      </w:tr>
      <w:tr>
        <w:trPr>
          <w:trHeight w:val="284"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固定资产及无形资产采购款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109,189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11,838</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89,233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96,592</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2,350,152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2,121,084</w:t>
            </w:r>
          </w:p>
        </w:tc>
      </w:tr>
    </w:tbl>
    <w:p>
      <w:pPr>
        <w:spacing w:line="240" w:lineRule="auto" w:before="11"/>
        <w:rPr>
          <w:rFonts w:ascii="宋体" w:hAnsi="宋体" w:cs="宋体" w:eastAsia="宋体" w:hint="default"/>
          <w:sz w:val="22"/>
          <w:szCs w:val="22"/>
        </w:rPr>
      </w:pPr>
    </w:p>
    <w:p>
      <w:pPr>
        <w:pStyle w:val="Heading5"/>
        <w:spacing w:line="240" w:lineRule="auto" w:before="36"/>
        <w:ind w:left="217" w:right="234"/>
        <w:jc w:val="left"/>
        <w:rPr>
          <w:b w:val="0"/>
          <w:bCs w:val="0"/>
        </w:rPr>
      </w:pPr>
      <w:r>
        <w:rPr>
          <w:rFonts w:ascii="宋体" w:hAnsi="宋体" w:cs="宋体" w:eastAsia="宋体" w:hint="default"/>
        </w:rPr>
        <w:t>(4).</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b w:val="0"/>
          <w:bCs w:val="0"/>
        </w:rPr>
      </w:r>
    </w:p>
    <w:p>
      <w:pPr>
        <w:pStyle w:val="BodyText"/>
        <w:spacing w:line="272" w:lineRule="exact" w:before="86"/>
        <w:ind w:left="217" w:right="7474"/>
        <w:jc w:val="left"/>
      </w:pPr>
      <w:r>
        <w:rPr/>
        <w:t>□适用 √不适用</w:t>
      </w:r>
      <w:r>
        <w:rPr>
          <w:w w:val="100"/>
        </w:rPr>
        <w:t> </w:t>
      </w:r>
      <w:r>
        <w:rPr/>
        <w:t>其他说明</w:t>
      </w:r>
    </w:p>
    <w:p>
      <w:pPr>
        <w:pStyle w:val="BodyText"/>
        <w:spacing w:line="249" w:lineRule="exact"/>
        <w:ind w:left="217" w:right="234"/>
        <w:jc w:val="left"/>
      </w:pPr>
      <w:r>
        <w:rPr/>
        <w:t>□适用 √不适用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320" w:bottom="1400" w:left="1060" w:right="1560"/>
        </w:sectPr>
      </w:pPr>
    </w:p>
    <w:p>
      <w:pPr>
        <w:pStyle w:val="Heading5"/>
        <w:spacing w:line="240" w:lineRule="auto" w:before="36"/>
        <w:ind w:left="217" w:right="-19"/>
        <w:jc w:val="left"/>
        <w:rPr>
          <w:b w:val="0"/>
          <w:bCs w:val="0"/>
        </w:rPr>
      </w:pPr>
      <w:r>
        <w:rPr>
          <w:rFonts w:ascii="宋体" w:hAnsi="宋体" w:cs="宋体" w:eastAsia="宋体" w:hint="default"/>
        </w:rPr>
        <w:t>30</w:t>
      </w:r>
      <w:r>
        <w:rPr/>
        <w:t>、</w:t>
      </w:r>
      <w:r>
        <w:rPr>
          <w:spacing w:val="-24"/>
        </w:rPr>
        <w:t> </w:t>
      </w:r>
      <w:r>
        <w:rPr/>
        <w:t>预收款项</w:t>
      </w:r>
      <w:r>
        <w:rPr>
          <w:b w:val="0"/>
          <w:bCs w:val="0"/>
        </w:rPr>
      </w:r>
    </w:p>
    <w:p>
      <w:pPr>
        <w:pStyle w:val="Heading5"/>
        <w:spacing w:line="240" w:lineRule="auto" w:before="56"/>
        <w:ind w:left="217"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9"/>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479" w:val="left" w:leader="none"/>
        </w:tabs>
        <w:spacing w:line="240" w:lineRule="auto"/>
        <w:ind w:left="21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60" w:right="1560"/>
          <w:cols w:num="2" w:equalWidth="0">
            <w:col w:w="2224" w:space="4086"/>
            <w:col w:w="2980"/>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互联网广告及服务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444,137</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363,631</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互联网增值服务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76,375</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99,310</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智能硬件</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9,532</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11,281</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57,730</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83,411</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587,774</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557,633</w:t>
            </w:r>
          </w:p>
        </w:tc>
      </w:tr>
    </w:tbl>
    <w:p>
      <w:pPr>
        <w:spacing w:line="240" w:lineRule="auto" w:before="11"/>
        <w:rPr>
          <w:rFonts w:ascii="宋体" w:hAnsi="宋体" w:cs="宋体" w:eastAsia="宋体" w:hint="default"/>
          <w:sz w:val="22"/>
          <w:szCs w:val="22"/>
        </w:rPr>
      </w:pPr>
    </w:p>
    <w:p>
      <w:pPr>
        <w:pStyle w:val="Heading5"/>
        <w:spacing w:line="240" w:lineRule="auto" w:before="36"/>
        <w:ind w:left="217" w:right="234"/>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b w:val="0"/>
          <w:bCs w:val="0"/>
        </w:rPr>
      </w:r>
    </w:p>
    <w:p>
      <w:pPr>
        <w:pStyle w:val="BodyText"/>
        <w:spacing w:line="240" w:lineRule="auto" w:before="58"/>
        <w:ind w:left="217" w:right="234"/>
        <w:jc w:val="left"/>
      </w:pPr>
      <w:r>
        <w:rPr/>
        <w:t>□适用 √不适用</w:t>
      </w:r>
    </w:p>
    <w:p>
      <w:pPr>
        <w:pStyle w:val="Heading5"/>
        <w:spacing w:line="240" w:lineRule="auto" w:before="57"/>
        <w:ind w:left="217" w:right="234"/>
        <w:jc w:val="left"/>
        <w:rPr>
          <w:b w:val="0"/>
          <w:bCs w:val="0"/>
        </w:rPr>
      </w:pPr>
      <w:r>
        <w:rPr>
          <w:rFonts w:ascii="宋体" w:hAnsi="宋体" w:cs="宋体" w:eastAsia="宋体" w:hint="default"/>
        </w:rPr>
        <w:t>(3).</w:t>
      </w:r>
      <w:r>
        <w:rPr>
          <w:rFonts w:ascii="宋体" w:hAnsi="宋体" w:cs="宋体" w:eastAsia="宋体" w:hint="default"/>
          <w:spacing w:val="-2"/>
        </w:rPr>
        <w:t> </w:t>
      </w:r>
      <w:r>
        <w:rPr/>
        <w:t>期末建造合同形成的已结算未完工项目情况</w:t>
      </w:r>
      <w:r>
        <w:rPr>
          <w:b w:val="0"/>
          <w:bCs w:val="0"/>
        </w:rPr>
      </w:r>
    </w:p>
    <w:p>
      <w:pPr>
        <w:pStyle w:val="BodyText"/>
        <w:spacing w:line="272" w:lineRule="exact" w:before="86"/>
        <w:ind w:left="217" w:right="7474"/>
        <w:jc w:val="left"/>
      </w:pPr>
      <w:r>
        <w:rPr/>
        <w:t>□适用 √不适用</w:t>
      </w:r>
      <w:r>
        <w:rPr>
          <w:w w:val="100"/>
        </w:rPr>
        <w:t> </w:t>
      </w:r>
      <w:r>
        <w:rPr/>
        <w:t>其他说明</w:t>
      </w:r>
    </w:p>
    <w:p>
      <w:pPr>
        <w:pStyle w:val="BodyText"/>
        <w:spacing w:line="249" w:lineRule="exact"/>
        <w:ind w:left="217" w:right="234"/>
        <w:jc w:val="left"/>
      </w:pPr>
      <w:r>
        <w:rPr/>
        <w:t>□适用 √不适用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320" w:bottom="1400" w:left="1060" w:right="1560"/>
        </w:sectPr>
      </w:pPr>
    </w:p>
    <w:p>
      <w:pPr>
        <w:pStyle w:val="Heading5"/>
        <w:spacing w:line="290" w:lineRule="auto" w:before="36"/>
        <w:ind w:left="217" w:right="-16"/>
        <w:jc w:val="left"/>
        <w:rPr>
          <w:b w:val="0"/>
          <w:bCs w:val="0"/>
        </w:rPr>
      </w:pPr>
      <w:r>
        <w:rPr>
          <w:rFonts w:ascii="宋体" w:hAnsi="宋体" w:cs="宋体" w:eastAsia="宋体" w:hint="default"/>
        </w:rPr>
        <w:t>31</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4"/>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479" w:val="left" w:leader="none"/>
        </w:tabs>
        <w:spacing w:line="240" w:lineRule="auto"/>
        <w:ind w:left="21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60" w:right="1560"/>
          <w:cols w:num="2" w:equalWidth="0">
            <w:col w:w="2332" w:space="3978"/>
            <w:col w:w="2980"/>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71"/>
        <w:gridCol w:w="1418"/>
        <w:gridCol w:w="1560"/>
        <w:gridCol w:w="1419"/>
        <w:gridCol w:w="1282"/>
      </w:tblGrid>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395,139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2,432,963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2,103,042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725,060</w:t>
            </w:r>
          </w:p>
        </w:tc>
      </w:tr>
      <w:tr>
        <w:trPr>
          <w:trHeight w:val="284"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设定提存计划</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15,529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215,928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214,217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17,240</w:t>
            </w:r>
          </w:p>
        </w:tc>
      </w:tr>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410,668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2,648,891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2,317,259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742,300</w:t>
            </w:r>
          </w:p>
        </w:tc>
      </w:tr>
    </w:tbl>
    <w:p>
      <w:pPr>
        <w:spacing w:after="0" w:line="241" w:lineRule="exact"/>
        <w:jc w:val="right"/>
        <w:rPr>
          <w:rFonts w:ascii="宋体" w:hAnsi="宋体" w:cs="宋体" w:eastAsia="宋体" w:hint="default"/>
          <w:sz w:val="21"/>
          <w:szCs w:val="21"/>
        </w:rPr>
        <w:sectPr>
          <w:type w:val="continuous"/>
          <w:pgSz w:w="11910" w:h="16840"/>
          <w:pgMar w:top="1320" w:bottom="1400" w:left="1060" w:right="156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217" w:top="1320" w:bottom="1400" w:left="1060" w:right="1560"/>
        </w:sectPr>
      </w:pPr>
    </w:p>
    <w:p>
      <w:pPr>
        <w:spacing w:line="240" w:lineRule="auto" w:before="12"/>
        <w:rPr>
          <w:rFonts w:ascii="宋体" w:hAnsi="宋体" w:cs="宋体" w:eastAsia="宋体" w:hint="default"/>
          <w:sz w:val="13"/>
          <w:szCs w:val="13"/>
        </w:rPr>
      </w:pPr>
    </w:p>
    <w:p>
      <w:pPr>
        <w:pStyle w:val="Heading5"/>
        <w:spacing w:line="240" w:lineRule="auto"/>
        <w:ind w:left="217"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6"/>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tabs>
          <w:tab w:pos="1480" w:val="left" w:leader="none"/>
        </w:tabs>
        <w:spacing w:line="240" w:lineRule="auto"/>
        <w:ind w:left="217" w:right="0"/>
        <w:jc w:val="left"/>
      </w:pPr>
      <w:r>
        <w:rPr>
          <w:spacing w:val="-1"/>
        </w:rPr>
        <w:t>单位：千元</w:t>
        <w:tab/>
      </w:r>
      <w:r>
        <w:rPr>
          <w:spacing w:val="-2"/>
        </w:rPr>
        <w:t>币种</w:t>
      </w:r>
      <w:r>
        <w:rPr>
          <w:rFonts w:ascii="宋体" w:hAnsi="宋体" w:cs="宋体" w:eastAsia="宋体" w:hint="default"/>
          <w:spacing w:val="-2"/>
        </w:rPr>
        <w:t>:</w:t>
      </w:r>
      <w:r>
        <w:rPr>
          <w:spacing w:val="-2"/>
        </w:rPr>
        <w:t>人民币</w:t>
      </w:r>
    </w:p>
    <w:p>
      <w:pPr>
        <w:spacing w:after="0" w:line="240" w:lineRule="auto"/>
        <w:jc w:val="left"/>
        <w:sectPr>
          <w:type w:val="continuous"/>
          <w:pgSz w:w="11910" w:h="16840"/>
          <w:pgMar w:top="1320" w:bottom="1400" w:left="1060" w:right="1560"/>
          <w:cols w:num="2" w:equalWidth="0">
            <w:col w:w="1910" w:space="4509"/>
            <w:col w:w="2871"/>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793"/>
        <w:gridCol w:w="1421"/>
        <w:gridCol w:w="1274"/>
        <w:gridCol w:w="1277"/>
        <w:gridCol w:w="1284"/>
      </w:tblGrid>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362,677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sz w:val="21"/>
              </w:rPr>
              <w:t>2,178,615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sz w:val="21"/>
              </w:rPr>
              <w:t>1,851,561</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689,731</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127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1,277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792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612</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23,197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120,246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119,105</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24,338</w:t>
            </w: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7,881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107,525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106,664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8,742</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319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2,889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2,723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485</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8,710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8,641</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709</w:t>
            </w: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其他保险费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14,357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1,077</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14,402</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9,138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132,825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131,584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10,379</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395,139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sz w:val="21"/>
              </w:rPr>
              <w:t>2,432,963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sz w:val="21"/>
              </w:rPr>
              <w:t>2,103,042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725,060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320" w:bottom="1400" w:left="1060" w:right="1560"/>
        </w:sectPr>
      </w:pPr>
    </w:p>
    <w:p>
      <w:pPr>
        <w:pStyle w:val="Heading5"/>
        <w:spacing w:line="240" w:lineRule="auto" w:before="36"/>
        <w:ind w:left="217"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8"/>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79" w:val="left" w:leader="none"/>
        </w:tabs>
        <w:spacing w:line="240" w:lineRule="auto"/>
        <w:ind w:left="21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60" w:right="1560"/>
          <w:cols w:num="2" w:equalWidth="0">
            <w:col w:w="2332" w:space="3978"/>
            <w:col w:w="2980"/>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88"/>
        <w:gridCol w:w="1623"/>
        <w:gridCol w:w="1608"/>
        <w:gridCol w:w="1639"/>
        <w:gridCol w:w="1592"/>
      </w:tblGrid>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3"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14,909</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207,539</w:t>
            </w:r>
          </w:p>
        </w:tc>
        <w:tc>
          <w:tcPr>
            <w:tcW w:w="1639"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205,896</w:t>
            </w:r>
          </w:p>
        </w:tc>
        <w:tc>
          <w:tcPr>
            <w:tcW w:w="1592"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16,552</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620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8,389</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8,321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688</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15,529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215,928</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214,217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17,240</w:t>
            </w:r>
          </w:p>
        </w:tc>
      </w:tr>
    </w:tbl>
    <w:p>
      <w:pPr>
        <w:spacing w:line="240" w:lineRule="auto" w:before="4"/>
        <w:rPr>
          <w:rFonts w:ascii="宋体" w:hAnsi="宋体" w:cs="宋体" w:eastAsia="宋体" w:hint="default"/>
          <w:sz w:val="18"/>
          <w:szCs w:val="18"/>
        </w:rPr>
      </w:pPr>
    </w:p>
    <w:p>
      <w:pPr>
        <w:pStyle w:val="BodyText"/>
        <w:spacing w:line="274" w:lineRule="exact" w:before="36"/>
        <w:ind w:left="217" w:right="0"/>
        <w:jc w:val="both"/>
      </w:pPr>
      <w:r>
        <w:rPr/>
        <w:t>其他说明：</w:t>
      </w:r>
    </w:p>
    <w:p>
      <w:pPr>
        <w:pStyle w:val="BodyText"/>
        <w:spacing w:line="272" w:lineRule="exact"/>
        <w:ind w:left="217" w:right="0"/>
        <w:jc w:val="both"/>
      </w:pPr>
      <w:r>
        <w:rPr/>
        <w:t>√适用 □不适用</w:t>
      </w:r>
    </w:p>
    <w:p>
      <w:pPr>
        <w:pStyle w:val="BodyText"/>
        <w:spacing w:line="357" w:lineRule="auto"/>
        <w:ind w:left="217" w:right="228" w:firstLine="480"/>
        <w:jc w:val="both"/>
      </w:pPr>
      <w:r>
        <w:rPr>
          <w:spacing w:val="-3"/>
        </w:rPr>
        <w:t>本集团按规定参加由政府机构设立的养老保险、失业保险计划，根据该等计划，本集团</w:t>
      </w:r>
      <w:r>
        <w:rPr>
          <w:rFonts w:ascii="宋体" w:hAnsi="宋体" w:cs="宋体" w:eastAsia="宋体" w:hint="default"/>
          <w:spacing w:val="-3"/>
        </w:rPr>
        <w:t>2018</w:t>
      </w:r>
      <w:r>
        <w:rPr>
          <w:rFonts w:ascii="宋体" w:hAnsi="宋体" w:cs="宋体" w:eastAsia="宋体" w:hint="default"/>
          <w:w w:val="100"/>
        </w:rPr>
        <w:t> </w:t>
      </w:r>
      <w:r>
        <w:rPr>
          <w:spacing w:val="-2"/>
        </w:rPr>
        <w:t>年及</w:t>
      </w:r>
      <w:r>
        <w:rPr>
          <w:rFonts w:ascii="宋体" w:hAnsi="宋体" w:cs="宋体" w:eastAsia="宋体" w:hint="default"/>
          <w:spacing w:val="-2"/>
        </w:rPr>
        <w:t>2017</w:t>
      </w:r>
      <w:r>
        <w:rPr>
          <w:spacing w:val="-2"/>
        </w:rPr>
        <w:t>年分别按员工基本工资或上一年平均税前实发工资及奖金的</w:t>
      </w:r>
      <w:r>
        <w:rPr>
          <w:rFonts w:ascii="宋体" w:hAnsi="宋体" w:cs="宋体" w:eastAsia="宋体" w:hint="default"/>
          <w:spacing w:val="-2"/>
        </w:rPr>
        <w:t>13%</w:t>
      </w:r>
      <w:r>
        <w:rPr>
          <w:spacing w:val="-2"/>
        </w:rPr>
        <w:t>到</w:t>
      </w:r>
      <w:r>
        <w:rPr>
          <w:rFonts w:ascii="宋体" w:hAnsi="宋体" w:cs="宋体" w:eastAsia="宋体" w:hint="default"/>
          <w:spacing w:val="-2"/>
        </w:rPr>
        <w:t>20%</w:t>
      </w:r>
      <w:r>
        <w:rPr>
          <w:spacing w:val="-2"/>
        </w:rPr>
        <w:t>每月向基本养老保</w:t>
      </w:r>
      <w:r>
        <w:rPr>
          <w:spacing w:val="-20"/>
        </w:rPr>
        <w:t> </w:t>
      </w:r>
      <w:r>
        <w:rPr>
          <w:spacing w:val="-20"/>
        </w:rPr>
      </w:r>
      <w:r>
        <w:rPr/>
        <w:t>险计划缴存费用， </w:t>
      </w:r>
      <w:r>
        <w:rPr>
          <w:rFonts w:ascii="宋体" w:hAnsi="宋体" w:cs="宋体" w:eastAsia="宋体" w:hint="default"/>
        </w:rPr>
        <w:t>0.48% </w:t>
      </w:r>
      <w:r>
        <w:rPr/>
        <w:t>到</w:t>
      </w:r>
      <w:r>
        <w:rPr>
          <w:rFonts w:ascii="宋体" w:hAnsi="宋体" w:cs="宋体" w:eastAsia="宋体" w:hint="default"/>
        </w:rPr>
        <w:t>0.80% </w:t>
      </w:r>
      <w:r>
        <w:rPr>
          <w:spacing w:val="-4"/>
        </w:rPr>
        <w:t>向失业保险计划缴存费用。除上述每月缴存费用外，本集团不</w:t>
      </w:r>
      <w:r>
        <w:rPr>
          <w:spacing w:val="-97"/>
        </w:rPr>
        <w:t> </w:t>
      </w:r>
      <w:r>
        <w:rPr>
          <w:spacing w:val="-97"/>
        </w:rPr>
      </w:r>
      <w:r>
        <w:rPr/>
        <w:t>再承担进一步支付义务。</w:t>
      </w:r>
    </w:p>
    <w:p>
      <w:pPr>
        <w:pStyle w:val="BodyText"/>
        <w:spacing w:line="240" w:lineRule="auto" w:before="30"/>
        <w:ind w:left="637" w:right="124"/>
        <w:jc w:val="left"/>
      </w:pPr>
      <w:r>
        <w:rPr>
          <w:rFonts w:ascii="宋体" w:hAnsi="宋体" w:cs="宋体" w:eastAsia="宋体" w:hint="default"/>
        </w:rPr>
        <w:t>2018</w:t>
      </w:r>
      <w:r>
        <w:rPr/>
        <w:t>年度，本集团应分别向养老保险、失业保险计划缴存费用人民币</w:t>
      </w:r>
      <w:r>
        <w:rPr>
          <w:rFonts w:ascii="宋体" w:hAnsi="宋体" w:cs="宋体" w:eastAsia="宋体" w:hint="default"/>
        </w:rPr>
        <w:t>207,539</w:t>
      </w:r>
      <w:r>
        <w:rPr>
          <w:rFonts w:ascii="宋体" w:hAnsi="宋体" w:cs="宋体" w:eastAsia="宋体" w:hint="default"/>
          <w:spacing w:val="-7"/>
        </w:rPr>
        <w:t> </w:t>
      </w:r>
      <w:r>
        <w:rPr/>
        <w:t>千元及人民币</w:t>
      </w:r>
    </w:p>
    <w:p>
      <w:pPr>
        <w:pStyle w:val="BodyText"/>
        <w:spacing w:line="357" w:lineRule="auto" w:before="133"/>
        <w:ind w:left="217" w:right="240"/>
        <w:jc w:val="both"/>
      </w:pPr>
      <w:r>
        <w:rPr>
          <w:rFonts w:ascii="宋体" w:hAnsi="宋体" w:cs="宋体" w:eastAsia="宋体" w:hint="default"/>
        </w:rPr>
        <w:t>8,389 </w:t>
      </w:r>
      <w:r>
        <w:rPr/>
        <w:t>千元</w:t>
      </w:r>
      <w:r>
        <w:rPr>
          <w:rFonts w:ascii="宋体" w:hAnsi="宋体" w:cs="宋体" w:eastAsia="宋体" w:hint="default"/>
        </w:rPr>
        <w:t>(2017</w:t>
      </w:r>
      <w:r>
        <w:rPr/>
        <w:t>年度：人民币</w:t>
      </w:r>
      <w:r>
        <w:rPr>
          <w:rFonts w:ascii="宋体" w:hAnsi="宋体" w:cs="宋体" w:eastAsia="宋体" w:hint="default"/>
        </w:rPr>
        <w:t>180,713 </w:t>
      </w:r>
      <w:r>
        <w:rPr/>
        <w:t>千元及人民币</w:t>
      </w:r>
      <w:r>
        <w:rPr>
          <w:rFonts w:ascii="宋体" w:hAnsi="宋体" w:cs="宋体" w:eastAsia="宋体" w:hint="default"/>
        </w:rPr>
        <w:t>9,752 </w:t>
      </w:r>
      <w:r>
        <w:rPr/>
        <w:t>千元</w:t>
      </w:r>
      <w:r>
        <w:rPr>
          <w:rFonts w:ascii="宋体" w:hAnsi="宋体" w:cs="宋体" w:eastAsia="宋体" w:hint="default"/>
        </w:rPr>
        <w:t>)</w:t>
      </w:r>
      <w:r>
        <w:rPr/>
        <w:t>。 </w:t>
      </w:r>
      <w:r>
        <w:rPr>
          <w:rFonts w:ascii="宋体" w:hAnsi="宋体" w:cs="宋体" w:eastAsia="宋体" w:hint="default"/>
        </w:rPr>
        <w:t>2018</w:t>
      </w:r>
      <w:r>
        <w:rPr/>
        <w:t>年</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15"/>
        </w:rPr>
        <w:t> </w:t>
      </w:r>
      <w:r>
        <w:rPr/>
        <w:t>日，本集</w:t>
      </w:r>
      <w:r>
        <w:rPr>
          <w:w w:val="100"/>
        </w:rPr>
        <w:t> </w:t>
      </w:r>
      <w:r>
        <w:rPr/>
        <w:t>团尚有人民币</w:t>
      </w:r>
      <w:r>
        <w:rPr>
          <w:rFonts w:ascii="宋体" w:hAnsi="宋体" w:cs="宋体" w:eastAsia="宋体" w:hint="default"/>
        </w:rPr>
        <w:t>16,552</w:t>
      </w:r>
      <w:r>
        <w:rPr/>
        <w:t>千元及人民币 </w:t>
      </w:r>
      <w:r>
        <w:rPr>
          <w:rFonts w:ascii="宋体" w:hAnsi="宋体" w:cs="宋体" w:eastAsia="宋体" w:hint="default"/>
        </w:rPr>
        <w:t>688 </w:t>
      </w:r>
      <w:r>
        <w:rPr/>
        <w:t>千元</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日：人民币</w:t>
      </w:r>
      <w:r>
        <w:rPr>
          <w:rFonts w:ascii="宋体" w:hAnsi="宋体" w:cs="宋体" w:eastAsia="宋体" w:hint="default"/>
        </w:rPr>
        <w:t>14,909</w:t>
      </w:r>
      <w:r>
        <w:rPr>
          <w:rFonts w:ascii="宋体" w:hAnsi="宋体" w:cs="宋体" w:eastAsia="宋体" w:hint="default"/>
          <w:spacing w:val="-5"/>
        </w:rPr>
        <w:t> </w:t>
      </w:r>
      <w:r>
        <w:rPr/>
        <w:t>千元及人民币</w:t>
      </w:r>
      <w:r>
        <w:rPr>
          <w:rFonts w:ascii="宋体" w:hAnsi="宋体" w:cs="宋体" w:eastAsia="宋体" w:hint="default"/>
        </w:rPr>
        <w:t>620</w:t>
      </w:r>
      <w:r>
        <w:rPr>
          <w:rFonts w:ascii="宋体" w:hAnsi="宋体" w:cs="宋体" w:eastAsia="宋体" w:hint="default"/>
          <w:w w:val="100"/>
        </w:rPr>
        <w:t> </w:t>
      </w:r>
      <w:r>
        <w:rPr/>
        <w:t>千元</w:t>
      </w:r>
      <w:r>
        <w:rPr>
          <w:rFonts w:ascii="宋体" w:hAnsi="宋体" w:cs="宋体" w:eastAsia="宋体" w:hint="default"/>
        </w:rPr>
        <w:t>)</w:t>
      </w:r>
      <w:r>
        <w:rPr/>
        <w:t>的应缴存费用是于年末而未支付给养老保险及失业保险计划的。</w:t>
      </w:r>
    </w:p>
    <w:p>
      <w:pPr>
        <w:spacing w:line="240" w:lineRule="auto" w:before="1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320" w:bottom="1400" w:left="1060" w:right="1560"/>
        </w:sectPr>
      </w:pPr>
    </w:p>
    <w:p>
      <w:pPr>
        <w:pStyle w:val="Heading5"/>
        <w:spacing w:line="240" w:lineRule="auto" w:before="36"/>
        <w:ind w:left="217" w:right="-19"/>
        <w:jc w:val="left"/>
        <w:rPr>
          <w:b w:val="0"/>
          <w:bCs w:val="0"/>
        </w:rPr>
      </w:pPr>
      <w:r>
        <w:rPr>
          <w:rFonts w:ascii="宋体" w:hAnsi="宋体" w:cs="宋体" w:eastAsia="宋体" w:hint="default"/>
        </w:rPr>
        <w:t>32</w:t>
      </w:r>
      <w:r>
        <w:rPr/>
        <w:t>、</w:t>
      </w:r>
      <w:r>
        <w:rPr>
          <w:spacing w:val="-24"/>
        </w:rPr>
        <w:t> </w:t>
      </w:r>
      <w:r>
        <w:rPr/>
        <w:t>应交税费</w:t>
      </w:r>
      <w:r>
        <w:rPr>
          <w:b w:val="0"/>
          <w:bCs w:val="0"/>
        </w:rPr>
      </w:r>
    </w:p>
    <w:p>
      <w:pPr>
        <w:pStyle w:val="Heading3"/>
        <w:spacing w:line="240" w:lineRule="auto" w:before="50"/>
        <w:ind w:left="217"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479" w:val="left" w:leader="none"/>
        </w:tabs>
        <w:spacing w:line="240" w:lineRule="auto" w:before="156"/>
        <w:ind w:left="21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60" w:right="1560"/>
          <w:cols w:num="2" w:equalWidth="0">
            <w:col w:w="2018" w:space="4293"/>
            <w:col w:w="2979"/>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88,209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197,951</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2,874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4,358</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20,382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25,348</w:t>
            </w:r>
          </w:p>
        </w:tc>
      </w:tr>
      <w:tr>
        <w:trPr>
          <w:trHeight w:val="28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14,160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17,450</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44,271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64,245</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2,169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3,471</w:t>
            </w:r>
          </w:p>
        </w:tc>
      </w:tr>
    </w:tbl>
    <w:p>
      <w:pPr>
        <w:spacing w:after="0" w:line="241" w:lineRule="exact"/>
        <w:jc w:val="right"/>
        <w:rPr>
          <w:rFonts w:ascii="宋体" w:hAnsi="宋体" w:cs="宋体" w:eastAsia="宋体" w:hint="default"/>
          <w:sz w:val="21"/>
          <w:szCs w:val="21"/>
        </w:rPr>
        <w:sectPr>
          <w:type w:val="continuous"/>
          <w:pgSz w:w="11910" w:h="16840"/>
          <w:pgMar w:top="1320" w:bottom="1400" w:left="1060" w:right="1560"/>
        </w:sectPr>
      </w:pPr>
    </w:p>
    <w:p>
      <w:pPr>
        <w:spacing w:line="240" w:lineRule="auto" w:before="1"/>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28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172,065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312,823</w:t>
            </w:r>
          </w:p>
        </w:tc>
      </w:tr>
    </w:tbl>
    <w:p>
      <w:pPr>
        <w:spacing w:line="240" w:lineRule="auto" w:before="5"/>
        <w:rPr>
          <w:rFonts w:ascii="宋体" w:hAnsi="宋体" w:cs="宋体" w:eastAsia="宋体" w:hint="default"/>
          <w:sz w:val="15"/>
          <w:szCs w:val="15"/>
        </w:rPr>
      </w:pPr>
    </w:p>
    <w:p>
      <w:pPr>
        <w:pStyle w:val="BodyText"/>
        <w:spacing w:line="240" w:lineRule="auto" w:before="36"/>
        <w:ind w:left="217" w:right="7999"/>
        <w:jc w:val="left"/>
      </w:pPr>
      <w:r>
        <w:rPr/>
        <w:t>其他说明：</w:t>
      </w:r>
      <w:r>
        <w:rPr>
          <w:spacing w:val="-102"/>
        </w:rPr>
        <w:t> </w:t>
      </w:r>
      <w:r>
        <w:rPr>
          <w:spacing w:val="-102"/>
        </w:rPr>
      </w: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217" w:top="1320" w:bottom="1400" w:left="1060" w:right="1560"/>
        </w:sectPr>
      </w:pPr>
    </w:p>
    <w:p>
      <w:pPr>
        <w:pStyle w:val="Heading5"/>
        <w:spacing w:line="290" w:lineRule="auto" w:before="36"/>
        <w:ind w:left="217" w:right="-2"/>
        <w:jc w:val="left"/>
        <w:rPr>
          <w:b w:val="0"/>
          <w:bCs w:val="0"/>
        </w:rPr>
      </w:pPr>
      <w:r>
        <w:rPr>
          <w:rFonts w:ascii="宋体" w:hAnsi="宋体" w:cs="宋体" w:eastAsia="宋体" w:hint="default"/>
        </w:rPr>
        <w:t>33</w:t>
      </w:r>
      <w:r>
        <w:rPr/>
        <w:t>、</w:t>
      </w:r>
      <w:r>
        <w:rPr>
          <w:spacing w:val="-24"/>
        </w:rPr>
        <w:t> </w:t>
      </w:r>
      <w:r>
        <w:rPr/>
        <w:t>其他应付款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479" w:val="left" w:leader="none"/>
        </w:tabs>
        <w:spacing w:line="240" w:lineRule="auto"/>
        <w:ind w:left="21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60" w:right="1560"/>
          <w:cols w:num="2" w:equalWidth="0">
            <w:col w:w="1795" w:space="4516"/>
            <w:col w:w="297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1,026,940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951,642</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1,026,940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951,642</w:t>
            </w:r>
          </w:p>
        </w:tc>
      </w:tr>
    </w:tbl>
    <w:p>
      <w:pPr>
        <w:spacing w:line="240" w:lineRule="auto" w:before="6"/>
        <w:rPr>
          <w:rFonts w:ascii="宋体" w:hAnsi="宋体" w:cs="宋体" w:eastAsia="宋体" w:hint="default"/>
          <w:sz w:val="18"/>
          <w:szCs w:val="18"/>
        </w:rPr>
      </w:pPr>
    </w:p>
    <w:p>
      <w:pPr>
        <w:pStyle w:val="BodyText"/>
        <w:spacing w:line="273" w:lineRule="exact" w:before="36"/>
        <w:ind w:left="217" w:right="234"/>
        <w:jc w:val="left"/>
      </w:pPr>
      <w:r>
        <w:rPr/>
        <w:t>其他说明：</w:t>
      </w:r>
    </w:p>
    <w:p>
      <w:pPr>
        <w:pStyle w:val="BodyText"/>
        <w:spacing w:line="273" w:lineRule="exact"/>
        <w:ind w:left="217" w:right="234"/>
        <w:jc w:val="left"/>
      </w:pPr>
      <w:r>
        <w:rPr/>
        <w:t>□适用 √不适用</w:t>
      </w:r>
    </w:p>
    <w:p>
      <w:pPr>
        <w:spacing w:line="240" w:lineRule="auto" w:before="4"/>
        <w:rPr>
          <w:rFonts w:ascii="宋体" w:hAnsi="宋体" w:cs="宋体" w:eastAsia="宋体" w:hint="default"/>
          <w:sz w:val="28"/>
          <w:szCs w:val="28"/>
        </w:rPr>
      </w:pPr>
    </w:p>
    <w:p>
      <w:pPr>
        <w:pStyle w:val="Heading5"/>
        <w:spacing w:line="290" w:lineRule="auto"/>
        <w:ind w:left="217" w:right="7782"/>
        <w:jc w:val="left"/>
        <w:rPr>
          <w:b w:val="0"/>
          <w:bCs w:val="0"/>
        </w:rPr>
      </w:pPr>
      <w:r>
        <w:rPr/>
        <w:t>应付利息</w:t>
      </w:r>
      <w:r>
        <w:rPr>
          <w:w w:val="100"/>
        </w:rPr>
        <w:t> </w:t>
      </w:r>
      <w:r>
        <w:rPr>
          <w:rFonts w:ascii="宋体" w:hAnsi="宋体" w:cs="宋体" w:eastAsia="宋体" w:hint="default"/>
        </w:rPr>
        <w:t>(2).</w:t>
      </w:r>
      <w:r>
        <w:rPr/>
        <w:t>分类列示</w:t>
      </w:r>
      <w:r>
        <w:rPr>
          <w:b w:val="0"/>
          <w:bCs w:val="0"/>
        </w:rPr>
      </w:r>
    </w:p>
    <w:p>
      <w:pPr>
        <w:pStyle w:val="BodyText"/>
        <w:spacing w:line="240" w:lineRule="auto" w:before="12"/>
        <w:ind w:left="217" w:right="234"/>
        <w:jc w:val="left"/>
      </w:pPr>
      <w:r>
        <w:rPr/>
        <w:t>□适用 √不适用</w:t>
      </w:r>
    </w:p>
    <w:p>
      <w:pPr>
        <w:spacing w:line="240" w:lineRule="auto" w:before="4"/>
        <w:rPr>
          <w:rFonts w:ascii="宋体" w:hAnsi="宋体" w:cs="宋体" w:eastAsia="宋体" w:hint="default"/>
          <w:sz w:val="28"/>
          <w:szCs w:val="28"/>
        </w:rPr>
      </w:pPr>
    </w:p>
    <w:p>
      <w:pPr>
        <w:pStyle w:val="Heading5"/>
        <w:spacing w:line="290" w:lineRule="auto"/>
        <w:ind w:left="217" w:right="7782"/>
        <w:jc w:val="left"/>
        <w:rPr>
          <w:b w:val="0"/>
          <w:bCs w:val="0"/>
        </w:rPr>
      </w:pPr>
      <w:r>
        <w:rPr/>
        <w:t>应付股利</w:t>
      </w:r>
      <w:r>
        <w:rPr>
          <w:w w:val="100"/>
        </w:rPr>
        <w:t> </w:t>
      </w:r>
      <w:r>
        <w:rPr>
          <w:rFonts w:ascii="宋体" w:hAnsi="宋体" w:cs="宋体" w:eastAsia="宋体" w:hint="default"/>
        </w:rPr>
        <w:t>(3).</w:t>
      </w:r>
      <w:r>
        <w:rPr/>
        <w:t>分类列示</w:t>
      </w:r>
      <w:r>
        <w:rPr>
          <w:b w:val="0"/>
          <w:bCs w:val="0"/>
        </w:rPr>
      </w:r>
    </w:p>
    <w:p>
      <w:pPr>
        <w:pStyle w:val="BodyText"/>
        <w:spacing w:line="240" w:lineRule="auto" w:before="14"/>
        <w:ind w:left="217" w:right="234"/>
        <w:jc w:val="left"/>
      </w:pPr>
      <w:r>
        <w:rPr/>
        <w:t>□适用 √不适用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320" w:bottom="1400" w:left="1060" w:right="1560"/>
        </w:sectPr>
      </w:pPr>
    </w:p>
    <w:p>
      <w:pPr>
        <w:pStyle w:val="Heading5"/>
        <w:spacing w:line="240" w:lineRule="auto" w:before="36"/>
        <w:ind w:left="217" w:right="-17"/>
        <w:jc w:val="left"/>
        <w:rPr>
          <w:b w:val="0"/>
          <w:bCs w:val="0"/>
        </w:rPr>
      </w:pPr>
      <w:r>
        <w:rPr/>
        <w:t>其他应付款</w:t>
      </w:r>
      <w:r>
        <w:rPr>
          <w:b w:val="0"/>
          <w:bCs w:val="0"/>
        </w:rPr>
      </w:r>
    </w:p>
    <w:p>
      <w:pPr>
        <w:pStyle w:val="Heading5"/>
        <w:spacing w:line="240" w:lineRule="auto" w:before="56"/>
        <w:ind w:left="217" w:right="-17"/>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8"/>
        <w:ind w:left="21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479" w:val="left" w:leader="none"/>
        </w:tabs>
        <w:spacing w:line="240" w:lineRule="auto"/>
        <w:ind w:left="21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60" w:right="1560"/>
          <w:cols w:num="2" w:equalWidth="0">
            <w:col w:w="3276" w:space="3035"/>
            <w:col w:w="297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关联方往来款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144,729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221,981</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384,171</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406,500</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专业服务费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151,500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20,572</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投资收购款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154,623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81,320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第三方往来款及其他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191,917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221,269</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1,026,940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951,642</w:t>
            </w:r>
          </w:p>
        </w:tc>
      </w:tr>
    </w:tbl>
    <w:p>
      <w:pPr>
        <w:spacing w:line="240" w:lineRule="auto" w:before="1"/>
        <w:rPr>
          <w:rFonts w:ascii="宋体" w:hAnsi="宋体" w:cs="宋体" w:eastAsia="宋体" w:hint="default"/>
          <w:sz w:val="23"/>
          <w:szCs w:val="23"/>
        </w:rPr>
      </w:pPr>
    </w:p>
    <w:p>
      <w:pPr>
        <w:pStyle w:val="Heading5"/>
        <w:spacing w:line="240" w:lineRule="auto" w:before="36"/>
        <w:ind w:left="217" w:right="234"/>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b w:val="0"/>
          <w:bCs w:val="0"/>
        </w:rPr>
      </w:r>
    </w:p>
    <w:p>
      <w:pPr>
        <w:pStyle w:val="BodyText"/>
        <w:spacing w:line="240" w:lineRule="auto" w:before="56"/>
        <w:ind w:left="217" w:right="7474"/>
        <w:jc w:val="left"/>
      </w:pPr>
      <w:r>
        <w:rPr/>
        <w:t>□适用 √不适用</w:t>
      </w:r>
      <w:r>
        <w:rPr>
          <w:w w:val="100"/>
        </w:rPr>
        <w:t> </w:t>
      </w:r>
      <w:r>
        <w:rPr/>
        <w:t>其他说明：</w:t>
      </w:r>
    </w:p>
    <w:p>
      <w:pPr>
        <w:pStyle w:val="BodyText"/>
        <w:spacing w:line="271" w:lineRule="exact"/>
        <w:ind w:left="217" w:right="234"/>
        <w:jc w:val="left"/>
      </w:pPr>
      <w:r>
        <w:rPr/>
        <w:t>□适用 √不适用</w:t>
      </w:r>
    </w:p>
    <w:p>
      <w:pPr>
        <w:spacing w:line="240" w:lineRule="auto" w:before="4"/>
        <w:rPr>
          <w:rFonts w:ascii="宋体" w:hAnsi="宋体" w:cs="宋体" w:eastAsia="宋体" w:hint="default"/>
          <w:sz w:val="28"/>
          <w:szCs w:val="28"/>
        </w:rPr>
      </w:pPr>
    </w:p>
    <w:p>
      <w:pPr>
        <w:pStyle w:val="Heading5"/>
        <w:spacing w:line="240" w:lineRule="auto"/>
        <w:ind w:left="217" w:right="234"/>
        <w:jc w:val="left"/>
        <w:rPr>
          <w:b w:val="0"/>
          <w:bCs w:val="0"/>
        </w:rPr>
      </w:pPr>
      <w:r>
        <w:rPr>
          <w:rFonts w:ascii="宋体" w:hAnsi="宋体" w:cs="宋体" w:eastAsia="宋体" w:hint="default"/>
        </w:rPr>
        <w:t>34</w:t>
      </w:r>
      <w:r>
        <w:rPr/>
        <w:t>、</w:t>
      </w:r>
      <w:r>
        <w:rPr>
          <w:spacing w:val="-24"/>
        </w:rPr>
        <w:t> </w:t>
      </w:r>
      <w:r>
        <w:rPr/>
        <w:t>持有待售负债</w:t>
      </w:r>
      <w:r>
        <w:rPr>
          <w:b w:val="0"/>
          <w:bCs w:val="0"/>
        </w:rPr>
      </w:r>
    </w:p>
    <w:p>
      <w:pPr>
        <w:pStyle w:val="BodyText"/>
        <w:spacing w:line="240" w:lineRule="auto" w:before="56"/>
        <w:ind w:left="217" w:right="234"/>
        <w:jc w:val="left"/>
      </w:pPr>
      <w:r>
        <w:rPr/>
        <w:t>□适用 √不适用</w:t>
      </w:r>
    </w:p>
    <w:p>
      <w:pPr>
        <w:spacing w:after="0" w:line="240" w:lineRule="auto"/>
        <w:jc w:val="left"/>
        <w:sectPr>
          <w:type w:val="continuous"/>
          <w:pgSz w:w="11910" w:h="16840"/>
          <w:pgMar w:top="1320" w:bottom="1400" w:left="1060" w:right="1560"/>
        </w:sectPr>
      </w:pPr>
    </w:p>
    <w:p>
      <w:pPr>
        <w:pStyle w:val="Heading5"/>
        <w:spacing w:line="240" w:lineRule="auto" w:before="72"/>
        <w:ind w:left="217" w:right="-18"/>
        <w:jc w:val="left"/>
        <w:rPr>
          <w:b w:val="0"/>
          <w:bCs w:val="0"/>
        </w:rPr>
      </w:pPr>
      <w:r>
        <w:rPr>
          <w:rFonts w:ascii="宋体" w:hAnsi="宋体" w:cs="宋体" w:eastAsia="宋体" w:hint="default"/>
        </w:rPr>
        <w:t>35</w:t>
      </w:r>
      <w:r>
        <w:rPr/>
        <w:t>、 </w:t>
      </w:r>
      <w:r>
        <w:rPr>
          <w:rFonts w:ascii="宋体" w:hAnsi="宋体" w:cs="宋体" w:eastAsia="宋体" w:hint="default"/>
        </w:rPr>
        <w:t>1</w:t>
      </w:r>
      <w:r>
        <w:rPr>
          <w:rFonts w:ascii="宋体" w:hAnsi="宋体" w:cs="宋体" w:eastAsia="宋体" w:hint="default"/>
          <w:spacing w:val="-76"/>
        </w:rPr>
        <w:t> </w:t>
      </w:r>
      <w:r>
        <w:rPr/>
        <w:t>年内到期的非流动负债</w:t>
      </w:r>
      <w:r>
        <w:rPr>
          <w:b w:val="0"/>
          <w:bCs w:val="0"/>
        </w:rPr>
      </w:r>
    </w:p>
    <w:p>
      <w:pPr>
        <w:pStyle w:val="Heading3"/>
        <w:tabs>
          <w:tab w:pos="1177" w:val="left" w:leader="none"/>
        </w:tabs>
        <w:spacing w:line="240" w:lineRule="auto" w:before="50"/>
        <w:ind w:left="217"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tabs>
          <w:tab w:pos="1479" w:val="left" w:leader="none"/>
        </w:tabs>
        <w:spacing w:line="240" w:lineRule="auto"/>
        <w:ind w:left="217" w:right="0"/>
        <w:jc w:val="left"/>
      </w:pPr>
      <w:r>
        <w:rPr>
          <w:spacing w:val="-1"/>
        </w:rPr>
        <w:t>单位：千元</w:t>
        <w:tab/>
      </w:r>
      <w:r>
        <w:rPr>
          <w:spacing w:val="-2"/>
        </w:rPr>
        <w:t>币种：人民币</w:t>
      </w:r>
    </w:p>
    <w:p>
      <w:pPr>
        <w:spacing w:after="0" w:line="240" w:lineRule="auto"/>
        <w:jc w:val="left"/>
        <w:sectPr>
          <w:pgSz w:w="11910" w:h="16840"/>
          <w:pgMar w:header="0" w:footer="1217" w:top="1320" w:bottom="1400" w:left="1060" w:right="1560"/>
          <w:cols w:num="2" w:equalWidth="0">
            <w:col w:w="2992" w:space="3318"/>
            <w:col w:w="2980"/>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937"/>
        <w:gridCol w:w="2693"/>
        <w:gridCol w:w="2420"/>
      </w:tblGrid>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4"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一年内到期的递延收益</w:t>
            </w:r>
            <w:r>
              <w:rPr>
                <w:rFonts w:ascii="宋体" w:hAnsi="宋体" w:cs="宋体" w:eastAsia="宋体" w:hint="default"/>
                <w:sz w:val="21"/>
                <w:szCs w:val="21"/>
              </w:rPr>
              <w:t>(</w:t>
            </w:r>
            <w:r>
              <w:rPr>
                <w:rFonts w:ascii="宋体" w:hAnsi="宋体" w:cs="宋体" w:eastAsia="宋体" w:hint="default"/>
                <w:sz w:val="21"/>
                <w:szCs w:val="21"/>
              </w:rPr>
              <w:t>附注</w:t>
            </w:r>
            <w:r>
              <w:rPr>
                <w:rFonts w:ascii="宋体" w:hAnsi="宋体" w:cs="宋体" w:eastAsia="宋体" w:hint="default"/>
                <w:sz w:val="21"/>
                <w:szCs w:val="21"/>
              </w:rPr>
              <w:t>(</w:t>
            </w:r>
            <w:r>
              <w:rPr>
                <w:rFonts w:ascii="宋体" w:hAnsi="宋体" w:cs="宋体" w:eastAsia="宋体" w:hint="default"/>
                <w:sz w:val="21"/>
                <w:szCs w:val="21"/>
              </w:rPr>
              <w:t>七</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42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17,996</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13,691</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17,996</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13,691</w:t>
            </w:r>
          </w:p>
        </w:tc>
      </w:tr>
    </w:tbl>
    <w:p>
      <w:pPr>
        <w:spacing w:line="240" w:lineRule="auto" w:before="2"/>
        <w:rPr>
          <w:rFonts w:ascii="宋体" w:hAnsi="宋体" w:cs="宋体" w:eastAsia="宋体" w:hint="default"/>
          <w:sz w:val="23"/>
          <w:szCs w:val="23"/>
        </w:rPr>
      </w:pPr>
    </w:p>
    <w:p>
      <w:pPr>
        <w:pStyle w:val="Heading3"/>
        <w:spacing w:line="283" w:lineRule="auto" w:before="26"/>
        <w:ind w:left="217" w:right="7849"/>
        <w:jc w:val="left"/>
      </w:pPr>
      <w:r>
        <w:rPr/>
        <w:t>其他说明： 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20" w:bottom="1400" w:left="1060" w:right="1560"/>
        </w:sectPr>
      </w:pPr>
    </w:p>
    <w:p>
      <w:pPr>
        <w:spacing w:line="292" w:lineRule="auto" w:before="36"/>
        <w:ind w:left="217" w:right="-19" w:firstLine="0"/>
        <w:jc w:val="left"/>
        <w:rPr>
          <w:rFonts w:ascii="宋体" w:hAnsi="宋体" w:cs="宋体" w:eastAsia="宋体" w:hint="default"/>
          <w:sz w:val="21"/>
          <w:szCs w:val="21"/>
        </w:rPr>
      </w:pPr>
      <w:r>
        <w:rPr>
          <w:rFonts w:ascii="宋体" w:hAnsi="宋体" w:cs="宋体" w:eastAsia="宋体" w:hint="default"/>
          <w:b/>
          <w:bCs/>
          <w:sz w:val="21"/>
          <w:szCs w:val="21"/>
        </w:rPr>
        <w:t>36</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1059" w:val="left" w:leader="none"/>
        </w:tabs>
        <w:spacing w:line="225" w:lineRule="exact"/>
        <w:ind w:left="217"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479" w:val="left" w:leader="none"/>
        </w:tabs>
        <w:spacing w:line="240" w:lineRule="auto"/>
        <w:ind w:left="21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60" w:right="1560"/>
          <w:cols w:num="2" w:equalWidth="0">
            <w:col w:w="1989" w:space="4322"/>
            <w:col w:w="297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04"/>
        <w:gridCol w:w="3118"/>
        <w:gridCol w:w="3128"/>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4"/>
              <w:jc w:val="center"/>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待转销项税额</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3,618</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1,551</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3,618</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1,551</w:t>
            </w:r>
          </w:p>
        </w:tc>
      </w:tr>
    </w:tbl>
    <w:p>
      <w:pPr>
        <w:spacing w:line="240" w:lineRule="auto" w:before="6"/>
        <w:rPr>
          <w:rFonts w:ascii="宋体" w:hAnsi="宋体" w:cs="宋体" w:eastAsia="宋体" w:hint="default"/>
          <w:sz w:val="18"/>
          <w:szCs w:val="18"/>
        </w:rPr>
      </w:pPr>
    </w:p>
    <w:p>
      <w:pPr>
        <w:pStyle w:val="BodyText"/>
        <w:spacing w:line="274" w:lineRule="exact" w:before="36"/>
        <w:ind w:left="217" w:right="234"/>
        <w:jc w:val="left"/>
      </w:pPr>
      <w:r>
        <w:rPr/>
        <w:t>短期应付债券的增减变动：</w:t>
      </w:r>
    </w:p>
    <w:p>
      <w:pPr>
        <w:pStyle w:val="BodyText"/>
        <w:spacing w:line="290" w:lineRule="auto"/>
        <w:ind w:left="217" w:right="7474"/>
        <w:jc w:val="left"/>
      </w:pPr>
      <w:r>
        <w:rPr/>
        <w:t>□适用 √不适用</w:t>
      </w:r>
      <w:r>
        <w:rPr>
          <w:w w:val="100"/>
        </w:rPr>
        <w:t> </w:t>
      </w:r>
      <w:r>
        <w:rPr/>
        <w:t>其他说明：</w:t>
      </w:r>
    </w:p>
    <w:p>
      <w:pPr>
        <w:pStyle w:val="BodyText"/>
        <w:spacing w:line="240" w:lineRule="auto" w:before="14"/>
        <w:ind w:left="217" w:right="234"/>
        <w:jc w:val="left"/>
      </w:pPr>
      <w:r>
        <w:rPr/>
        <w:t>□适用 √不适用</w:t>
      </w:r>
    </w:p>
    <w:p>
      <w:pPr>
        <w:spacing w:line="240" w:lineRule="auto" w:before="0"/>
        <w:rPr>
          <w:rFonts w:ascii="宋体" w:hAnsi="宋体" w:cs="宋体" w:eastAsia="宋体" w:hint="default"/>
          <w:sz w:val="20"/>
          <w:szCs w:val="20"/>
        </w:rPr>
      </w:pPr>
    </w:p>
    <w:p>
      <w:pPr>
        <w:pStyle w:val="Heading5"/>
        <w:spacing w:line="240" w:lineRule="auto" w:before="167"/>
        <w:ind w:left="217" w:right="234"/>
        <w:jc w:val="left"/>
        <w:rPr>
          <w:b w:val="0"/>
          <w:bCs w:val="0"/>
        </w:rPr>
      </w:pPr>
      <w:r>
        <w:rPr>
          <w:rFonts w:ascii="宋体" w:hAnsi="宋体" w:cs="宋体" w:eastAsia="宋体" w:hint="default"/>
        </w:rPr>
        <w:t>37</w:t>
      </w:r>
      <w:r>
        <w:rPr/>
        <w:t>、</w:t>
      </w:r>
      <w:r>
        <w:rPr>
          <w:spacing w:val="-24"/>
        </w:rPr>
        <w:t> </w:t>
      </w:r>
      <w:r>
        <w:rPr/>
        <w:t>长期借款</w:t>
      </w:r>
      <w:r>
        <w:rPr>
          <w:b w:val="0"/>
          <w:bCs w:val="0"/>
        </w:rPr>
      </w:r>
    </w:p>
    <w:p>
      <w:pPr>
        <w:pStyle w:val="Heading5"/>
        <w:spacing w:line="240" w:lineRule="auto" w:before="56"/>
        <w:ind w:left="217" w:right="234"/>
        <w:jc w:val="left"/>
        <w:rPr>
          <w:b w:val="0"/>
          <w:bCs w:val="0"/>
        </w:rPr>
      </w:pPr>
      <w:r>
        <w:rPr>
          <w:rFonts w:ascii="宋体" w:hAnsi="宋体" w:cs="宋体" w:eastAsia="宋体" w:hint="default"/>
        </w:rPr>
        <w:t>(1). </w:t>
      </w:r>
      <w:r>
        <w:rPr/>
        <w:t>长期借款分类</w:t>
      </w:r>
      <w:r>
        <w:rPr>
          <w:b w:val="0"/>
          <w:bCs w:val="0"/>
        </w:rPr>
      </w:r>
    </w:p>
    <w:p>
      <w:pPr>
        <w:pStyle w:val="BodyText"/>
        <w:spacing w:line="240" w:lineRule="auto" w:before="58"/>
        <w:ind w:left="217" w:right="234"/>
        <w:jc w:val="left"/>
      </w:pPr>
      <w:r>
        <w:rPr/>
        <w:t>□适用 √不适用</w:t>
      </w:r>
    </w:p>
    <w:p>
      <w:pPr>
        <w:spacing w:line="240" w:lineRule="auto" w:before="7"/>
        <w:rPr>
          <w:rFonts w:ascii="宋体" w:hAnsi="宋体" w:cs="宋体" w:eastAsia="宋体" w:hint="default"/>
          <w:sz w:val="23"/>
          <w:szCs w:val="23"/>
        </w:rPr>
      </w:pPr>
    </w:p>
    <w:p>
      <w:pPr>
        <w:pStyle w:val="BodyText"/>
        <w:spacing w:line="273" w:lineRule="exact"/>
        <w:ind w:left="217" w:right="234"/>
        <w:jc w:val="left"/>
      </w:pPr>
      <w:r>
        <w:rPr/>
        <w:t>其他说明，包括利率区间：</w:t>
      </w:r>
    </w:p>
    <w:p>
      <w:pPr>
        <w:pStyle w:val="BodyText"/>
        <w:spacing w:line="273" w:lineRule="exact"/>
        <w:ind w:left="217" w:right="234"/>
        <w:jc w:val="left"/>
      </w:pPr>
      <w:r>
        <w:rPr/>
        <w:t>□适用 √不适用</w:t>
      </w:r>
    </w:p>
    <w:p>
      <w:pPr>
        <w:spacing w:line="240" w:lineRule="auto" w:before="3"/>
        <w:rPr>
          <w:rFonts w:ascii="宋体" w:hAnsi="宋体" w:cs="宋体" w:eastAsia="宋体" w:hint="default"/>
          <w:sz w:val="25"/>
          <w:szCs w:val="25"/>
        </w:rPr>
      </w:pPr>
    </w:p>
    <w:p>
      <w:pPr>
        <w:pStyle w:val="Heading5"/>
        <w:spacing w:line="290" w:lineRule="auto"/>
        <w:ind w:left="217" w:right="7701"/>
        <w:jc w:val="left"/>
        <w:rPr>
          <w:b w:val="0"/>
          <w:bCs w:val="0"/>
        </w:rPr>
      </w:pPr>
      <w:r>
        <w:rPr>
          <w:rFonts w:ascii="宋体" w:hAnsi="宋体" w:cs="宋体" w:eastAsia="宋体" w:hint="default"/>
        </w:rPr>
        <w:t>38</w:t>
      </w:r>
      <w:r>
        <w:rPr/>
        <w:t>、</w:t>
      </w:r>
      <w:r>
        <w:rPr>
          <w:spacing w:val="-24"/>
        </w:rPr>
        <w:t> </w:t>
      </w:r>
      <w:r>
        <w:rPr/>
        <w:t>应付债券</w:t>
      </w:r>
      <w:r>
        <w:rPr>
          <w:w w:val="100"/>
        </w:rPr>
        <w:t> </w:t>
      </w:r>
      <w:r>
        <w:rPr>
          <w:rFonts w:ascii="宋体" w:hAnsi="宋体" w:cs="宋体" w:eastAsia="宋体" w:hint="default"/>
        </w:rPr>
        <w:t>(1).</w:t>
      </w:r>
      <w:r>
        <w:rPr/>
        <w:t>应付债券</w:t>
      </w:r>
      <w:r>
        <w:rPr>
          <w:b w:val="0"/>
          <w:bCs w:val="0"/>
        </w:rPr>
      </w:r>
    </w:p>
    <w:p>
      <w:pPr>
        <w:pStyle w:val="Heading5"/>
        <w:spacing w:line="290" w:lineRule="auto" w:before="13"/>
        <w:ind w:left="217" w:right="93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rFonts w:ascii="宋体" w:hAnsi="宋体" w:cs="宋体" w:eastAsia="宋体" w:hint="default"/>
          <w:spacing w:val="-3"/>
          <w:w w:val="100"/>
        </w:rPr>
        <w:t>(2).</w:t>
      </w:r>
      <w:r>
        <w:rPr>
          <w:spacing w:val="-3"/>
          <w:w w:val="100"/>
        </w:rPr>
        <w:t>应付债券的增减变动：（不包括划分为金融负债的优先股、永续债等其他金融工具）</w:t>
      </w:r>
      <w:r>
        <w:rPr>
          <w:b w:val="0"/>
          <w:bCs w:val="0"/>
          <w:spacing w:val="-3"/>
          <w:w w:val="100"/>
        </w:rPr>
      </w:r>
    </w:p>
    <w:p>
      <w:pPr>
        <w:spacing w:line="290" w:lineRule="auto" w:before="12"/>
        <w:ind w:left="217" w:right="46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sz w:val="21"/>
          <w:szCs w:val="21"/>
        </w:rPr>
      </w:r>
    </w:p>
    <w:p>
      <w:pPr>
        <w:pStyle w:val="BodyText"/>
        <w:tabs>
          <w:tab w:pos="1059" w:val="left" w:leader="none"/>
        </w:tabs>
        <w:spacing w:line="240" w:lineRule="auto" w:before="12"/>
        <w:ind w:left="217" w:right="234"/>
        <w:jc w:val="left"/>
      </w:pPr>
      <w:r>
        <w:rPr/>
        <w:t>□适用</w:t>
        <w:tab/>
        <w:t>√不适用</w:t>
      </w:r>
    </w:p>
    <w:p>
      <w:pPr>
        <w:spacing w:line="240" w:lineRule="auto" w:before="11"/>
        <w:rPr>
          <w:rFonts w:ascii="宋体" w:hAnsi="宋体" w:cs="宋体" w:eastAsia="宋体" w:hint="default"/>
          <w:sz w:val="29"/>
          <w:szCs w:val="29"/>
        </w:rPr>
      </w:pPr>
    </w:p>
    <w:p>
      <w:pPr>
        <w:spacing w:line="290" w:lineRule="auto" w:before="0"/>
        <w:ind w:left="217" w:right="23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期末发行在外的优先股、永续债等其他金融工具基本情况</w:t>
      </w:r>
    </w:p>
    <w:p>
      <w:pPr>
        <w:pStyle w:val="BodyText"/>
        <w:spacing w:line="227" w:lineRule="exact"/>
        <w:ind w:left="217" w:right="234"/>
        <w:jc w:val="left"/>
      </w:pPr>
      <w:r>
        <w:rPr/>
        <w:t>□适用 √不适用</w:t>
      </w:r>
    </w:p>
    <w:p>
      <w:pPr>
        <w:spacing w:line="240" w:lineRule="auto" w:before="9"/>
        <w:rPr>
          <w:rFonts w:ascii="宋体" w:hAnsi="宋体" w:cs="宋体" w:eastAsia="宋体" w:hint="default"/>
          <w:sz w:val="20"/>
          <w:szCs w:val="20"/>
        </w:rPr>
      </w:pPr>
    </w:p>
    <w:p>
      <w:pPr>
        <w:pStyle w:val="BodyText"/>
        <w:spacing w:line="274" w:lineRule="exact"/>
        <w:ind w:left="217" w:right="234"/>
        <w:jc w:val="left"/>
      </w:pPr>
      <w:r>
        <w:rPr/>
        <w:t>期末发行在外的优先股、永续债等金融工具变动情况表</w:t>
      </w:r>
    </w:p>
    <w:p>
      <w:pPr>
        <w:pStyle w:val="BodyText"/>
        <w:spacing w:line="274" w:lineRule="exact"/>
        <w:ind w:left="217" w:right="234"/>
        <w:jc w:val="left"/>
      </w:pPr>
      <w:r>
        <w:rPr/>
        <w:t>□适用 √不适用</w:t>
      </w:r>
    </w:p>
    <w:p>
      <w:pPr>
        <w:spacing w:after="0" w:line="274" w:lineRule="exact"/>
        <w:jc w:val="left"/>
        <w:sectPr>
          <w:type w:val="continuous"/>
          <w:pgSz w:w="11910" w:h="16840"/>
          <w:pgMar w:top="1320" w:bottom="1400" w:left="1060" w:right="1560"/>
        </w:sectPr>
      </w:pPr>
    </w:p>
    <w:p>
      <w:pPr>
        <w:pStyle w:val="BodyText"/>
        <w:spacing w:line="240" w:lineRule="auto" w:before="72"/>
        <w:ind w:left="237" w:right="127"/>
        <w:jc w:val="left"/>
      </w:pPr>
      <w:r>
        <w:rPr/>
        <w:t>其他金融工具划分为金融负债的依据说明：</w:t>
      </w:r>
    </w:p>
    <w:p>
      <w:pPr>
        <w:pStyle w:val="BodyText"/>
        <w:spacing w:line="240" w:lineRule="auto" w:before="56"/>
        <w:ind w:left="237" w:right="127"/>
        <w:jc w:val="left"/>
      </w:pPr>
      <w:r>
        <w:rPr/>
        <w:t>□适用 √不适用</w:t>
      </w:r>
    </w:p>
    <w:p>
      <w:pPr>
        <w:spacing w:line="240" w:lineRule="auto" w:before="0"/>
        <w:rPr>
          <w:rFonts w:ascii="宋体" w:hAnsi="宋体" w:cs="宋体" w:eastAsia="宋体" w:hint="default"/>
          <w:sz w:val="20"/>
          <w:szCs w:val="20"/>
        </w:rPr>
      </w:pPr>
    </w:p>
    <w:p>
      <w:pPr>
        <w:pStyle w:val="BodyText"/>
        <w:spacing w:line="240" w:lineRule="auto" w:before="169"/>
        <w:ind w:left="237" w:right="127"/>
        <w:jc w:val="left"/>
      </w:pPr>
      <w:r>
        <w:rPr/>
        <w:t>其他说明：</w:t>
      </w:r>
    </w:p>
    <w:p>
      <w:pPr>
        <w:pStyle w:val="BodyText"/>
        <w:spacing w:line="240" w:lineRule="auto" w:before="56"/>
        <w:ind w:left="237" w:right="127"/>
        <w:jc w:val="left"/>
      </w:pPr>
      <w:r>
        <w:rPr/>
        <w:t>□适用 √不适用</w:t>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0" w:footer="1217" w:top="1320" w:bottom="1400" w:left="1040" w:right="1560"/>
        </w:sectPr>
      </w:pPr>
    </w:p>
    <w:p>
      <w:pPr>
        <w:pStyle w:val="Heading5"/>
        <w:spacing w:line="290" w:lineRule="auto" w:before="36"/>
        <w:ind w:left="237" w:right="-1"/>
        <w:jc w:val="left"/>
        <w:rPr>
          <w:b w:val="0"/>
          <w:bCs w:val="0"/>
        </w:rPr>
      </w:pPr>
      <w:r>
        <w:rPr>
          <w:rFonts w:ascii="宋体" w:hAnsi="宋体" w:cs="宋体" w:eastAsia="宋体" w:hint="default"/>
        </w:rPr>
        <w:t>39</w:t>
      </w:r>
      <w:r>
        <w:rPr/>
        <w:t>、</w:t>
      </w:r>
      <w:r>
        <w:rPr>
          <w:spacing w:val="-25"/>
        </w:rPr>
        <w:t> </w:t>
      </w:r>
      <w:r>
        <w:rPr/>
        <w:t>长期应付款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1815" w:space="4496"/>
            <w:col w:w="2999"/>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10,975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19,206</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10,975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19,206</w:t>
            </w:r>
          </w:p>
        </w:tc>
      </w:tr>
    </w:tbl>
    <w:p>
      <w:pPr>
        <w:spacing w:line="240" w:lineRule="auto" w:before="4"/>
        <w:rPr>
          <w:rFonts w:ascii="宋体" w:hAnsi="宋体" w:cs="宋体" w:eastAsia="宋体" w:hint="default"/>
          <w:sz w:val="18"/>
          <w:szCs w:val="18"/>
        </w:rPr>
      </w:pPr>
    </w:p>
    <w:p>
      <w:pPr>
        <w:pStyle w:val="BodyText"/>
        <w:spacing w:line="274" w:lineRule="exact" w:before="36"/>
        <w:ind w:left="237" w:right="127"/>
        <w:jc w:val="left"/>
      </w:pPr>
      <w:r>
        <w:rPr/>
        <w:t>其他说明：</w:t>
      </w:r>
    </w:p>
    <w:p>
      <w:pPr>
        <w:pStyle w:val="BodyText"/>
        <w:spacing w:line="274" w:lineRule="exact"/>
        <w:ind w:left="237" w:right="127"/>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20" w:bottom="1400" w:left="1040" w:right="1560"/>
        </w:sectPr>
      </w:pPr>
    </w:p>
    <w:p>
      <w:pPr>
        <w:pStyle w:val="Heading5"/>
        <w:spacing w:line="290" w:lineRule="auto" w:before="36"/>
        <w:ind w:left="237" w:right="-16"/>
        <w:jc w:val="left"/>
        <w:rPr>
          <w:b w:val="0"/>
          <w:bCs w:val="0"/>
        </w:rPr>
      </w:pPr>
      <w:r>
        <w:rPr/>
        <w:t>长期应付款</w:t>
      </w:r>
      <w:r>
        <w:rPr>
          <w:w w:val="100"/>
        </w:rPr>
        <w:t> </w:t>
      </w:r>
      <w:r>
        <w:rPr>
          <w:rFonts w:ascii="宋体" w:hAnsi="宋体" w:cs="宋体" w:eastAsia="宋体" w:hint="default"/>
        </w:rPr>
        <w:t>(2).</w:t>
      </w:r>
      <w:r>
        <w:rPr/>
        <w:t>按款项性质列示长期应付款</w:t>
      </w:r>
      <w:r>
        <w:rPr>
          <w:b w:val="0"/>
          <w:bCs w:val="0"/>
        </w:rPr>
      </w:r>
    </w:p>
    <w:p>
      <w:pPr>
        <w:pStyle w:val="BodyText"/>
        <w:spacing w:line="240" w:lineRule="auto" w:before="14"/>
        <w:ind w:left="23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3195" w:space="3116"/>
            <w:col w:w="299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0"/>
        <w:gridCol w:w="2926"/>
        <w:gridCol w:w="2926"/>
      </w:tblGrid>
      <w:tr>
        <w:trPr>
          <w:trHeight w:val="317"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385"/>
              <w:jc w:val="right"/>
              <w:rPr>
                <w:rFonts w:ascii="宋体" w:hAnsi="宋体" w:cs="宋体" w:eastAsia="宋体" w:hint="default"/>
                <w:sz w:val="21"/>
                <w:szCs w:val="21"/>
              </w:rPr>
            </w:pPr>
            <w:r>
              <w:rPr>
                <w:rFonts w:ascii="宋体" w:hAnsi="宋体" w:cs="宋体" w:eastAsia="宋体" w:hint="default"/>
                <w:sz w:val="21"/>
                <w:szCs w:val="21"/>
              </w:rPr>
              <w:t>项目</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应付投资款</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10,975</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19,206</w:t>
            </w:r>
          </w:p>
        </w:tc>
      </w:tr>
      <w:tr>
        <w:trPr>
          <w:trHeight w:val="283"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5"/>
              <w:jc w:val="right"/>
              <w:rPr>
                <w:rFonts w:ascii="宋体" w:hAnsi="宋体" w:cs="宋体" w:eastAsia="宋体" w:hint="default"/>
                <w:sz w:val="21"/>
                <w:szCs w:val="21"/>
              </w:rPr>
            </w:pPr>
            <w:r>
              <w:rPr>
                <w:rFonts w:ascii="宋体" w:hAnsi="宋体" w:cs="宋体" w:eastAsia="宋体" w:hint="default"/>
                <w:sz w:val="21"/>
                <w:szCs w:val="21"/>
              </w:rPr>
              <w:t>合计</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10,975</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19,206</w:t>
            </w:r>
          </w:p>
        </w:tc>
      </w:tr>
    </w:tbl>
    <w:p>
      <w:pPr>
        <w:spacing w:line="240" w:lineRule="auto" w:before="2"/>
        <w:rPr>
          <w:rFonts w:ascii="宋体" w:hAnsi="宋体" w:cs="宋体" w:eastAsia="宋体" w:hint="default"/>
          <w:sz w:val="20"/>
          <w:szCs w:val="20"/>
        </w:rPr>
      </w:pPr>
    </w:p>
    <w:p>
      <w:pPr>
        <w:pStyle w:val="BodyText"/>
        <w:spacing w:line="290" w:lineRule="auto" w:before="36"/>
        <w:ind w:left="237" w:right="7999"/>
        <w:jc w:val="left"/>
      </w:pPr>
      <w:r>
        <w:rPr/>
        <w:t>其他说明：</w:t>
      </w:r>
      <w:r>
        <w:rPr>
          <w:spacing w:val="-102"/>
        </w:rPr>
        <w:t> </w:t>
      </w:r>
      <w:r>
        <w:rPr>
          <w:spacing w:val="-102"/>
        </w:rPr>
      </w:r>
      <w:r>
        <w:rPr/>
        <w:t>无。</w:t>
      </w:r>
    </w:p>
    <w:p>
      <w:pPr>
        <w:spacing w:line="240" w:lineRule="auto" w:before="11"/>
        <w:rPr>
          <w:rFonts w:ascii="宋体" w:hAnsi="宋体" w:cs="宋体" w:eastAsia="宋体" w:hint="default"/>
          <w:sz w:val="21"/>
          <w:szCs w:val="21"/>
        </w:rPr>
      </w:pPr>
    </w:p>
    <w:p>
      <w:pPr>
        <w:pStyle w:val="Heading5"/>
        <w:spacing w:line="290" w:lineRule="auto"/>
        <w:ind w:left="237" w:right="6096"/>
        <w:jc w:val="left"/>
        <w:rPr>
          <w:b w:val="0"/>
          <w:bCs w:val="0"/>
        </w:rPr>
      </w:pPr>
      <w:r>
        <w:rPr/>
        <w:t>专项应付款</w:t>
      </w:r>
      <w:r>
        <w:rPr>
          <w:w w:val="100"/>
        </w:rPr>
        <w:t> </w:t>
      </w:r>
      <w:r>
        <w:rPr>
          <w:rFonts w:ascii="宋体" w:hAnsi="宋体" w:cs="宋体" w:eastAsia="宋体" w:hint="default"/>
        </w:rPr>
        <w:t>(3).</w:t>
      </w:r>
      <w:r>
        <w:rPr/>
        <w:t>按款项性质列示专项应付款</w:t>
      </w:r>
      <w:r>
        <w:rPr>
          <w:b w:val="0"/>
          <w:bCs w:val="0"/>
        </w:rPr>
      </w:r>
    </w:p>
    <w:p>
      <w:pPr>
        <w:pStyle w:val="BodyText"/>
        <w:spacing w:line="240" w:lineRule="auto" w:before="14"/>
        <w:ind w:left="237" w:right="127"/>
        <w:jc w:val="left"/>
      </w:pPr>
      <w:r>
        <w:rPr/>
        <w:t>□适用 √不适用</w:t>
      </w:r>
    </w:p>
    <w:p>
      <w:pPr>
        <w:spacing w:line="240" w:lineRule="auto" w:before="3"/>
        <w:rPr>
          <w:rFonts w:ascii="宋体" w:hAnsi="宋体" w:cs="宋体" w:eastAsia="宋体" w:hint="default"/>
          <w:sz w:val="28"/>
          <w:szCs w:val="28"/>
        </w:rPr>
      </w:pPr>
    </w:p>
    <w:p>
      <w:pPr>
        <w:pStyle w:val="Heading5"/>
        <w:spacing w:line="240" w:lineRule="auto"/>
        <w:ind w:left="237" w:right="127"/>
        <w:jc w:val="left"/>
        <w:rPr>
          <w:b w:val="0"/>
          <w:bCs w:val="0"/>
        </w:rPr>
      </w:pPr>
      <w:r>
        <w:rPr>
          <w:rFonts w:ascii="宋体" w:hAnsi="宋体" w:cs="宋体" w:eastAsia="宋体" w:hint="default"/>
        </w:rPr>
        <w:t>40</w:t>
      </w:r>
      <w:r>
        <w:rPr/>
        <w:t>、</w:t>
      </w:r>
      <w:r>
        <w:rPr>
          <w:spacing w:val="-23"/>
        </w:rPr>
        <w:t> </w:t>
      </w:r>
      <w:r>
        <w:rPr/>
        <w:t>长期应付职工薪酬</w:t>
      </w:r>
      <w:r>
        <w:rPr>
          <w:b w:val="0"/>
          <w:bCs w:val="0"/>
        </w:rPr>
      </w:r>
    </w:p>
    <w:p>
      <w:pPr>
        <w:pStyle w:val="BodyText"/>
        <w:spacing w:line="240" w:lineRule="auto" w:before="58"/>
        <w:ind w:left="237" w:right="127"/>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left="237" w:right="127"/>
        <w:jc w:val="left"/>
        <w:rPr>
          <w:b w:val="0"/>
          <w:bCs w:val="0"/>
        </w:rPr>
      </w:pPr>
      <w:r>
        <w:rPr>
          <w:rFonts w:ascii="宋体" w:hAnsi="宋体" w:cs="宋体" w:eastAsia="宋体" w:hint="default"/>
        </w:rPr>
        <w:t>41</w:t>
      </w:r>
      <w:r>
        <w:rPr/>
        <w:t>、</w:t>
      </w:r>
      <w:r>
        <w:rPr>
          <w:spacing w:val="-24"/>
        </w:rPr>
        <w:t> </w:t>
      </w:r>
      <w:r>
        <w:rPr/>
        <w:t>预计负债</w:t>
      </w:r>
      <w:r>
        <w:rPr>
          <w:b w:val="0"/>
          <w:bCs w:val="0"/>
        </w:rPr>
      </w:r>
    </w:p>
    <w:p>
      <w:pPr>
        <w:pStyle w:val="BodyText"/>
        <w:spacing w:line="240" w:lineRule="auto" w:before="56"/>
        <w:ind w:left="237" w:right="127"/>
        <w:jc w:val="left"/>
      </w:pPr>
      <w:r>
        <w:rPr/>
        <w:t>□适用 √不适用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320" w:bottom="1400" w:left="1040" w:right="1560"/>
        </w:sectPr>
      </w:pPr>
    </w:p>
    <w:p>
      <w:pPr>
        <w:spacing w:line="290" w:lineRule="auto" w:before="36"/>
        <w:ind w:left="237" w:right="315"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1079" w:val="left" w:leader="none"/>
        </w:tabs>
        <w:spacing w:line="230" w:lineRule="exact"/>
        <w:ind w:left="23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1920" w:space="4390"/>
            <w:col w:w="3000"/>
          </w:cols>
        </w:sectPr>
      </w:pP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234"/>
        <w:gridCol w:w="1274"/>
        <w:gridCol w:w="1136"/>
        <w:gridCol w:w="1133"/>
        <w:gridCol w:w="1136"/>
        <w:gridCol w:w="1150"/>
      </w:tblGrid>
      <w:tr>
        <w:trPr>
          <w:trHeight w:val="346"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本期增加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本期减少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40"/>
              <w:jc w:val="right"/>
              <w:rPr>
                <w:rFonts w:ascii="宋体" w:hAnsi="宋体" w:cs="宋体" w:eastAsia="宋体" w:hint="default"/>
                <w:sz w:val="21"/>
                <w:szCs w:val="21"/>
              </w:rPr>
            </w:pPr>
            <w:r>
              <w:rPr>
                <w:rFonts w:ascii="宋体" w:hAnsi="宋体" w:cs="宋体" w:eastAsia="宋体" w:hint="default"/>
                <w:spacing w:val="-1"/>
                <w:sz w:val="21"/>
                <w:szCs w:val="21"/>
              </w:rPr>
              <w:t>期末余额</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48"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1"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142,694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z w:val="21"/>
              </w:rPr>
              <w:t>32,265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16,929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158,030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283"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减：一年内到期的政府补助</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(13,691)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spacing w:val="-1"/>
                <w:sz w:val="21"/>
              </w:rPr>
              <w:t>(4,305)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(17,996)</w:t>
            </w:r>
          </w:p>
        </w:tc>
        <w:tc>
          <w:tcPr>
            <w:tcW w:w="11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129,003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z w:val="21"/>
              </w:rPr>
              <w:t>27,960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16,929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140,034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39" w:lineRule="exact"/>
        <w:ind w:left="237" w:right="127"/>
        <w:jc w:val="left"/>
      </w:pPr>
      <w:r>
        <w:rPr/>
        <w:t>注：</w:t>
      </w:r>
    </w:p>
    <w:p>
      <w:pPr>
        <w:pStyle w:val="BodyText"/>
        <w:spacing w:line="357" w:lineRule="auto"/>
        <w:ind w:left="237" w:right="238" w:firstLine="420"/>
        <w:jc w:val="both"/>
      </w:pPr>
      <w:r>
        <w:rPr>
          <w:spacing w:val="-2"/>
        </w:rPr>
        <w:t>对于某些试点项目的支持和研发，本集团会获得多种形式的政府补贴。相关的项目完工后相</w:t>
      </w:r>
      <w:r>
        <w:rPr>
          <w:w w:val="100"/>
        </w:rPr>
        <w:t> </w:t>
      </w:r>
      <w:r>
        <w:rPr>
          <w:spacing w:val="-2"/>
        </w:rPr>
        <w:t>应的政府补助被计入其他收益中，对于已获取但相关业务尚在执行中的政府补助，会在递延收益</w:t>
      </w:r>
      <w:r>
        <w:rPr>
          <w:spacing w:val="-25"/>
        </w:rPr>
        <w:t> </w:t>
      </w:r>
      <w:r>
        <w:rPr>
          <w:spacing w:val="-25"/>
        </w:rPr>
      </w:r>
      <w:r>
        <w:rPr/>
        <w:t>中列报。</w:t>
      </w:r>
    </w:p>
    <w:p>
      <w:pPr>
        <w:spacing w:line="240" w:lineRule="auto" w:before="1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0" w:footer="1217" w:top="1320" w:bottom="1400" w:left="1040" w:right="1560"/>
        </w:sectPr>
      </w:pPr>
    </w:p>
    <w:p>
      <w:pPr>
        <w:pStyle w:val="BodyText"/>
        <w:spacing w:line="240" w:lineRule="auto" w:before="36"/>
        <w:ind w:left="237" w:right="0"/>
        <w:jc w:val="left"/>
      </w:pPr>
      <w:r>
        <w:rPr>
          <w:spacing w:val="-2"/>
        </w:rPr>
        <w:t>涉及政府补助的项目：</w:t>
      </w:r>
    </w:p>
    <w:p>
      <w:pPr>
        <w:pStyle w:val="BodyText"/>
        <w:spacing w:line="240" w:lineRule="auto" w:before="57"/>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499" w:val="left" w:leader="none"/>
        </w:tabs>
        <w:spacing w:line="240" w:lineRule="auto" w:before="178"/>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2340" w:space="3970"/>
            <w:col w:w="3000"/>
          </w:cols>
        </w:sectPr>
      </w:pPr>
    </w:p>
    <w:p>
      <w:pPr>
        <w:spacing w:line="240" w:lineRule="auto" w:before="12"/>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2345"/>
        <w:gridCol w:w="963"/>
        <w:gridCol w:w="1097"/>
        <w:gridCol w:w="915"/>
        <w:gridCol w:w="857"/>
        <w:gridCol w:w="636"/>
        <w:gridCol w:w="963"/>
        <w:gridCol w:w="1286"/>
      </w:tblGrid>
      <w:tr>
        <w:trPr>
          <w:trHeight w:val="1099"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负债项目</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70" w:right="159" w:hanging="212"/>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22" w:right="120"/>
              <w:jc w:val="left"/>
              <w:rPr>
                <w:rFonts w:ascii="宋体" w:hAnsi="宋体" w:cs="宋体" w:eastAsia="宋体" w:hint="default"/>
                <w:sz w:val="21"/>
                <w:szCs w:val="21"/>
              </w:rPr>
            </w:pPr>
            <w:r>
              <w:rPr>
                <w:rFonts w:ascii="宋体" w:hAnsi="宋体" w:cs="宋体" w:eastAsia="宋体" w:hint="default"/>
                <w:sz w:val="21"/>
                <w:szCs w:val="21"/>
              </w:rPr>
              <w:t>本期新增</w:t>
            </w:r>
            <w:r>
              <w:rPr>
                <w:rFonts w:ascii="宋体" w:hAnsi="宋体" w:cs="宋体" w:eastAsia="宋体" w:hint="default"/>
                <w:w w:val="100"/>
                <w:sz w:val="21"/>
                <w:szCs w:val="21"/>
              </w:rPr>
              <w:t> </w:t>
            </w:r>
            <w:r>
              <w:rPr>
                <w:rFonts w:ascii="宋体" w:hAnsi="宋体" w:cs="宋体" w:eastAsia="宋体" w:hint="default"/>
                <w:sz w:val="21"/>
                <w:szCs w:val="21"/>
              </w:rPr>
              <w:t>补助金额</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both"/>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37" w:lineRule="auto" w:before="2"/>
              <w:ind w:left="136" w:right="132"/>
              <w:jc w:val="both"/>
              <w:rPr>
                <w:rFonts w:ascii="宋体" w:hAnsi="宋体" w:cs="宋体" w:eastAsia="宋体" w:hint="default"/>
                <w:sz w:val="21"/>
                <w:szCs w:val="21"/>
              </w:rPr>
            </w:pPr>
            <w:r>
              <w:rPr>
                <w:rFonts w:ascii="宋体" w:hAnsi="宋体" w:cs="宋体" w:eastAsia="宋体" w:hint="default"/>
                <w:sz w:val="21"/>
                <w:szCs w:val="21"/>
              </w:rPr>
              <w:t>入营业</w:t>
            </w:r>
            <w:r>
              <w:rPr>
                <w:rFonts w:ascii="宋体" w:hAnsi="宋体" w:cs="宋体" w:eastAsia="宋体" w:hint="default"/>
                <w:spacing w:val="-102"/>
                <w:sz w:val="21"/>
                <w:szCs w:val="21"/>
              </w:rPr>
              <w:t> </w:t>
            </w:r>
            <w:r>
              <w:rPr>
                <w:rFonts w:ascii="宋体" w:hAnsi="宋体" w:cs="宋体" w:eastAsia="宋体" w:hint="default"/>
                <w:sz w:val="21"/>
                <w:szCs w:val="21"/>
              </w:rPr>
              <w:t>外收入</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37" w:lineRule="auto" w:before="2"/>
              <w:ind w:left="107" w:right="103"/>
              <w:jc w:val="center"/>
              <w:rPr>
                <w:rFonts w:ascii="宋体" w:hAnsi="宋体" w:cs="宋体" w:eastAsia="宋体" w:hint="default"/>
                <w:sz w:val="21"/>
                <w:szCs w:val="21"/>
              </w:rPr>
            </w:pPr>
            <w:r>
              <w:rPr>
                <w:rFonts w:ascii="宋体" w:hAnsi="宋体" w:cs="宋体" w:eastAsia="宋体" w:hint="default"/>
                <w:sz w:val="21"/>
                <w:szCs w:val="21"/>
              </w:rPr>
              <w:t>入其他</w:t>
            </w:r>
            <w:r>
              <w:rPr>
                <w:rFonts w:ascii="宋体" w:hAnsi="宋体" w:cs="宋体" w:eastAsia="宋体" w:hint="default"/>
                <w:w w:val="100"/>
                <w:sz w:val="21"/>
                <w:szCs w:val="21"/>
              </w:rPr>
              <w:t> </w:t>
            </w:r>
            <w:r>
              <w:rPr>
                <w:rFonts w:ascii="宋体" w:hAnsi="宋体" w:cs="宋体" w:eastAsia="宋体" w:hint="default"/>
                <w:sz w:val="21"/>
                <w:szCs w:val="21"/>
              </w:rPr>
              <w:t>收益金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before="2"/>
              <w:ind w:left="206" w:right="206"/>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69" w:right="159" w:hanging="212"/>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10" w:right="0"/>
              <w:jc w:val="left"/>
              <w:rPr>
                <w:rFonts w:ascii="宋体" w:hAnsi="宋体" w:cs="宋体" w:eastAsia="宋体" w:hint="default"/>
                <w:sz w:val="21"/>
                <w:szCs w:val="21"/>
              </w:rPr>
            </w:pPr>
            <w:r>
              <w:rPr>
                <w:rFonts w:ascii="宋体" w:hAnsi="宋体" w:cs="宋体" w:eastAsia="宋体" w:hint="default"/>
                <w:sz w:val="21"/>
                <w:szCs w:val="21"/>
              </w:rPr>
              <w:t>与资产相关</w:t>
            </w:r>
          </w:p>
          <w:p>
            <w:pPr>
              <w:pStyle w:val="TableParagraph"/>
              <w:spacing w:line="240" w:lineRule="auto"/>
              <w:ind w:left="530" w:right="163" w:hanging="36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与收益相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关</w:t>
            </w:r>
          </w:p>
        </w:tc>
      </w:tr>
      <w:tr>
        <w:trPr>
          <w:trHeight w:val="554"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基于云计算模式的终端</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安全服务项目</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z w:val="21"/>
              </w:rPr>
              <w:t>35,000</w:t>
            </w:r>
          </w:p>
        </w:tc>
        <w:tc>
          <w:tcPr>
            <w:tcW w:w="1097"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z w:val="21"/>
              </w:rPr>
              <w:t>35,000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360</w:t>
            </w:r>
            <w:r>
              <w:rPr>
                <w:rFonts w:ascii="宋体" w:hAnsi="宋体" w:cs="宋体" w:eastAsia="宋体" w:hint="default"/>
                <w:spacing w:val="-54"/>
                <w:sz w:val="21"/>
                <w:szCs w:val="21"/>
              </w:rPr>
              <w:t> </w:t>
            </w:r>
            <w:r>
              <w:rPr>
                <w:rFonts w:ascii="宋体" w:hAnsi="宋体" w:cs="宋体" w:eastAsia="宋体" w:hint="default"/>
                <w:sz w:val="21"/>
                <w:szCs w:val="21"/>
              </w:rPr>
              <w:t>网站下一代互联网</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IPV96</w:t>
            </w:r>
            <w:r>
              <w:rPr>
                <w:rFonts w:ascii="宋体" w:hAnsi="宋体" w:cs="宋体" w:eastAsia="宋体" w:hint="default"/>
                <w:spacing w:val="-51"/>
                <w:sz w:val="21"/>
                <w:szCs w:val="21"/>
              </w:rPr>
              <w:t> </w:t>
            </w:r>
            <w:r>
              <w:rPr>
                <w:rFonts w:ascii="宋体" w:hAnsi="宋体" w:cs="宋体" w:eastAsia="宋体" w:hint="default"/>
                <w:sz w:val="21"/>
                <w:szCs w:val="21"/>
              </w:rPr>
              <w:t>网站改造资金</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z w:val="21"/>
              </w:rPr>
              <w:t>17,000</w:t>
            </w:r>
          </w:p>
        </w:tc>
        <w:tc>
          <w:tcPr>
            <w:tcW w:w="1097"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z w:val="21"/>
              </w:rPr>
              <w:t>17,000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数据驱动的工业互联网</w:t>
            </w:r>
          </w:p>
          <w:p>
            <w:pPr>
              <w:pStyle w:val="TableParagraph"/>
              <w:spacing w:line="240" w:lineRule="auto"/>
              <w:ind w:left="108" w:right="122"/>
              <w:jc w:val="left"/>
              <w:rPr>
                <w:rFonts w:ascii="宋体" w:hAnsi="宋体" w:cs="宋体" w:eastAsia="宋体" w:hint="default"/>
                <w:sz w:val="21"/>
                <w:szCs w:val="21"/>
              </w:rPr>
            </w:pPr>
            <w:r>
              <w:rPr>
                <w:rFonts w:ascii="宋体" w:hAnsi="宋体" w:cs="宋体" w:eastAsia="宋体" w:hint="default"/>
                <w:spacing w:val="-2"/>
                <w:sz w:val="21"/>
                <w:szCs w:val="21"/>
              </w:rPr>
              <w:t>安全保障体系建设与应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用示范</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21"/>
                <w:szCs w:val="21"/>
              </w:rPr>
            </w:pPr>
            <w:r>
              <w:rPr>
                <w:rFonts w:ascii="宋体"/>
                <w:sz w:val="21"/>
              </w:rPr>
              <w:t>17,207</w:t>
            </w:r>
          </w:p>
        </w:tc>
        <w:tc>
          <w:tcPr>
            <w:tcW w:w="1097"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z w:val="21"/>
              </w:rPr>
              <w:t>5,950</w:t>
            </w:r>
          </w:p>
        </w:tc>
        <w:tc>
          <w:tcPr>
            <w:tcW w:w="636"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21"/>
                <w:szCs w:val="21"/>
              </w:rPr>
            </w:pPr>
            <w:r>
              <w:rPr>
                <w:rFonts w:ascii="宋体"/>
                <w:sz w:val="21"/>
              </w:rPr>
              <w:t>11,257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1099"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中关村国家自主创新示</w:t>
            </w:r>
          </w:p>
          <w:p>
            <w:pPr>
              <w:pStyle w:val="TableParagraph"/>
              <w:spacing w:line="237" w:lineRule="auto" w:before="2"/>
              <w:ind w:left="108" w:right="122"/>
              <w:jc w:val="left"/>
              <w:rPr>
                <w:rFonts w:ascii="宋体" w:hAnsi="宋体" w:cs="宋体" w:eastAsia="宋体" w:hint="default"/>
                <w:sz w:val="21"/>
                <w:szCs w:val="21"/>
              </w:rPr>
            </w:pPr>
            <w:r>
              <w:rPr>
                <w:rFonts w:ascii="宋体" w:hAnsi="宋体" w:cs="宋体" w:eastAsia="宋体" w:hint="default"/>
                <w:spacing w:val="-2"/>
                <w:sz w:val="21"/>
                <w:szCs w:val="21"/>
              </w:rPr>
              <w:t>范区重大协同创新平台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智能网联汽车</w:t>
            </w:r>
            <w:r>
              <w:rPr>
                <w:rFonts w:ascii="宋体" w:hAnsi="宋体" w:cs="宋体" w:eastAsia="宋体" w:hint="default"/>
                <w:w w:val="100"/>
                <w:sz w:val="21"/>
                <w:szCs w:val="21"/>
              </w:rPr>
              <w:t> </w:t>
            </w:r>
            <w:r>
              <w:rPr>
                <w:rFonts w:ascii="宋体" w:hAnsi="宋体" w:cs="宋体" w:eastAsia="宋体" w:hint="default"/>
                <w:sz w:val="21"/>
                <w:szCs w:val="21"/>
              </w:rPr>
              <w:t>“安全大脑“</w:t>
            </w:r>
          </w:p>
        </w:tc>
        <w:tc>
          <w:tcPr>
            <w:tcW w:w="96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3"/>
              <w:jc w:val="right"/>
              <w:rPr>
                <w:rFonts w:ascii="宋体" w:hAnsi="宋体" w:cs="宋体" w:eastAsia="宋体" w:hint="default"/>
                <w:sz w:val="21"/>
                <w:szCs w:val="21"/>
              </w:rPr>
            </w:pPr>
            <w:r>
              <w:rPr>
                <w:rFonts w:ascii="宋体"/>
                <w:sz w:val="21"/>
              </w:rPr>
              <w:t>10,000</w:t>
            </w:r>
          </w:p>
        </w:tc>
        <w:tc>
          <w:tcPr>
            <w:tcW w:w="91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3"/>
              <w:jc w:val="right"/>
              <w:rPr>
                <w:rFonts w:ascii="宋体" w:hAnsi="宋体" w:cs="宋体" w:eastAsia="宋体" w:hint="default"/>
                <w:sz w:val="21"/>
                <w:szCs w:val="21"/>
              </w:rPr>
            </w:pPr>
            <w:r>
              <w:rPr>
                <w:rFonts w:ascii="宋体"/>
                <w:sz w:val="21"/>
              </w:rPr>
              <w:t>188</w:t>
            </w:r>
          </w:p>
        </w:tc>
        <w:tc>
          <w:tcPr>
            <w:tcW w:w="636"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6"/>
              <w:jc w:val="right"/>
              <w:rPr>
                <w:rFonts w:ascii="宋体" w:hAnsi="宋体" w:cs="宋体" w:eastAsia="宋体" w:hint="default"/>
                <w:sz w:val="21"/>
                <w:szCs w:val="21"/>
              </w:rPr>
            </w:pPr>
            <w:r>
              <w:rPr>
                <w:rFonts w:ascii="宋体"/>
                <w:sz w:val="21"/>
              </w:rPr>
              <w:t>9,812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网络安全检测与防控综</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合服务平台项目</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z w:val="21"/>
              </w:rPr>
              <w:t>14,845</w:t>
            </w:r>
          </w:p>
        </w:tc>
        <w:tc>
          <w:tcPr>
            <w:tcW w:w="1097"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6,027</w:t>
            </w:r>
          </w:p>
        </w:tc>
        <w:tc>
          <w:tcPr>
            <w:tcW w:w="636"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z w:val="21"/>
              </w:rPr>
              <w:t>8,818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益相关</w:t>
            </w:r>
          </w:p>
        </w:tc>
      </w:tr>
      <w:tr>
        <w:trPr>
          <w:trHeight w:val="828"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基于云计算模式的创新</w:t>
            </w:r>
          </w:p>
          <w:p>
            <w:pPr>
              <w:pStyle w:val="TableParagraph"/>
              <w:spacing w:line="272" w:lineRule="exact" w:before="27"/>
              <w:ind w:left="108" w:right="122"/>
              <w:jc w:val="left"/>
              <w:rPr>
                <w:rFonts w:ascii="宋体" w:hAnsi="宋体" w:cs="宋体" w:eastAsia="宋体" w:hint="default"/>
                <w:sz w:val="21"/>
                <w:szCs w:val="21"/>
              </w:rPr>
            </w:pPr>
            <w:r>
              <w:rPr>
                <w:rFonts w:ascii="宋体" w:hAnsi="宋体" w:cs="宋体" w:eastAsia="宋体" w:hint="default"/>
                <w:spacing w:val="-2"/>
                <w:sz w:val="21"/>
                <w:szCs w:val="21"/>
              </w:rPr>
              <w:t>信息安全产业化服务项</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目</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21"/>
                <w:szCs w:val="21"/>
              </w:rPr>
            </w:pPr>
            <w:r>
              <w:rPr>
                <w:rFonts w:ascii="宋体"/>
                <w:sz w:val="21"/>
              </w:rPr>
              <w:t>8,000</w:t>
            </w:r>
          </w:p>
        </w:tc>
        <w:tc>
          <w:tcPr>
            <w:tcW w:w="1097"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21"/>
                <w:szCs w:val="21"/>
              </w:rPr>
            </w:pPr>
            <w:r>
              <w:rPr>
                <w:rFonts w:ascii="宋体"/>
                <w:sz w:val="21"/>
              </w:rPr>
              <w:t>8,000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基于云的网站安全检测</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及安全防护服务项目</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7"/>
              <w:jc w:val="right"/>
              <w:rPr>
                <w:rFonts w:ascii="宋体" w:hAnsi="宋体" w:cs="宋体" w:eastAsia="宋体" w:hint="default"/>
                <w:sz w:val="21"/>
                <w:szCs w:val="21"/>
              </w:rPr>
            </w:pPr>
            <w:r>
              <w:rPr>
                <w:rFonts w:ascii="宋体"/>
                <w:sz w:val="21"/>
              </w:rPr>
              <w:t>8,000</w:t>
            </w:r>
          </w:p>
        </w:tc>
        <w:tc>
          <w:tcPr>
            <w:tcW w:w="1097"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z w:val="21"/>
              </w:rPr>
              <w:t>8,000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6"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面向服务器</w:t>
            </w:r>
            <w:r>
              <w:rPr>
                <w:rFonts w:ascii="宋体" w:hAnsi="宋体" w:cs="宋体" w:eastAsia="宋体" w:hint="default"/>
                <w:spacing w:val="-52"/>
                <w:sz w:val="21"/>
                <w:szCs w:val="21"/>
              </w:rPr>
              <w:t> </w:t>
            </w:r>
            <w:r>
              <w:rPr>
                <w:rFonts w:ascii="宋体" w:hAnsi="宋体" w:cs="宋体" w:eastAsia="宋体" w:hint="default"/>
                <w:sz w:val="21"/>
                <w:szCs w:val="21"/>
              </w:rPr>
              <w:t>CPU</w:t>
            </w:r>
            <w:r>
              <w:rPr>
                <w:rFonts w:ascii="宋体" w:hAnsi="宋体" w:cs="宋体" w:eastAsia="宋体" w:hint="default"/>
                <w:spacing w:val="-54"/>
                <w:sz w:val="21"/>
                <w:szCs w:val="21"/>
              </w:rPr>
              <w:t> </w:t>
            </w:r>
            <w:r>
              <w:rPr>
                <w:rFonts w:ascii="宋体" w:hAnsi="宋体" w:cs="宋体" w:eastAsia="宋体" w:hint="default"/>
                <w:sz w:val="21"/>
                <w:szCs w:val="21"/>
              </w:rPr>
              <w:t>熔断和</w:t>
            </w:r>
          </w:p>
          <w:p>
            <w:pPr>
              <w:pStyle w:val="TableParagraph"/>
              <w:spacing w:line="272" w:lineRule="exact" w:before="27"/>
              <w:ind w:left="108" w:right="122"/>
              <w:jc w:val="left"/>
              <w:rPr>
                <w:rFonts w:ascii="宋体" w:hAnsi="宋体" w:cs="宋体" w:eastAsia="宋体" w:hint="default"/>
                <w:sz w:val="21"/>
                <w:szCs w:val="21"/>
              </w:rPr>
            </w:pPr>
            <w:r>
              <w:rPr>
                <w:rFonts w:ascii="宋体" w:hAnsi="宋体" w:cs="宋体" w:eastAsia="宋体" w:hint="default"/>
                <w:spacing w:val="-2"/>
                <w:sz w:val="21"/>
                <w:szCs w:val="21"/>
              </w:rPr>
              <w:t>幽灵漏洞等硬件安全威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胁的系统解决方案</w:t>
            </w:r>
          </w:p>
        </w:tc>
        <w:tc>
          <w:tcPr>
            <w:tcW w:w="96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z w:val="21"/>
              </w:rPr>
              <w:t>7,058</w:t>
            </w:r>
          </w:p>
        </w:tc>
        <w:tc>
          <w:tcPr>
            <w:tcW w:w="91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21"/>
                <w:szCs w:val="21"/>
              </w:rPr>
            </w:pPr>
            <w:r>
              <w:rPr>
                <w:rFonts w:ascii="宋体"/>
                <w:sz w:val="21"/>
              </w:rPr>
              <w:t>7,058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7"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基于大数据的企业信用</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综合服务平台</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7"/>
              <w:jc w:val="right"/>
              <w:rPr>
                <w:rFonts w:ascii="宋体" w:hAnsi="宋体" w:cs="宋体" w:eastAsia="宋体" w:hint="default"/>
                <w:sz w:val="21"/>
                <w:szCs w:val="21"/>
              </w:rPr>
            </w:pPr>
            <w:r>
              <w:rPr>
                <w:rFonts w:ascii="宋体"/>
                <w:sz w:val="21"/>
              </w:rPr>
              <w:t>6,610</w:t>
            </w:r>
          </w:p>
        </w:tc>
        <w:tc>
          <w:tcPr>
            <w:tcW w:w="1097"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z w:val="21"/>
              </w:rPr>
              <w:t>6,610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基于区块链的可信电子</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存证系统关键技术研发</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7"/>
              <w:jc w:val="right"/>
              <w:rPr>
                <w:rFonts w:ascii="宋体" w:hAnsi="宋体" w:cs="宋体" w:eastAsia="宋体" w:hint="default"/>
                <w:sz w:val="21"/>
                <w:szCs w:val="21"/>
              </w:rPr>
            </w:pPr>
            <w:r>
              <w:rPr>
                <w:rFonts w:ascii="宋体"/>
                <w:sz w:val="21"/>
              </w:rPr>
              <w:t>5,000</w:t>
            </w:r>
          </w:p>
        </w:tc>
        <w:tc>
          <w:tcPr>
            <w:tcW w:w="1097"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7"/>
              <w:jc w:val="right"/>
              <w:rPr>
                <w:rFonts w:ascii="宋体" w:hAnsi="宋体" w:cs="宋体" w:eastAsia="宋体" w:hint="default"/>
                <w:sz w:val="21"/>
                <w:szCs w:val="21"/>
              </w:rPr>
            </w:pPr>
            <w:r>
              <w:rPr>
                <w:rFonts w:ascii="宋体"/>
                <w:sz w:val="21"/>
              </w:rPr>
              <w:t>25</w:t>
            </w:r>
          </w:p>
        </w:tc>
        <w:tc>
          <w:tcPr>
            <w:tcW w:w="636"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z w:val="21"/>
              </w:rPr>
              <w:t>4,975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益相关</w:t>
            </w:r>
          </w:p>
        </w:tc>
      </w:tr>
      <w:tr>
        <w:trPr>
          <w:trHeight w:val="554"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面向智能终端的高能效</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深度学习加速技术研究</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7"/>
              <w:jc w:val="right"/>
              <w:rPr>
                <w:rFonts w:ascii="宋体" w:hAnsi="宋体" w:cs="宋体" w:eastAsia="宋体" w:hint="default"/>
                <w:sz w:val="21"/>
                <w:szCs w:val="21"/>
              </w:rPr>
            </w:pPr>
            <w:r>
              <w:rPr>
                <w:rFonts w:ascii="宋体"/>
                <w:sz w:val="21"/>
              </w:rPr>
              <w:t>5,000</w:t>
            </w:r>
          </w:p>
        </w:tc>
        <w:tc>
          <w:tcPr>
            <w:tcW w:w="1097"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433</w:t>
            </w:r>
          </w:p>
        </w:tc>
        <w:tc>
          <w:tcPr>
            <w:tcW w:w="636"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z w:val="21"/>
              </w:rPr>
              <w:t>4,567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益相关</w:t>
            </w:r>
          </w:p>
        </w:tc>
      </w:tr>
      <w:tr>
        <w:trPr>
          <w:trHeight w:val="826"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基于自主可控芯片的高</w:t>
            </w:r>
          </w:p>
          <w:p>
            <w:pPr>
              <w:pStyle w:val="TableParagraph"/>
              <w:spacing w:line="272" w:lineRule="exact" w:before="27"/>
              <w:ind w:left="108" w:right="122"/>
              <w:jc w:val="left"/>
              <w:rPr>
                <w:rFonts w:ascii="宋体" w:hAnsi="宋体" w:cs="宋体" w:eastAsia="宋体" w:hint="default"/>
                <w:sz w:val="21"/>
                <w:szCs w:val="21"/>
              </w:rPr>
            </w:pPr>
            <w:r>
              <w:rPr>
                <w:rFonts w:ascii="宋体" w:hAnsi="宋体" w:cs="宋体" w:eastAsia="宋体" w:hint="default"/>
                <w:spacing w:val="-2"/>
                <w:sz w:val="21"/>
                <w:szCs w:val="21"/>
              </w:rPr>
              <w:t>安全等级移动终端研制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与示范应用</w:t>
            </w:r>
          </w:p>
        </w:tc>
        <w:tc>
          <w:tcPr>
            <w:tcW w:w="96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z w:val="21"/>
              </w:rPr>
              <w:t>4,090</w:t>
            </w:r>
          </w:p>
        </w:tc>
        <w:tc>
          <w:tcPr>
            <w:tcW w:w="91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21"/>
                <w:szCs w:val="21"/>
              </w:rPr>
            </w:pPr>
            <w:r>
              <w:rPr>
                <w:rFonts w:ascii="宋体"/>
                <w:sz w:val="21"/>
              </w:rPr>
              <w:t>4,090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221"/>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w:t>
            </w:r>
            <w:r>
              <w:rPr>
                <w:rFonts w:ascii="宋体" w:hAnsi="宋体" w:cs="宋体" w:eastAsia="宋体" w:hint="default"/>
                <w:spacing w:val="-103"/>
                <w:sz w:val="21"/>
                <w:szCs w:val="21"/>
              </w:rPr>
              <w:t> </w:t>
            </w:r>
            <w:r>
              <w:rPr>
                <w:rFonts w:ascii="宋体" w:hAnsi="宋体" w:cs="宋体" w:eastAsia="宋体" w:hint="default"/>
                <w:sz w:val="21"/>
                <w:szCs w:val="21"/>
              </w:rPr>
              <w:t>益相关</w:t>
            </w:r>
          </w:p>
        </w:tc>
      </w:tr>
      <w:tr>
        <w:trPr>
          <w:trHeight w:val="283"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
              <w:jc w:val="center"/>
              <w:rPr>
                <w:rFonts w:ascii="宋体" w:hAnsi="宋体" w:cs="宋体" w:eastAsia="宋体" w:hint="default"/>
                <w:sz w:val="21"/>
                <w:szCs w:val="21"/>
              </w:rPr>
            </w:pPr>
            <w:r>
              <w:rPr>
                <w:rFonts w:ascii="宋体" w:hAnsi="宋体" w:cs="宋体" w:eastAsia="宋体" w:hint="default"/>
                <w:sz w:val="21"/>
                <w:szCs w:val="21"/>
              </w:rPr>
              <w:t>企业技术创新平台建设</w:t>
            </w:r>
          </w:p>
        </w:tc>
        <w:tc>
          <w:tcPr>
            <w:tcW w:w="96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z w:val="21"/>
              </w:rPr>
              <w:t>4,000</w:t>
            </w:r>
          </w:p>
        </w:tc>
        <w:tc>
          <w:tcPr>
            <w:tcW w:w="91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z w:val="21"/>
              </w:rPr>
              <w:t>4,000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w:t>
            </w:r>
          </w:p>
        </w:tc>
      </w:tr>
    </w:tbl>
    <w:p>
      <w:pPr>
        <w:spacing w:after="0" w:line="243" w:lineRule="exact"/>
        <w:jc w:val="left"/>
        <w:rPr>
          <w:rFonts w:ascii="宋体" w:hAnsi="宋体" w:cs="宋体" w:eastAsia="宋体" w:hint="default"/>
          <w:sz w:val="21"/>
          <w:szCs w:val="21"/>
        </w:rPr>
        <w:sectPr>
          <w:type w:val="continuous"/>
          <w:pgSz w:w="11910" w:h="16840"/>
          <w:pgMar w:top="1320" w:bottom="1400" w:left="1040" w:right="1560"/>
        </w:sectPr>
      </w:pP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345"/>
        <w:gridCol w:w="963"/>
        <w:gridCol w:w="1097"/>
        <w:gridCol w:w="915"/>
        <w:gridCol w:w="857"/>
        <w:gridCol w:w="636"/>
        <w:gridCol w:w="963"/>
        <w:gridCol w:w="1286"/>
      </w:tblGrid>
      <w:tr>
        <w:trPr>
          <w:trHeight w:val="1100"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46"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370" w:right="159" w:hanging="212"/>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22" w:right="120"/>
              <w:jc w:val="left"/>
              <w:rPr>
                <w:rFonts w:ascii="宋体" w:hAnsi="宋体" w:cs="宋体" w:eastAsia="宋体" w:hint="default"/>
                <w:sz w:val="21"/>
                <w:szCs w:val="21"/>
              </w:rPr>
            </w:pPr>
            <w:r>
              <w:rPr>
                <w:rFonts w:ascii="宋体" w:hAnsi="宋体" w:cs="宋体" w:eastAsia="宋体" w:hint="default"/>
                <w:sz w:val="21"/>
                <w:szCs w:val="21"/>
              </w:rPr>
              <w:t>本期新增</w:t>
            </w:r>
            <w:r>
              <w:rPr>
                <w:rFonts w:ascii="宋体" w:hAnsi="宋体" w:cs="宋体" w:eastAsia="宋体" w:hint="default"/>
                <w:w w:val="100"/>
                <w:sz w:val="21"/>
                <w:szCs w:val="21"/>
              </w:rPr>
              <w:t> </w:t>
            </w:r>
            <w:r>
              <w:rPr>
                <w:rFonts w:ascii="宋体" w:hAnsi="宋体" w:cs="宋体" w:eastAsia="宋体" w:hint="default"/>
                <w:sz w:val="21"/>
                <w:szCs w:val="21"/>
              </w:rPr>
              <w:t>补助金额</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both"/>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37" w:lineRule="auto" w:before="2"/>
              <w:ind w:left="136" w:right="132"/>
              <w:jc w:val="both"/>
              <w:rPr>
                <w:rFonts w:ascii="宋体" w:hAnsi="宋体" w:cs="宋体" w:eastAsia="宋体" w:hint="default"/>
                <w:sz w:val="21"/>
                <w:szCs w:val="21"/>
              </w:rPr>
            </w:pPr>
            <w:r>
              <w:rPr>
                <w:rFonts w:ascii="宋体" w:hAnsi="宋体" w:cs="宋体" w:eastAsia="宋体" w:hint="default"/>
                <w:sz w:val="21"/>
                <w:szCs w:val="21"/>
              </w:rPr>
              <w:t>入营业</w:t>
            </w:r>
            <w:r>
              <w:rPr>
                <w:rFonts w:ascii="宋体" w:hAnsi="宋体" w:cs="宋体" w:eastAsia="宋体" w:hint="default"/>
                <w:spacing w:val="-102"/>
                <w:sz w:val="21"/>
                <w:szCs w:val="21"/>
              </w:rPr>
              <w:t> </w:t>
            </w:r>
            <w:r>
              <w:rPr>
                <w:rFonts w:ascii="宋体" w:hAnsi="宋体" w:cs="宋体" w:eastAsia="宋体" w:hint="default"/>
                <w:sz w:val="21"/>
                <w:szCs w:val="21"/>
              </w:rPr>
              <w:t>外收入</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37" w:lineRule="auto" w:before="2"/>
              <w:ind w:left="107" w:right="103"/>
              <w:jc w:val="center"/>
              <w:rPr>
                <w:rFonts w:ascii="宋体" w:hAnsi="宋体" w:cs="宋体" w:eastAsia="宋体" w:hint="default"/>
                <w:sz w:val="21"/>
                <w:szCs w:val="21"/>
              </w:rPr>
            </w:pPr>
            <w:r>
              <w:rPr>
                <w:rFonts w:ascii="宋体" w:hAnsi="宋体" w:cs="宋体" w:eastAsia="宋体" w:hint="default"/>
                <w:sz w:val="21"/>
                <w:szCs w:val="21"/>
              </w:rPr>
              <w:t>入其他</w:t>
            </w:r>
            <w:r>
              <w:rPr>
                <w:rFonts w:ascii="宋体" w:hAnsi="宋体" w:cs="宋体" w:eastAsia="宋体" w:hint="default"/>
                <w:w w:val="100"/>
                <w:sz w:val="21"/>
                <w:szCs w:val="21"/>
              </w:rPr>
              <w:t> </w:t>
            </w:r>
            <w:r>
              <w:rPr>
                <w:rFonts w:ascii="宋体" w:hAnsi="宋体" w:cs="宋体" w:eastAsia="宋体" w:hint="default"/>
                <w:sz w:val="21"/>
                <w:szCs w:val="21"/>
              </w:rPr>
              <w:t>收益金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before="2"/>
              <w:ind w:left="206" w:right="206"/>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369" w:right="159" w:hanging="212"/>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3"/>
              <w:ind w:left="110" w:right="0"/>
              <w:jc w:val="left"/>
              <w:rPr>
                <w:rFonts w:ascii="宋体" w:hAnsi="宋体" w:cs="宋体" w:eastAsia="宋体" w:hint="default"/>
                <w:sz w:val="21"/>
                <w:szCs w:val="21"/>
              </w:rPr>
            </w:pPr>
            <w:r>
              <w:rPr>
                <w:rFonts w:ascii="宋体" w:hAnsi="宋体" w:cs="宋体" w:eastAsia="宋体" w:hint="default"/>
                <w:sz w:val="21"/>
                <w:szCs w:val="21"/>
              </w:rPr>
              <w:t>与资产相关</w:t>
            </w:r>
          </w:p>
          <w:p>
            <w:pPr>
              <w:pStyle w:val="TableParagraph"/>
              <w:spacing w:line="240" w:lineRule="auto"/>
              <w:ind w:left="530" w:right="163" w:hanging="36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与收益相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关</w:t>
            </w:r>
          </w:p>
        </w:tc>
      </w:tr>
      <w:tr>
        <w:trPr>
          <w:trHeight w:val="554"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网络空间安全智能防</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御与反制技术创新中心</w:t>
            </w:r>
          </w:p>
        </w:tc>
        <w:tc>
          <w:tcPr>
            <w:tcW w:w="96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益相关</w:t>
            </w:r>
          </w:p>
        </w:tc>
      </w:tr>
      <w:tr>
        <w:trPr>
          <w:trHeight w:val="283"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z w:val="21"/>
              </w:rPr>
              <w:t>26,032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7,117</w:t>
            </w:r>
          </w:p>
        </w:tc>
        <w:tc>
          <w:tcPr>
            <w:tcW w:w="91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4,306</w:t>
            </w:r>
          </w:p>
        </w:tc>
        <w:tc>
          <w:tcPr>
            <w:tcW w:w="636"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z w:val="21"/>
              </w:rPr>
              <w:t>28,843</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142,694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32,265</w:t>
            </w:r>
          </w:p>
        </w:tc>
        <w:tc>
          <w:tcPr>
            <w:tcW w:w="91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16,929</w:t>
            </w:r>
          </w:p>
        </w:tc>
        <w:tc>
          <w:tcPr>
            <w:tcW w:w="636"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158,030</w:t>
            </w:r>
          </w:p>
        </w:tc>
        <w:tc>
          <w:tcPr>
            <w:tcW w:w="12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BodyText"/>
        <w:spacing w:line="240" w:lineRule="auto" w:before="36"/>
        <w:ind w:left="237" w:right="127"/>
        <w:jc w:val="left"/>
      </w:pPr>
      <w:r>
        <w:rPr/>
        <w:t>其他说明：</w:t>
      </w:r>
    </w:p>
    <w:p>
      <w:pPr>
        <w:pStyle w:val="BodyText"/>
        <w:spacing w:line="240" w:lineRule="auto" w:before="58"/>
        <w:ind w:left="237" w:right="127"/>
        <w:jc w:val="left"/>
      </w:pPr>
      <w:r>
        <w:rPr/>
        <w:t>□适用 √不适用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217" w:top="1320" w:bottom="1400" w:left="1040" w:right="1560"/>
        </w:sectPr>
      </w:pPr>
    </w:p>
    <w:p>
      <w:pPr>
        <w:pStyle w:val="Heading5"/>
        <w:spacing w:line="240" w:lineRule="auto" w:before="167"/>
        <w:ind w:left="237" w:right="-19"/>
        <w:jc w:val="left"/>
        <w:rPr>
          <w:b w:val="0"/>
          <w:bCs w:val="0"/>
        </w:rPr>
      </w:pPr>
      <w:r>
        <w:rPr>
          <w:rFonts w:ascii="宋体" w:hAnsi="宋体" w:cs="宋体" w:eastAsia="宋体" w:hint="default"/>
        </w:rPr>
        <w:t>43</w:t>
      </w:r>
      <w:r>
        <w:rPr/>
        <w:t>、</w:t>
      </w:r>
      <w:r>
        <w:rPr>
          <w:spacing w:val="-23"/>
        </w:rPr>
        <w:t> </w:t>
      </w:r>
      <w:r>
        <w:rPr/>
        <w:t>其他非流动负债</w:t>
      </w:r>
      <w:r>
        <w:rPr>
          <w:b w:val="0"/>
          <w:bCs w:val="0"/>
        </w:rPr>
      </w:r>
    </w:p>
    <w:p>
      <w:pPr>
        <w:pStyle w:val="BodyText"/>
        <w:spacing w:line="240" w:lineRule="auto" w:before="56"/>
        <w:ind w:left="2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2220" w:space="4090"/>
            <w:col w:w="3000"/>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512"/>
        <w:gridCol w:w="2643"/>
        <w:gridCol w:w="2895"/>
      </w:tblGrid>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少数股东增资款（附注九、</w:t>
            </w:r>
            <w:r>
              <w:rPr>
                <w:rFonts w:ascii="宋体" w:hAnsi="宋体" w:cs="宋体" w:eastAsia="宋体" w:hint="default"/>
                <w:sz w:val="21"/>
                <w:szCs w:val="21"/>
              </w:rPr>
              <w:t>2</w:t>
            </w:r>
            <w:r>
              <w:rPr>
                <w:rFonts w:ascii="宋体" w:hAnsi="宋体" w:cs="宋体" w:eastAsia="宋体" w:hint="default"/>
                <w:sz w:val="21"/>
                <w:szCs w:val="21"/>
              </w:rPr>
              <w:t>）</w:t>
            </w:r>
          </w:p>
        </w:tc>
        <w:tc>
          <w:tcPr>
            <w:tcW w:w="2643"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207,149</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43"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207,149</w:t>
            </w:r>
          </w:p>
        </w:tc>
      </w:tr>
    </w:tbl>
    <w:p>
      <w:pPr>
        <w:spacing w:line="240" w:lineRule="auto" w:before="2"/>
        <w:rPr>
          <w:rFonts w:ascii="宋体" w:hAnsi="宋体" w:cs="宋体" w:eastAsia="宋体" w:hint="default"/>
          <w:sz w:val="20"/>
          <w:szCs w:val="20"/>
        </w:rPr>
      </w:pPr>
    </w:p>
    <w:p>
      <w:pPr>
        <w:pStyle w:val="BodyText"/>
        <w:spacing w:line="240" w:lineRule="auto" w:before="36"/>
        <w:ind w:left="237" w:right="127"/>
        <w:jc w:val="left"/>
      </w:pPr>
      <w:r>
        <w:rPr/>
        <w:t>其他说明：</w:t>
      </w:r>
    </w:p>
    <w:p>
      <w:pPr>
        <w:pStyle w:val="BodyText"/>
        <w:spacing w:line="240" w:lineRule="auto" w:before="56"/>
        <w:ind w:left="657" w:right="127"/>
        <w:jc w:val="left"/>
      </w:pPr>
      <w:r>
        <w:rPr/>
        <w:t>无。</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20" w:bottom="1400" w:left="1040" w:right="1560"/>
        </w:sectPr>
      </w:pPr>
    </w:p>
    <w:p>
      <w:pPr>
        <w:spacing w:line="240" w:lineRule="auto" w:before="9"/>
        <w:rPr>
          <w:rFonts w:ascii="宋体" w:hAnsi="宋体" w:cs="宋体" w:eastAsia="宋体" w:hint="default"/>
          <w:sz w:val="15"/>
          <w:szCs w:val="15"/>
        </w:rPr>
      </w:pPr>
    </w:p>
    <w:p>
      <w:pPr>
        <w:pStyle w:val="Heading5"/>
        <w:spacing w:line="240" w:lineRule="auto"/>
        <w:ind w:left="237" w:right="82"/>
        <w:jc w:val="left"/>
        <w:rPr>
          <w:b w:val="0"/>
          <w:bCs w:val="0"/>
        </w:rPr>
      </w:pPr>
      <w:r>
        <w:rPr>
          <w:rFonts w:ascii="宋体" w:hAnsi="宋体" w:cs="宋体" w:eastAsia="宋体" w:hint="default"/>
        </w:rPr>
        <w:t>44</w:t>
      </w:r>
      <w:r>
        <w:rPr/>
        <w:t>、</w:t>
      </w:r>
      <w:r>
        <w:rPr>
          <w:spacing w:val="-25"/>
        </w:rPr>
        <w:t> </w:t>
      </w:r>
      <w:r>
        <w:rPr/>
        <w:t>股本</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1815" w:space="4496"/>
            <w:col w:w="2999"/>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160"/>
        <w:gridCol w:w="1315"/>
        <w:gridCol w:w="1001"/>
        <w:gridCol w:w="1001"/>
        <w:gridCol w:w="1071"/>
        <w:gridCol w:w="1087"/>
        <w:gridCol w:w="1058"/>
        <w:gridCol w:w="1357"/>
      </w:tblGrid>
      <w:tr>
        <w:trPr>
          <w:trHeight w:val="283" w:hRule="exact"/>
        </w:trPr>
        <w:tc>
          <w:tcPr>
            <w:tcW w:w="1160" w:type="dxa"/>
            <w:vMerge w:val="restart"/>
            <w:tcBorders>
              <w:top w:val="single" w:sz="4" w:space="0" w:color="000000"/>
              <w:left w:val="single" w:sz="4" w:space="0" w:color="000000"/>
              <w:right w:val="single" w:sz="4" w:space="0" w:color="000000"/>
            </w:tcBorders>
          </w:tcPr>
          <w:p>
            <w:pPr/>
          </w:p>
        </w:tc>
        <w:tc>
          <w:tcPr>
            <w:tcW w:w="131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2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00"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35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160" w:type="dxa"/>
            <w:vMerge/>
            <w:tcBorders>
              <w:left w:val="single" w:sz="4" w:space="0" w:color="000000"/>
              <w:bottom w:val="single" w:sz="4" w:space="0" w:color="000000"/>
              <w:right w:val="single" w:sz="4" w:space="0" w:color="000000"/>
            </w:tcBorders>
          </w:tcPr>
          <w:p>
            <w:pPr/>
          </w:p>
        </w:tc>
        <w:tc>
          <w:tcPr>
            <w:tcW w:w="1315" w:type="dxa"/>
            <w:vMerge/>
            <w:tcBorders>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6"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286"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357" w:type="dxa"/>
            <w:vMerge/>
            <w:tcBorders>
              <w:left w:val="single" w:sz="4" w:space="0" w:color="000000"/>
              <w:bottom w:val="single" w:sz="4" w:space="0" w:color="000000"/>
              <w:right w:val="single" w:sz="4" w:space="0" w:color="000000"/>
            </w:tcBorders>
          </w:tcPr>
          <w:p>
            <w:pPr/>
          </w:p>
        </w:tc>
      </w:tr>
      <w:tr>
        <w:trPr>
          <w:trHeight w:val="283"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sz w:val="21"/>
              </w:rPr>
              <w:t>6,366,873</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sz w:val="21"/>
              </w:rPr>
              <w:t>397,182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397,182</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8" w:right="0"/>
              <w:jc w:val="left"/>
              <w:rPr>
                <w:rFonts w:ascii="宋体" w:hAnsi="宋体" w:cs="宋体" w:eastAsia="宋体" w:hint="default"/>
                <w:sz w:val="21"/>
                <w:szCs w:val="21"/>
              </w:rPr>
            </w:pPr>
            <w:r>
              <w:rPr>
                <w:rFonts w:ascii="宋体"/>
                <w:sz w:val="21"/>
              </w:rPr>
              <w:t>6,764,055</w:t>
            </w:r>
          </w:p>
        </w:tc>
      </w:tr>
    </w:tbl>
    <w:p>
      <w:pPr>
        <w:spacing w:line="240" w:lineRule="auto" w:before="12"/>
        <w:rPr>
          <w:rFonts w:ascii="宋体" w:hAnsi="宋体" w:cs="宋体" w:eastAsia="宋体" w:hint="default"/>
          <w:sz w:val="19"/>
          <w:szCs w:val="19"/>
        </w:rPr>
      </w:pPr>
    </w:p>
    <w:p>
      <w:pPr>
        <w:pStyle w:val="BodyText"/>
        <w:spacing w:line="240" w:lineRule="auto" w:before="36"/>
        <w:ind w:left="237" w:right="127"/>
        <w:jc w:val="left"/>
      </w:pPr>
      <w:r>
        <w:rPr/>
        <w:t>其他说明：</w:t>
      </w:r>
    </w:p>
    <w:p>
      <w:pPr>
        <w:pStyle w:val="BodyText"/>
        <w:spacing w:line="357" w:lineRule="auto" w:before="58"/>
        <w:ind w:left="237" w:right="231" w:firstLine="420"/>
        <w:jc w:val="both"/>
      </w:pPr>
      <w:r>
        <w:rPr/>
        <w:t>本公司</w:t>
      </w:r>
      <w:r>
        <w:rPr>
          <w:spacing w:val="-39"/>
        </w:rPr>
        <w:t> </w:t>
      </w:r>
      <w:r>
        <w:rPr>
          <w:rFonts w:ascii="宋体" w:hAnsi="宋体" w:cs="宋体" w:eastAsia="宋体" w:hint="default"/>
        </w:rPr>
        <w:t>2018</w:t>
      </w:r>
      <w:r>
        <w:rPr>
          <w:rFonts w:ascii="宋体" w:hAnsi="宋体" w:cs="宋体" w:eastAsia="宋体" w:hint="default"/>
          <w:spacing w:val="-39"/>
        </w:rPr>
        <w:t> </w:t>
      </w:r>
      <w:r>
        <w:rPr/>
        <w:t>年</w:t>
      </w:r>
      <w:r>
        <w:rPr>
          <w:spacing w:val="-41"/>
        </w:rPr>
        <w:t> </w:t>
      </w:r>
      <w:r>
        <w:rPr>
          <w:rFonts w:ascii="宋体" w:hAnsi="宋体" w:cs="宋体" w:eastAsia="宋体" w:hint="default"/>
        </w:rPr>
        <w:t>2</w:t>
      </w:r>
      <w:r>
        <w:rPr>
          <w:rFonts w:ascii="宋体" w:hAnsi="宋体" w:cs="宋体" w:eastAsia="宋体" w:hint="default"/>
          <w:spacing w:val="-39"/>
        </w:rPr>
        <w:t> </w:t>
      </w:r>
      <w:r>
        <w:rPr>
          <w:spacing w:val="-5"/>
        </w:rPr>
        <w:t>月完成了重大资产重组，由于本次重大资产重组构成反向购买，本集团合并</w:t>
      </w:r>
      <w:r>
        <w:rPr>
          <w:w w:val="100"/>
        </w:rPr>
        <w:t> </w:t>
      </w:r>
      <w:r>
        <w:rPr>
          <w:spacing w:val="-2"/>
        </w:rPr>
        <w:t>报表中的年初股本反映本次重组过程中购买三六零科技而发行股份的面值金额，本年新增股本反</w:t>
      </w:r>
      <w:r>
        <w:rPr>
          <w:spacing w:val="-25"/>
        </w:rPr>
        <w:t> </w:t>
      </w:r>
      <w:r>
        <w:rPr>
          <w:spacing w:val="-25"/>
        </w:rPr>
      </w:r>
      <w:r>
        <w:rPr/>
        <w:t>映本公司重大资产重组前的股本。</w:t>
      </w:r>
    </w:p>
    <w:p>
      <w:pPr>
        <w:spacing w:line="240" w:lineRule="auto" w:before="11"/>
        <w:rPr>
          <w:rFonts w:ascii="宋体" w:hAnsi="宋体" w:cs="宋体" w:eastAsia="宋体" w:hint="default"/>
          <w:sz w:val="27"/>
          <w:szCs w:val="27"/>
        </w:rPr>
      </w:pPr>
    </w:p>
    <w:p>
      <w:pPr>
        <w:pStyle w:val="Heading5"/>
        <w:spacing w:line="290" w:lineRule="auto"/>
        <w:ind w:left="237" w:right="2124"/>
        <w:jc w:val="left"/>
        <w:rPr>
          <w:b w:val="0"/>
          <w:bCs w:val="0"/>
        </w:rPr>
      </w:pPr>
      <w:r>
        <w:rPr>
          <w:rFonts w:ascii="宋体" w:hAnsi="宋体" w:cs="宋体" w:eastAsia="宋体" w:hint="default"/>
        </w:rPr>
        <w:t>45</w:t>
      </w:r>
      <w:r>
        <w:rPr/>
        <w:t>、</w:t>
      </w:r>
      <w:r>
        <w:rPr>
          <w:spacing w:val="-25"/>
        </w:rPr>
        <w:t> </w:t>
      </w:r>
      <w:r>
        <w:rPr/>
        <w:t>其他权益工具</w:t>
      </w:r>
      <w:r>
        <w:rPr>
          <w:spacing w:val="-104"/>
        </w:rPr>
        <w:t> </w:t>
      </w:r>
      <w:r>
        <w:rPr>
          <w:spacing w:val="-104"/>
        </w:rPr>
      </w:r>
      <w:r>
        <w:rPr>
          <w:rFonts w:ascii="宋体" w:hAnsi="宋体" w:cs="宋体" w:eastAsia="宋体" w:hint="default"/>
          <w:spacing w:val="-1"/>
        </w:rPr>
        <w:t>(1).</w:t>
      </w:r>
      <w:r>
        <w:rPr>
          <w:spacing w:val="-1"/>
        </w:rPr>
        <w:t>期末发行在外的优先股、永续债等其他金融工具基本情况</w:t>
      </w:r>
      <w:r>
        <w:rPr>
          <w:b w:val="0"/>
          <w:bCs w:val="0"/>
          <w:spacing w:val="-1"/>
        </w:rPr>
      </w:r>
    </w:p>
    <w:p>
      <w:pPr>
        <w:pStyle w:val="BodyText"/>
        <w:spacing w:line="240" w:lineRule="auto" w:before="14"/>
        <w:ind w:left="237" w:right="127"/>
        <w:jc w:val="left"/>
      </w:pPr>
      <w:r>
        <w:rPr/>
        <w:t>□适用 √不适用</w:t>
      </w:r>
    </w:p>
    <w:p>
      <w:pPr>
        <w:spacing w:line="240" w:lineRule="auto" w:before="2"/>
        <w:rPr>
          <w:rFonts w:ascii="宋体" w:hAnsi="宋体" w:cs="宋体" w:eastAsia="宋体" w:hint="default"/>
          <w:sz w:val="28"/>
          <w:szCs w:val="28"/>
        </w:rPr>
      </w:pPr>
    </w:p>
    <w:p>
      <w:pPr>
        <w:pStyle w:val="Heading5"/>
        <w:spacing w:line="240" w:lineRule="auto"/>
        <w:ind w:left="237" w:right="127"/>
        <w:jc w:val="left"/>
        <w:rPr>
          <w:b w:val="0"/>
          <w:bCs w:val="0"/>
        </w:rPr>
      </w:pPr>
      <w:r>
        <w:rPr>
          <w:rFonts w:ascii="宋体" w:hAnsi="宋体" w:cs="宋体" w:eastAsia="宋体" w:hint="default"/>
        </w:rPr>
        <w:t>(2).</w:t>
      </w:r>
      <w:r>
        <w:rPr/>
        <w:t>期末发行在外的优先股、永续债等金融工具变动情况表</w:t>
      </w:r>
      <w:r>
        <w:rPr>
          <w:b w:val="0"/>
          <w:bCs w:val="0"/>
        </w:rPr>
      </w:r>
    </w:p>
    <w:p>
      <w:pPr>
        <w:pStyle w:val="BodyText"/>
        <w:spacing w:line="272" w:lineRule="exact" w:before="86"/>
        <w:ind w:left="237" w:right="1128"/>
        <w:jc w:val="left"/>
      </w:pPr>
      <w:r>
        <w:rPr/>
        <w:t>□适用</w:t>
      </w:r>
      <w:r>
        <w:rPr>
          <w:spacing w:val="-2"/>
        </w:rPr>
        <w:t> </w:t>
      </w:r>
      <w:r>
        <w:rPr/>
        <w:t>√不适用</w:t>
      </w:r>
      <w:r>
        <w:rPr>
          <w:spacing w:val="-103"/>
        </w:rPr>
        <w:t> </w:t>
      </w:r>
      <w:r>
        <w:rPr>
          <w:spacing w:val="-103"/>
        </w:rPr>
      </w:r>
      <w:r>
        <w:rPr>
          <w:spacing w:val="-2"/>
        </w:rPr>
        <w:t>其他权益工具本期增减变动情况、变动原因说明，以及相关会计处理的依据：</w:t>
      </w:r>
    </w:p>
    <w:p>
      <w:pPr>
        <w:pStyle w:val="BodyText"/>
        <w:spacing w:line="249" w:lineRule="exact"/>
        <w:ind w:left="237" w:right="127"/>
        <w:jc w:val="left"/>
      </w:pPr>
      <w:r>
        <w:rPr/>
        <w:t>□适用 √不适用</w:t>
      </w:r>
    </w:p>
    <w:p>
      <w:pPr>
        <w:spacing w:after="0" w:line="249" w:lineRule="exact"/>
        <w:jc w:val="left"/>
        <w:sectPr>
          <w:type w:val="continuous"/>
          <w:pgSz w:w="11910" w:h="16840"/>
          <w:pgMar w:top="1320" w:bottom="1400" w:left="1040" w:right="1560"/>
        </w:sectPr>
      </w:pPr>
    </w:p>
    <w:p>
      <w:pPr>
        <w:pStyle w:val="BodyText"/>
        <w:spacing w:line="273" w:lineRule="exact" w:before="72"/>
        <w:ind w:left="237" w:right="127"/>
        <w:jc w:val="left"/>
        <w:rPr>
          <w:rFonts w:ascii="宋体" w:hAnsi="宋体" w:cs="宋体" w:eastAsia="宋体" w:hint="default"/>
        </w:rPr>
      </w:pPr>
      <w:r>
        <w:rPr/>
        <w:t>其他说明</w:t>
      </w:r>
      <w:r>
        <w:rPr>
          <w:rFonts w:ascii="宋体" w:hAnsi="宋体" w:cs="宋体" w:eastAsia="宋体" w:hint="default"/>
        </w:rPr>
        <w:t>:</w:t>
      </w:r>
    </w:p>
    <w:p>
      <w:pPr>
        <w:pStyle w:val="BodyText"/>
        <w:spacing w:line="273" w:lineRule="exact"/>
        <w:ind w:left="237" w:right="127"/>
        <w:jc w:val="left"/>
      </w:pPr>
      <w:r>
        <w:rPr/>
        <w:t>□适用 √不适用</w:t>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217" w:top="1320" w:bottom="1400" w:left="1040" w:right="1560"/>
        </w:sectPr>
      </w:pPr>
    </w:p>
    <w:p>
      <w:pPr>
        <w:pStyle w:val="Heading5"/>
        <w:spacing w:line="240" w:lineRule="auto" w:before="36"/>
        <w:ind w:left="237" w:right="82"/>
        <w:jc w:val="left"/>
        <w:rPr>
          <w:b w:val="0"/>
          <w:bCs w:val="0"/>
        </w:rPr>
      </w:pPr>
      <w:r>
        <w:rPr>
          <w:rFonts w:ascii="宋体" w:hAnsi="宋体" w:cs="宋体" w:eastAsia="宋体" w:hint="default"/>
        </w:rPr>
        <w:t>46</w:t>
      </w:r>
      <w:r>
        <w:rPr/>
        <w:t>、</w:t>
      </w:r>
      <w:r>
        <w:rPr>
          <w:spacing w:val="-24"/>
        </w:rPr>
        <w:t> </w:t>
      </w:r>
      <w:r>
        <w:rPr/>
        <w:t>资本公积</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1815" w:space="4496"/>
            <w:col w:w="299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800"/>
        <w:gridCol w:w="1416"/>
        <w:gridCol w:w="1421"/>
        <w:gridCol w:w="1131"/>
        <w:gridCol w:w="1294"/>
      </w:tblGrid>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pacing w:val="-1"/>
                <w:sz w:val="21"/>
                <w:szCs w:val="21"/>
              </w:rPr>
              <w:t>本期减少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2,527,278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1,345,869</w:t>
            </w:r>
          </w:p>
        </w:tc>
        <w:tc>
          <w:tcPr>
            <w:tcW w:w="113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sz w:val="21"/>
              </w:rPr>
              <w:t>3,873,147</w:t>
            </w: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2,851,590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325,140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sz w:val="21"/>
              </w:rPr>
              <w:t>17,603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0" w:right="0"/>
              <w:jc w:val="center"/>
              <w:rPr>
                <w:rFonts w:ascii="宋体" w:hAnsi="宋体" w:cs="宋体" w:eastAsia="宋体" w:hint="default"/>
                <w:sz w:val="21"/>
                <w:szCs w:val="21"/>
              </w:rPr>
            </w:pPr>
            <w:r>
              <w:rPr>
                <w:rFonts w:ascii="宋体"/>
                <w:sz w:val="21"/>
              </w:rPr>
              <w:t>3,159,127</w:t>
            </w: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5,378,868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1,671,009</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17,603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sz w:val="21"/>
              </w:rPr>
              <w:t>7,032,274</w:t>
            </w:r>
          </w:p>
        </w:tc>
      </w:tr>
    </w:tbl>
    <w:p>
      <w:pPr>
        <w:spacing w:line="240" w:lineRule="auto" w:before="4"/>
        <w:rPr>
          <w:rFonts w:ascii="宋体" w:hAnsi="宋体" w:cs="宋体" w:eastAsia="宋体" w:hint="default"/>
          <w:sz w:val="18"/>
          <w:szCs w:val="18"/>
        </w:rPr>
      </w:pPr>
    </w:p>
    <w:p>
      <w:pPr>
        <w:pStyle w:val="BodyText"/>
        <w:spacing w:line="274" w:lineRule="exact" w:before="36"/>
        <w:ind w:left="237" w:right="127"/>
        <w:jc w:val="left"/>
      </w:pPr>
      <w:r>
        <w:rPr/>
        <w:t>其他说明，包括本期增减变动情况、变动原因说明：</w:t>
      </w:r>
    </w:p>
    <w:p>
      <w:pPr>
        <w:pStyle w:val="BodyText"/>
        <w:spacing w:line="274" w:lineRule="exact"/>
        <w:ind w:left="657" w:right="127"/>
        <w:jc w:val="left"/>
      </w:pPr>
      <w:r>
        <w:rPr/>
        <w:t>注</w:t>
      </w:r>
      <w:r>
        <w:rPr>
          <w:spacing w:val="-56"/>
        </w:rPr>
        <w:t> </w:t>
      </w:r>
      <w:r>
        <w:rPr>
          <w:rFonts w:ascii="宋体" w:hAnsi="宋体" w:cs="宋体" w:eastAsia="宋体" w:hint="default"/>
          <w:spacing w:val="-5"/>
        </w:rPr>
        <w:t>1</w:t>
      </w:r>
      <w:r>
        <w:rPr>
          <w:spacing w:val="-5"/>
        </w:rPr>
        <w:t>：本公司于</w:t>
      </w:r>
      <w:r>
        <w:rPr>
          <w:spacing w:val="-56"/>
        </w:rPr>
        <w:t> </w:t>
      </w:r>
      <w:r>
        <w:rPr>
          <w:rFonts w:ascii="宋体" w:hAnsi="宋体" w:cs="宋体" w:eastAsia="宋体" w:hint="default"/>
        </w:rPr>
        <w:t>2018</w:t>
      </w:r>
      <w:r>
        <w:rPr>
          <w:rFonts w:ascii="宋体" w:hAnsi="宋体" w:cs="宋体" w:eastAsia="宋体" w:hint="default"/>
          <w:spacing w:val="-56"/>
        </w:rPr>
        <w:t> </w:t>
      </w:r>
      <w:r>
        <w:rPr/>
        <w:t>年</w:t>
      </w:r>
      <w:r>
        <w:rPr>
          <w:spacing w:val="-57"/>
        </w:rPr>
        <w:t> </w:t>
      </w:r>
      <w:r>
        <w:rPr>
          <w:rFonts w:ascii="宋体" w:hAnsi="宋体" w:cs="宋体" w:eastAsia="宋体" w:hint="default"/>
        </w:rPr>
        <w:t>2</w:t>
      </w:r>
      <w:r>
        <w:rPr>
          <w:rFonts w:ascii="宋体" w:hAnsi="宋体" w:cs="宋体" w:eastAsia="宋体" w:hint="default"/>
          <w:spacing w:val="-58"/>
        </w:rPr>
        <w:t> </w:t>
      </w:r>
      <w:r>
        <w:rPr/>
        <w:t>月通过重大资产出售、置换及发行股份购买资产导致资本公积增加</w:t>
      </w:r>
    </w:p>
    <w:p>
      <w:pPr>
        <w:pStyle w:val="BodyText"/>
        <w:spacing w:line="240" w:lineRule="auto" w:before="133"/>
        <w:ind w:left="237" w:right="127"/>
        <w:jc w:val="left"/>
      </w:pPr>
      <w:r>
        <w:rPr/>
        <w:t>人民币</w:t>
      </w:r>
      <w:r>
        <w:rPr>
          <w:spacing w:val="-56"/>
        </w:rPr>
        <w:t> </w:t>
      </w:r>
      <w:r>
        <w:rPr>
          <w:rFonts w:ascii="宋体" w:hAnsi="宋体" w:cs="宋体" w:eastAsia="宋体" w:hint="default"/>
        </w:rPr>
        <w:t>1,292,818</w:t>
      </w:r>
      <w:r>
        <w:rPr>
          <w:rFonts w:ascii="宋体" w:hAnsi="宋体" w:cs="宋体" w:eastAsia="宋体" w:hint="default"/>
          <w:spacing w:val="-56"/>
        </w:rPr>
        <w:t> </w:t>
      </w:r>
      <w:r>
        <w:rPr/>
        <w:t>千元。详情参加附注</w:t>
      </w:r>
      <w:r>
        <w:rPr>
          <w:rFonts w:ascii="宋体" w:hAnsi="宋体" w:cs="宋体" w:eastAsia="宋体" w:hint="default"/>
        </w:rPr>
        <w:t>(</w:t>
      </w:r>
      <w:r>
        <w:rPr/>
        <w:t>八</w:t>
      </w:r>
      <w:r>
        <w:rPr>
          <w:rFonts w:ascii="宋体" w:hAnsi="宋体" w:cs="宋体" w:eastAsia="宋体" w:hint="default"/>
        </w:rPr>
        <w:t>)</w:t>
      </w:r>
      <w:r>
        <w:rPr/>
        <w:t>、</w:t>
      </w:r>
      <w:r>
        <w:rPr>
          <w:rFonts w:ascii="宋体" w:hAnsi="宋体" w:cs="宋体" w:eastAsia="宋体" w:hint="default"/>
        </w:rPr>
        <w:t>3</w:t>
      </w:r>
      <w:r>
        <w:rPr/>
        <w:t>，其余为与子公司少数股东权益交易而导致。</w:t>
      </w:r>
    </w:p>
    <w:p>
      <w:pPr>
        <w:pStyle w:val="BodyText"/>
        <w:spacing w:line="357" w:lineRule="auto" w:before="133"/>
        <w:ind w:left="237" w:right="127" w:firstLine="420"/>
        <w:jc w:val="left"/>
      </w:pPr>
      <w:r>
        <w:rPr/>
        <w:t>注</w:t>
      </w:r>
      <w:r>
        <w:rPr>
          <w:spacing w:val="-1"/>
        </w:rPr>
        <w:t> </w:t>
      </w:r>
      <w:r>
        <w:rPr>
          <w:rFonts w:ascii="宋体" w:hAnsi="宋体" w:cs="宋体" w:eastAsia="宋体" w:hint="default"/>
          <w:spacing w:val="-2"/>
        </w:rPr>
        <w:t>2</w:t>
      </w:r>
      <w:r>
        <w:rPr>
          <w:spacing w:val="-2"/>
        </w:rPr>
        <w:t>：其他资本公积本年增加主要系联营企业奇安信科技其他所有者权益变动导致资本公积</w:t>
      </w:r>
      <w:r>
        <w:rPr>
          <w:w w:val="100"/>
        </w:rPr>
        <w:t> </w:t>
      </w:r>
      <w:r>
        <w:rPr/>
        <w:t>增加人民币</w:t>
      </w:r>
      <w:r>
        <w:rPr>
          <w:spacing w:val="-53"/>
        </w:rPr>
        <w:t> </w:t>
      </w:r>
      <w:r>
        <w:rPr>
          <w:rFonts w:ascii="宋体" w:hAnsi="宋体" w:cs="宋体" w:eastAsia="宋体" w:hint="default"/>
        </w:rPr>
        <w:t>307,217</w:t>
      </w:r>
      <w:r>
        <w:rPr>
          <w:rFonts w:ascii="宋体" w:hAnsi="宋体" w:cs="宋体" w:eastAsia="宋体" w:hint="default"/>
          <w:spacing w:val="-55"/>
        </w:rPr>
        <w:t> </w:t>
      </w:r>
      <w:r>
        <w:rPr/>
        <w:t>千元。</w:t>
      </w:r>
    </w:p>
    <w:p>
      <w:pPr>
        <w:spacing w:line="240" w:lineRule="auto" w:before="8"/>
        <w:rPr>
          <w:rFonts w:ascii="宋体" w:hAnsi="宋体" w:cs="宋体" w:eastAsia="宋体" w:hint="default"/>
          <w:sz w:val="27"/>
          <w:szCs w:val="27"/>
        </w:rPr>
      </w:pPr>
    </w:p>
    <w:p>
      <w:pPr>
        <w:pStyle w:val="Heading5"/>
        <w:spacing w:line="240" w:lineRule="auto"/>
        <w:ind w:left="237" w:right="127"/>
        <w:jc w:val="left"/>
        <w:rPr>
          <w:b w:val="0"/>
          <w:bCs w:val="0"/>
        </w:rPr>
      </w:pPr>
      <w:r>
        <w:rPr>
          <w:rFonts w:ascii="宋体" w:hAnsi="宋体" w:cs="宋体" w:eastAsia="宋体" w:hint="default"/>
        </w:rPr>
        <w:t>47</w:t>
      </w:r>
      <w:r>
        <w:rPr/>
        <w:t>、</w:t>
      </w:r>
      <w:r>
        <w:rPr>
          <w:spacing w:val="-24"/>
        </w:rPr>
        <w:t> </w:t>
      </w:r>
      <w:r>
        <w:rPr/>
        <w:t>库存股</w:t>
      </w:r>
      <w:r>
        <w:rPr>
          <w:b w:val="0"/>
          <w:bCs w:val="0"/>
        </w:rPr>
      </w:r>
    </w:p>
    <w:p>
      <w:pPr>
        <w:pStyle w:val="BodyText"/>
        <w:spacing w:line="240" w:lineRule="auto" w:before="58"/>
        <w:ind w:left="237" w:right="127"/>
        <w:jc w:val="left"/>
      </w:pPr>
      <w:r>
        <w:rPr/>
        <w:t>□适用 √不适用</w:t>
      </w:r>
    </w:p>
    <w:p>
      <w:pPr>
        <w:spacing w:after="0" w:line="240" w:lineRule="auto"/>
        <w:jc w:val="left"/>
        <w:sectPr>
          <w:type w:val="continuous"/>
          <w:pgSz w:w="11910" w:h="16840"/>
          <w:pgMar w:top="1320" w:bottom="1400" w:left="1040" w:right="1560"/>
        </w:sectPr>
      </w:pPr>
    </w:p>
    <w:p>
      <w:pPr>
        <w:spacing w:line="240" w:lineRule="auto" w:before="11"/>
        <w:rPr>
          <w:rFonts w:ascii="宋体" w:hAnsi="宋体" w:cs="宋体" w:eastAsia="宋体" w:hint="default"/>
          <w:sz w:val="15"/>
          <w:szCs w:val="15"/>
        </w:rPr>
      </w:pPr>
    </w:p>
    <w:p>
      <w:pPr>
        <w:spacing w:before="44"/>
        <w:ind w:left="3644" w:right="0" w:firstLine="0"/>
        <w:jc w:val="left"/>
        <w:rPr>
          <w:rFonts w:ascii="宋体" w:hAnsi="宋体" w:cs="宋体" w:eastAsia="宋体" w:hint="default"/>
          <w:sz w:val="18"/>
          <w:szCs w:val="18"/>
        </w:rPr>
      </w:pPr>
      <w:r>
        <w:rPr/>
        <w:pict>
          <v:shape style="position:absolute;margin-left:76.25pt;margin-top:-6.848299pt;width:69.361pt;height:19.52pt;mso-position-horizontal-relative:page;mso-position-vertical-relative:paragraph;z-index:1456" type="#_x0000_t75" stroked="false">
            <v:imagedata r:id="rId21" o:title=""/>
          </v:shape>
        </w:pic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3"/>
          <w:szCs w:val="3"/>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77"/>
          <w:footerReference w:type="default" r:id="rId78"/>
          <w:pgSz w:w="16840" w:h="11910" w:orient="landscape"/>
          <w:pgMar w:header="0" w:footer="0" w:top="780" w:bottom="280" w:left="1380" w:right="1320"/>
        </w:sectPr>
      </w:pPr>
    </w:p>
    <w:p>
      <w:pPr>
        <w:pStyle w:val="Heading5"/>
        <w:spacing w:line="240" w:lineRule="auto" w:before="36"/>
        <w:ind w:left="144" w:right="-19"/>
        <w:jc w:val="left"/>
        <w:rPr>
          <w:b w:val="0"/>
          <w:bCs w:val="0"/>
        </w:rPr>
      </w:pPr>
      <w:r>
        <w:rPr>
          <w:rFonts w:ascii="宋体" w:hAnsi="宋体" w:cs="宋体" w:eastAsia="宋体" w:hint="default"/>
        </w:rPr>
        <w:t>48</w:t>
      </w:r>
      <w:r>
        <w:rPr/>
        <w:t>、</w:t>
      </w:r>
      <w:r>
        <w:rPr>
          <w:spacing w:val="-23"/>
        </w:rPr>
        <w:t> </w:t>
      </w:r>
      <w:r>
        <w:rPr/>
        <w:t>其他综合收益</w:t>
      </w:r>
      <w:r>
        <w:rPr>
          <w:b w:val="0"/>
          <w:bCs w:val="0"/>
        </w:rPr>
      </w:r>
    </w:p>
    <w:p>
      <w:pPr>
        <w:pStyle w:val="BodyText"/>
        <w:spacing w:line="240" w:lineRule="auto" w:before="58"/>
        <w:ind w:left="144"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06" w:val="left" w:leader="none"/>
        </w:tabs>
        <w:spacing w:line="240" w:lineRule="auto"/>
        <w:ind w:left="144" w:right="0"/>
        <w:jc w:val="left"/>
      </w:pPr>
      <w:r>
        <w:rPr>
          <w:spacing w:val="-1"/>
        </w:rPr>
        <w:t>单位：千元</w:t>
        <w:tab/>
      </w:r>
      <w:r>
        <w:rPr>
          <w:spacing w:val="-2"/>
        </w:rPr>
        <w:t>币种：人民币</w:t>
      </w:r>
    </w:p>
    <w:p>
      <w:pPr>
        <w:spacing w:after="0" w:line="240" w:lineRule="auto"/>
        <w:jc w:val="left"/>
        <w:sectPr>
          <w:type w:val="continuous"/>
          <w:pgSz w:w="16840" w:h="11910" w:orient="landscape"/>
          <w:pgMar w:top="1320" w:bottom="1400" w:left="1380" w:right="1320"/>
          <w:cols w:num="2" w:equalWidth="0">
            <w:col w:w="1916" w:space="9435"/>
            <w:col w:w="2789"/>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831"/>
        <w:gridCol w:w="1162"/>
        <w:gridCol w:w="2124"/>
        <w:gridCol w:w="1702"/>
        <w:gridCol w:w="1277"/>
        <w:gridCol w:w="1274"/>
        <w:gridCol w:w="1034"/>
        <w:gridCol w:w="1416"/>
      </w:tblGrid>
      <w:tr>
        <w:trPr>
          <w:trHeight w:val="281" w:hRule="exact"/>
        </w:trPr>
        <w:tc>
          <w:tcPr>
            <w:tcW w:w="38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367" w:right="360"/>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4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494" w:right="489"/>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828" w:hRule="exact"/>
        </w:trPr>
        <w:tc>
          <w:tcPr>
            <w:tcW w:w="3831"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8"/>
              <w:jc w:val="right"/>
              <w:rPr>
                <w:rFonts w:ascii="宋体" w:hAnsi="宋体" w:cs="宋体" w:eastAsia="宋体" w:hint="default"/>
                <w:sz w:val="21"/>
                <w:szCs w:val="21"/>
              </w:rPr>
            </w:pPr>
            <w:r>
              <w:rPr>
                <w:rFonts w:ascii="宋体" w:hAnsi="宋体" w:cs="宋体" w:eastAsia="宋体" w:hint="default"/>
                <w:spacing w:val="-1"/>
                <w:sz w:val="21"/>
                <w:szCs w:val="21"/>
              </w:rPr>
              <w:t>本期所得税前发生额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减：前期计入其</w:t>
            </w:r>
          </w:p>
          <w:p>
            <w:pPr>
              <w:pStyle w:val="TableParagraph"/>
              <w:spacing w:line="240" w:lineRule="auto"/>
              <w:ind w:left="427" w:right="105" w:hanging="317"/>
              <w:jc w:val="left"/>
              <w:rPr>
                <w:rFonts w:ascii="宋体" w:hAnsi="宋体" w:cs="宋体" w:eastAsia="宋体" w:hint="default"/>
                <w:sz w:val="21"/>
                <w:szCs w:val="21"/>
              </w:rPr>
            </w:pPr>
            <w:r>
              <w:rPr>
                <w:rFonts w:ascii="宋体" w:hAnsi="宋体" w:cs="宋体" w:eastAsia="宋体" w:hint="default"/>
                <w:sz w:val="21"/>
                <w:szCs w:val="21"/>
              </w:rPr>
              <w:t>他综合收益当期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转入损益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104" w:hanging="315"/>
              <w:jc w:val="left"/>
              <w:rPr>
                <w:rFonts w:ascii="宋体" w:hAnsi="宋体" w:cs="宋体" w:eastAsia="宋体" w:hint="default"/>
                <w:sz w:val="21"/>
                <w:szCs w:val="21"/>
              </w:rPr>
            </w:pPr>
            <w:r>
              <w:rPr>
                <w:rFonts w:ascii="宋体" w:hAnsi="宋体" w:cs="宋体" w:eastAsia="宋体" w:hint="default"/>
                <w:sz w:val="21"/>
                <w:szCs w:val="21"/>
              </w:rPr>
              <w:t>减：所得税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费用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6" w:right="103" w:hanging="212"/>
              <w:jc w:val="left"/>
              <w:rPr>
                <w:rFonts w:ascii="宋体" w:hAnsi="宋体" w:cs="宋体" w:eastAsia="宋体" w:hint="default"/>
                <w:sz w:val="21"/>
                <w:szCs w:val="21"/>
              </w:rPr>
            </w:pPr>
            <w:r>
              <w:rPr>
                <w:rFonts w:ascii="宋体" w:hAnsi="宋体" w:cs="宋体" w:eastAsia="宋体" w:hint="default"/>
                <w:sz w:val="21"/>
                <w:szCs w:val="21"/>
              </w:rPr>
              <w:t>税后归属于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母公司</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税后归</w:t>
            </w:r>
          </w:p>
          <w:p>
            <w:pPr>
              <w:pStyle w:val="TableParagraph"/>
              <w:spacing w:line="240" w:lineRule="auto"/>
              <w:ind w:left="196" w:right="192"/>
              <w:jc w:val="left"/>
              <w:rPr>
                <w:rFonts w:ascii="宋体" w:hAnsi="宋体" w:cs="宋体" w:eastAsia="宋体" w:hint="default"/>
                <w:sz w:val="21"/>
                <w:szCs w:val="21"/>
              </w:rPr>
            </w:pPr>
            <w:r>
              <w:rPr>
                <w:rFonts w:ascii="宋体" w:hAnsi="宋体" w:cs="宋体" w:eastAsia="宋体" w:hint="default"/>
                <w:sz w:val="21"/>
                <w:szCs w:val="21"/>
              </w:rPr>
              <w:t>属于少</w:t>
            </w:r>
            <w:r>
              <w:rPr>
                <w:rFonts w:ascii="宋体" w:hAnsi="宋体" w:cs="宋体" w:eastAsia="宋体" w:hint="default"/>
                <w:spacing w:val="-102"/>
                <w:sz w:val="21"/>
                <w:szCs w:val="21"/>
              </w:rPr>
              <w:t> </w:t>
            </w:r>
            <w:r>
              <w:rPr>
                <w:rFonts w:ascii="宋体" w:hAnsi="宋体" w:cs="宋体" w:eastAsia="宋体" w:hint="default"/>
                <w:sz w:val="21"/>
                <w:szCs w:val="21"/>
              </w:rPr>
              <w:t>数股东</w:t>
            </w:r>
          </w:p>
        </w:tc>
        <w:tc>
          <w:tcPr>
            <w:tcW w:w="1416" w:type="dxa"/>
            <w:vMerge/>
            <w:tcBorders>
              <w:left w:val="single" w:sz="4" w:space="0" w:color="000000"/>
              <w:bottom w:val="single" w:sz="4" w:space="0" w:color="000000"/>
              <w:right w:val="single" w:sz="4" w:space="0" w:color="000000"/>
            </w:tcBorders>
          </w:tcPr>
          <w:p>
            <w:pPr/>
          </w:p>
        </w:tc>
      </w:tr>
      <w:tr>
        <w:trPr>
          <w:trHeight w:val="284"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一、不能重分类进损益的其他综合收益</w:t>
            </w:r>
          </w:p>
        </w:tc>
        <w:tc>
          <w:tcPr>
            <w:tcW w:w="116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其中：重新计量设定受益计划变动额</w:t>
            </w:r>
          </w:p>
        </w:tc>
        <w:tc>
          <w:tcPr>
            <w:tcW w:w="116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9"/>
              <w:jc w:val="right"/>
              <w:rPr>
                <w:rFonts w:ascii="宋体" w:hAnsi="宋体" w:cs="宋体" w:eastAsia="宋体" w:hint="default"/>
                <w:sz w:val="21"/>
                <w:szCs w:val="21"/>
              </w:rPr>
            </w:pPr>
            <w:r>
              <w:rPr>
                <w:rFonts w:ascii="宋体" w:hAnsi="宋体" w:cs="宋体" w:eastAsia="宋体" w:hint="default"/>
                <w:spacing w:val="-2"/>
                <w:sz w:val="21"/>
                <w:szCs w:val="21"/>
              </w:rPr>
              <w:t>权益法下不能转损益的其他综合收益</w:t>
            </w:r>
          </w:p>
        </w:tc>
        <w:tc>
          <w:tcPr>
            <w:tcW w:w="116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(254,790)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2,377,805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2,367,114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10,691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2,112,324</w:t>
            </w:r>
          </w:p>
        </w:tc>
      </w:tr>
      <w:tr>
        <w:trPr>
          <w:trHeight w:val="554"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其中：权益法下可转损益的其他综合收</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9,170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(2,164)</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(2,164)</w:t>
            </w:r>
          </w:p>
        </w:tc>
        <w:tc>
          <w:tcPr>
            <w:tcW w:w="10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7,006</w:t>
            </w:r>
          </w:p>
        </w:tc>
      </w:tr>
      <w:tr>
        <w:trPr>
          <w:trHeight w:val="281"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
              <w:jc w:val="right"/>
              <w:rPr>
                <w:rFonts w:ascii="宋体" w:hAnsi="宋体" w:cs="宋体" w:eastAsia="宋体" w:hint="default"/>
                <w:sz w:val="21"/>
                <w:szCs w:val="21"/>
              </w:rPr>
            </w:pPr>
            <w:r>
              <w:rPr>
                <w:rFonts w:ascii="宋体" w:hAnsi="宋体" w:cs="宋体" w:eastAsia="宋体" w:hint="default"/>
                <w:spacing w:val="-2"/>
                <w:sz w:val="21"/>
                <w:szCs w:val="21"/>
              </w:rPr>
              <w:t>可供出售金融资产公允价值变动损益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(6,714)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2,226,038</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2,224,625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1,413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2,217,911</w:t>
            </w:r>
          </w:p>
        </w:tc>
      </w:tr>
      <w:tr>
        <w:trPr>
          <w:trHeight w:val="557"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7" w:right="0"/>
              <w:jc w:val="left"/>
              <w:rPr>
                <w:rFonts w:ascii="宋体" w:hAnsi="宋体" w:cs="宋体" w:eastAsia="宋体" w:hint="default"/>
                <w:sz w:val="21"/>
                <w:szCs w:val="21"/>
              </w:rPr>
            </w:pPr>
            <w:r>
              <w:rPr>
                <w:rFonts w:ascii="宋体" w:hAnsi="宋体" w:cs="宋体" w:eastAsia="宋体" w:hint="default"/>
                <w:sz w:val="21"/>
                <w:szCs w:val="21"/>
              </w:rPr>
              <w:t>持有至到期投资重分类为可供出售金</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融资产损益</w:t>
            </w:r>
          </w:p>
        </w:tc>
        <w:tc>
          <w:tcPr>
            <w:tcW w:w="116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7" w:right="0"/>
              <w:jc w:val="left"/>
              <w:rPr>
                <w:rFonts w:ascii="宋体" w:hAnsi="宋体" w:cs="宋体" w:eastAsia="宋体" w:hint="default"/>
                <w:sz w:val="21"/>
                <w:szCs w:val="21"/>
              </w:rPr>
            </w:pPr>
            <w:r>
              <w:rPr>
                <w:rFonts w:ascii="宋体" w:hAnsi="宋体" w:cs="宋体" w:eastAsia="宋体" w:hint="default"/>
                <w:sz w:val="21"/>
                <w:szCs w:val="21"/>
              </w:rPr>
              <w:t>现金流量套期损益的有效部分</w:t>
            </w:r>
          </w:p>
        </w:tc>
        <w:tc>
          <w:tcPr>
            <w:tcW w:w="116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7" w:right="0"/>
              <w:jc w:val="left"/>
              <w:rPr>
                <w:rFonts w:ascii="宋体" w:hAnsi="宋体" w:cs="宋体" w:eastAsia="宋体" w:hint="default"/>
                <w:sz w:val="21"/>
                <w:szCs w:val="21"/>
              </w:rPr>
            </w:pPr>
            <w:r>
              <w:rPr>
                <w:rFonts w:ascii="宋体" w:hAnsi="宋体" w:cs="宋体" w:eastAsia="宋体" w:hint="default"/>
                <w:sz w:val="21"/>
                <w:szCs w:val="21"/>
              </w:rPr>
              <w:t>外币财务报表折算差额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(257,246)</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153,931</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144,653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9,278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(112,593)</w:t>
            </w:r>
          </w:p>
        </w:tc>
      </w:tr>
      <w:tr>
        <w:trPr>
          <w:trHeight w:val="283"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其他综合收益合计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(254,790)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2,377,805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2,367,114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10,691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2,112,324</w:t>
            </w:r>
          </w:p>
        </w:tc>
      </w:tr>
    </w:tbl>
    <w:p>
      <w:pPr>
        <w:spacing w:line="240" w:lineRule="auto" w:before="11"/>
        <w:rPr>
          <w:rFonts w:ascii="宋体" w:hAnsi="宋体" w:cs="宋体" w:eastAsia="宋体" w:hint="default"/>
          <w:sz w:val="22"/>
          <w:szCs w:val="22"/>
        </w:rPr>
      </w:pPr>
    </w:p>
    <w:p>
      <w:pPr>
        <w:pStyle w:val="BodyText"/>
        <w:spacing w:line="240" w:lineRule="auto" w:before="36"/>
        <w:ind w:left="144" w:right="0"/>
        <w:jc w:val="left"/>
      </w:pPr>
      <w:r>
        <w:rPr/>
        <w:t>其他说明，包括对现金流量套期损益的有效部分转为被套期项目初始确认金额调整：</w:t>
      </w:r>
    </w:p>
    <w:p>
      <w:pPr>
        <w:pStyle w:val="BodyText"/>
        <w:spacing w:line="357" w:lineRule="auto" w:before="58"/>
        <w:ind w:left="144" w:right="113" w:firstLine="420"/>
        <w:jc w:val="both"/>
      </w:pPr>
      <w:r>
        <w:rPr/>
        <w:t>本集团参股公司</w:t>
      </w:r>
      <w:r>
        <w:rPr>
          <w:spacing w:val="-53"/>
        </w:rPr>
        <w:t> </w:t>
      </w:r>
      <w:r>
        <w:rPr>
          <w:rFonts w:ascii="宋体" w:hAnsi="宋体" w:cs="宋体" w:eastAsia="宋体" w:hint="default"/>
        </w:rPr>
        <w:t>Tencent</w:t>
      </w:r>
      <w:r>
        <w:rPr>
          <w:rFonts w:ascii="宋体" w:hAnsi="宋体" w:cs="宋体" w:eastAsia="宋体" w:hint="default"/>
          <w:spacing w:val="-33"/>
        </w:rPr>
        <w:t> </w:t>
      </w:r>
      <w:r>
        <w:rPr>
          <w:rFonts w:ascii="宋体" w:hAnsi="宋体" w:cs="宋体" w:eastAsia="宋体" w:hint="default"/>
        </w:rPr>
        <w:t>Music</w:t>
      </w:r>
      <w:r>
        <w:rPr>
          <w:rFonts w:ascii="宋体" w:hAnsi="宋体" w:cs="宋体" w:eastAsia="宋体" w:hint="default"/>
          <w:spacing w:val="-31"/>
        </w:rPr>
        <w:t> </w:t>
      </w:r>
      <w:r>
        <w:rPr>
          <w:rFonts w:ascii="宋体" w:hAnsi="宋体" w:cs="宋体" w:eastAsia="宋体" w:hint="default"/>
        </w:rPr>
        <w:t>Entertainment</w:t>
      </w:r>
      <w:r>
        <w:rPr>
          <w:rFonts w:ascii="宋体" w:hAnsi="宋体" w:cs="宋体" w:eastAsia="宋体" w:hint="default"/>
          <w:spacing w:val="-31"/>
        </w:rPr>
        <w:t> </w:t>
      </w:r>
      <w:r>
        <w:rPr>
          <w:rFonts w:ascii="宋体" w:hAnsi="宋体" w:cs="宋体" w:eastAsia="宋体" w:hint="default"/>
        </w:rPr>
        <w:t>Group</w:t>
      </w:r>
      <w:r>
        <w:rPr/>
        <w:t>（以下简称“TME”）于</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月在美国纽约证券交易所挂牌上市。截至</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w w:val="100"/>
        </w:rPr>
        <w:t> </w:t>
      </w:r>
      <w:r>
        <w:rPr/>
        <w:t>日，本集团通过香港子公司</w:t>
      </w:r>
      <w:r>
        <w:rPr>
          <w:spacing w:val="-53"/>
        </w:rPr>
        <w:t> </w:t>
      </w:r>
      <w:r>
        <w:rPr>
          <w:rFonts w:ascii="宋体" w:hAnsi="宋体" w:cs="宋体" w:eastAsia="宋体" w:hint="default"/>
        </w:rPr>
        <w:t>Qifei</w:t>
      </w:r>
      <w:r>
        <w:rPr>
          <w:rFonts w:ascii="宋体" w:hAnsi="宋体" w:cs="宋体" w:eastAsia="宋体" w:hint="default"/>
          <w:spacing w:val="-1"/>
        </w:rPr>
        <w:t> </w:t>
      </w:r>
      <w:r>
        <w:rPr>
          <w:rFonts w:ascii="宋体" w:hAnsi="宋体" w:cs="宋体" w:eastAsia="宋体" w:hint="default"/>
        </w:rPr>
        <w:t>International</w:t>
      </w:r>
      <w:r>
        <w:rPr>
          <w:rFonts w:ascii="宋体" w:hAnsi="宋体" w:cs="宋体" w:eastAsia="宋体" w:hint="default"/>
          <w:spacing w:val="-6"/>
        </w:rPr>
        <w:t> </w:t>
      </w:r>
      <w:r>
        <w:rPr>
          <w:rFonts w:ascii="宋体" w:hAnsi="宋体" w:cs="宋体" w:eastAsia="宋体" w:hint="default"/>
        </w:rPr>
        <w:t>Development</w:t>
      </w:r>
      <w:r>
        <w:rPr>
          <w:rFonts w:ascii="宋体" w:hAnsi="宋体" w:cs="宋体" w:eastAsia="宋体" w:hint="default"/>
          <w:spacing w:val="-1"/>
        </w:rPr>
        <w:t> </w:t>
      </w:r>
      <w:r>
        <w:rPr>
          <w:rFonts w:ascii="宋体" w:hAnsi="宋体" w:cs="宋体" w:eastAsia="宋体" w:hint="default"/>
        </w:rPr>
        <w:t>Co.</w:t>
      </w:r>
      <w:r>
        <w:rPr>
          <w:rFonts w:ascii="宋体" w:hAnsi="宋体" w:cs="宋体" w:eastAsia="宋体" w:hint="default"/>
          <w:spacing w:val="-1"/>
        </w:rPr>
        <w:t> </w:t>
      </w:r>
      <w:r>
        <w:rPr>
          <w:rFonts w:ascii="宋体" w:hAnsi="宋体" w:cs="宋体" w:eastAsia="宋体" w:hint="default"/>
        </w:rPr>
        <w:t>Limited</w:t>
      </w:r>
      <w:r>
        <w:rPr>
          <w:rFonts w:ascii="宋体" w:hAnsi="宋体" w:cs="宋体" w:eastAsia="宋体" w:hint="default"/>
          <w:spacing w:val="-53"/>
        </w:rPr>
        <w:t> </w:t>
      </w:r>
      <w:r>
        <w:rPr/>
        <w:t>持有</w:t>
      </w:r>
      <w:r>
        <w:rPr>
          <w:spacing w:val="-55"/>
        </w:rPr>
        <w:t> </w:t>
      </w:r>
      <w:r>
        <w:rPr>
          <w:rFonts w:ascii="宋体" w:hAnsi="宋体" w:cs="宋体" w:eastAsia="宋体" w:hint="default"/>
        </w:rPr>
        <w:t>TME</w:t>
      </w:r>
      <w:r>
        <w:rPr>
          <w:rFonts w:ascii="宋体" w:hAnsi="宋体" w:cs="宋体" w:eastAsia="宋体" w:hint="default"/>
          <w:spacing w:val="-3"/>
        </w:rPr>
        <w:t> </w:t>
      </w:r>
      <w:r>
        <w:rPr>
          <w:rFonts w:ascii="宋体" w:hAnsi="宋体" w:cs="宋体" w:eastAsia="宋体" w:hint="default"/>
        </w:rPr>
        <w:t>50,189,923</w:t>
      </w:r>
      <w:r>
        <w:rPr>
          <w:rFonts w:ascii="宋体" w:hAnsi="宋体" w:cs="宋体" w:eastAsia="宋体" w:hint="default"/>
          <w:spacing w:val="-55"/>
        </w:rPr>
        <w:t> </w:t>
      </w:r>
      <w:r>
        <w:rPr/>
        <w:t>股普通股，占其发行后普通股总数的</w:t>
      </w:r>
      <w:r>
        <w:rPr>
          <w:spacing w:val="-53"/>
        </w:rPr>
        <w:t> </w:t>
      </w:r>
      <w:r>
        <w:rPr>
          <w:rFonts w:ascii="宋体" w:hAnsi="宋体" w:cs="宋体" w:eastAsia="宋体" w:hint="default"/>
        </w:rPr>
        <w:t>1.53%</w:t>
      </w:r>
      <w:r>
        <w:rPr/>
        <w:t>，对</w:t>
      </w:r>
      <w:r>
        <w:rPr>
          <w:spacing w:val="-55"/>
        </w:rPr>
        <w:t> </w:t>
      </w:r>
      <w:r>
        <w:rPr>
          <w:rFonts w:ascii="宋体" w:hAnsi="宋体" w:cs="宋体" w:eastAsia="宋体" w:hint="default"/>
        </w:rPr>
        <w:t>TME</w:t>
      </w:r>
      <w:r>
        <w:rPr>
          <w:rFonts w:ascii="宋体" w:hAnsi="宋体" w:cs="宋体" w:eastAsia="宋体" w:hint="default"/>
          <w:w w:val="100"/>
        </w:rPr>
        <w:t> </w:t>
      </w:r>
      <w:r>
        <w:rPr/>
        <w:t>不具有重大影响。由于</w:t>
      </w:r>
      <w:r>
        <w:rPr>
          <w:spacing w:val="-58"/>
        </w:rPr>
        <w:t> </w:t>
      </w:r>
      <w:r>
        <w:rPr>
          <w:rFonts w:ascii="宋体" w:hAnsi="宋体" w:cs="宋体" w:eastAsia="宋体" w:hint="default"/>
        </w:rPr>
        <w:t>TME</w:t>
      </w:r>
      <w:r>
        <w:rPr>
          <w:rFonts w:ascii="宋体" w:hAnsi="宋体" w:cs="宋体" w:eastAsia="宋体" w:hint="default"/>
          <w:spacing w:val="-58"/>
        </w:rPr>
        <w:t> </w:t>
      </w:r>
      <w:r>
        <w:rPr/>
        <w:t>上市后存在活跃市场的报价，且能够可靠计量，本集团根据企业会计准则的规定，采用公允价值计量模式对该投资项目进行</w:t>
      </w:r>
      <w:r>
        <w:rPr>
          <w:w w:val="100"/>
        </w:rPr>
        <w:t> </w:t>
      </w:r>
      <w:r>
        <w:rPr/>
        <w:t>核算，并将公允价值变动的金额计入其他综合收益。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44"/>
        <w:ind w:left="6654" w:right="6630" w:firstLine="0"/>
        <w:jc w:val="center"/>
        <w:rPr>
          <w:rFonts w:ascii="宋体" w:hAnsi="宋体" w:cs="宋体" w:eastAsia="宋体" w:hint="default"/>
          <w:sz w:val="18"/>
          <w:szCs w:val="18"/>
        </w:rPr>
      </w:pPr>
      <w:r>
        <w:rPr>
          <w:rFonts w:ascii="宋体"/>
          <w:b/>
          <w:sz w:val="18"/>
        </w:rPr>
        <w:t>173 </w:t>
      </w:r>
      <w:r>
        <w:rPr>
          <w:rFonts w:ascii="宋体"/>
          <w:sz w:val="18"/>
        </w:rPr>
        <w:t>/</w:t>
      </w:r>
      <w:r>
        <w:rPr>
          <w:rFonts w:ascii="宋体"/>
          <w:spacing w:val="-1"/>
          <w:sz w:val="18"/>
        </w:rPr>
        <w:t> </w:t>
      </w:r>
      <w:r>
        <w:rPr>
          <w:rFonts w:ascii="宋体"/>
          <w:b/>
          <w:sz w:val="18"/>
        </w:rPr>
        <w:t>220</w:t>
      </w:r>
      <w:r>
        <w:rPr>
          <w:rFonts w:ascii="宋体"/>
          <w:sz w:val="18"/>
        </w:rPr>
      </w:r>
    </w:p>
    <w:p>
      <w:pPr>
        <w:spacing w:after="0"/>
        <w:jc w:val="center"/>
        <w:rPr>
          <w:rFonts w:ascii="宋体" w:hAnsi="宋体" w:cs="宋体" w:eastAsia="宋体" w:hint="default"/>
          <w:sz w:val="18"/>
          <w:szCs w:val="18"/>
        </w:rPr>
        <w:sectPr>
          <w:type w:val="continuous"/>
          <w:pgSz w:w="16840" w:h="11910" w:orient="landscape"/>
          <w:pgMar w:top="1320" w:bottom="1400" w:left="1380" w:right="1320"/>
        </w:sectPr>
      </w:pPr>
    </w:p>
    <w:p>
      <w:pPr>
        <w:spacing w:line="240" w:lineRule="auto" w:before="0"/>
        <w:rPr>
          <w:rFonts w:ascii="宋体" w:hAnsi="宋体" w:cs="宋体" w:eastAsia="宋体" w:hint="default"/>
          <w:b/>
          <w:bCs/>
          <w:sz w:val="28"/>
          <w:szCs w:val="28"/>
        </w:rPr>
      </w:pPr>
    </w:p>
    <w:p>
      <w:pPr>
        <w:pStyle w:val="Heading5"/>
        <w:spacing w:line="240" w:lineRule="auto" w:before="36"/>
        <w:ind w:left="237" w:right="127"/>
        <w:jc w:val="left"/>
        <w:rPr>
          <w:b w:val="0"/>
          <w:bCs w:val="0"/>
        </w:rPr>
      </w:pPr>
      <w:r>
        <w:rPr>
          <w:rFonts w:ascii="宋体" w:hAnsi="宋体" w:cs="宋体" w:eastAsia="宋体" w:hint="default"/>
        </w:rPr>
        <w:t>49</w:t>
      </w:r>
      <w:r>
        <w:rPr/>
        <w:t>、</w:t>
      </w:r>
      <w:r>
        <w:rPr>
          <w:spacing w:val="-24"/>
        </w:rPr>
        <w:t> </w:t>
      </w:r>
      <w:r>
        <w:rPr/>
        <w:t>专项储备</w:t>
      </w:r>
      <w:r>
        <w:rPr>
          <w:b w:val="0"/>
          <w:bCs w:val="0"/>
        </w:rPr>
      </w:r>
    </w:p>
    <w:p>
      <w:pPr>
        <w:pStyle w:val="BodyText"/>
        <w:spacing w:line="240" w:lineRule="auto" w:before="58"/>
        <w:ind w:left="237" w:right="127"/>
        <w:jc w:val="left"/>
      </w:pPr>
      <w:r>
        <w:rPr/>
        <w:t>□适用 √不适用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79"/>
          <w:pgSz w:w="11910" w:h="16840"/>
          <w:pgMar w:footer="1217" w:header="0" w:top="1320" w:bottom="1400" w:left="1040" w:right="1560"/>
          <w:pgNumType w:start="174"/>
        </w:sectPr>
      </w:pPr>
    </w:p>
    <w:p>
      <w:pPr>
        <w:pStyle w:val="Heading5"/>
        <w:spacing w:line="240" w:lineRule="auto" w:before="36"/>
        <w:ind w:left="237" w:right="82"/>
        <w:jc w:val="left"/>
        <w:rPr>
          <w:b w:val="0"/>
          <w:bCs w:val="0"/>
        </w:rPr>
      </w:pPr>
      <w:r>
        <w:rPr>
          <w:rFonts w:ascii="宋体" w:hAnsi="宋体" w:cs="宋体" w:eastAsia="宋体" w:hint="default"/>
        </w:rPr>
        <w:t>50</w:t>
      </w:r>
      <w:r>
        <w:rPr/>
        <w:t>、</w:t>
      </w:r>
      <w:r>
        <w:rPr>
          <w:spacing w:val="-24"/>
        </w:rPr>
        <w:t> </w:t>
      </w:r>
      <w:r>
        <w:rPr/>
        <w:t>盈余公积</w:t>
      </w:r>
      <w:r>
        <w:rPr>
          <w:b w:val="0"/>
          <w:bCs w:val="0"/>
        </w:rPr>
      </w:r>
    </w:p>
    <w:p>
      <w:pPr>
        <w:pStyle w:val="BodyText"/>
        <w:spacing w:line="240" w:lineRule="auto" w:before="58"/>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1815" w:space="4496"/>
            <w:col w:w="2999"/>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163,923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145,090</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309,013</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163,923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145,090</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309,013</w:t>
            </w:r>
          </w:p>
        </w:tc>
      </w:tr>
    </w:tbl>
    <w:p>
      <w:pPr>
        <w:spacing w:line="240" w:lineRule="auto" w:before="13"/>
        <w:rPr>
          <w:rFonts w:ascii="宋体" w:hAnsi="宋体" w:cs="宋体" w:eastAsia="宋体" w:hint="default"/>
          <w:sz w:val="19"/>
          <w:szCs w:val="19"/>
        </w:rPr>
      </w:pPr>
    </w:p>
    <w:p>
      <w:pPr>
        <w:pStyle w:val="BodyText"/>
        <w:spacing w:line="290" w:lineRule="auto" w:before="36"/>
        <w:ind w:left="237" w:right="3469"/>
        <w:jc w:val="left"/>
      </w:pPr>
      <w:r>
        <w:rPr>
          <w:spacing w:val="-2"/>
        </w:rPr>
        <w:t>盈余公积说明，包括本期增减变动情况、变动原因说明：</w:t>
      </w:r>
      <w:r>
        <w:rPr>
          <w:spacing w:val="-55"/>
        </w:rPr>
        <w:t> </w:t>
      </w:r>
      <w:r>
        <w:rPr>
          <w:spacing w:val="-55"/>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320" w:bottom="1400" w:left="1040" w:right="1560"/>
        </w:sectPr>
      </w:pPr>
    </w:p>
    <w:p>
      <w:pPr>
        <w:pStyle w:val="Heading5"/>
        <w:spacing w:line="240" w:lineRule="auto" w:before="36"/>
        <w:ind w:left="237" w:right="-2"/>
        <w:jc w:val="left"/>
        <w:rPr>
          <w:b w:val="0"/>
          <w:bCs w:val="0"/>
        </w:rPr>
      </w:pPr>
      <w:r>
        <w:rPr>
          <w:rFonts w:ascii="宋体" w:hAnsi="宋体" w:cs="宋体" w:eastAsia="宋体" w:hint="default"/>
        </w:rPr>
        <w:t>51</w:t>
      </w:r>
      <w:r>
        <w:rPr/>
        <w:t>、</w:t>
      </w:r>
      <w:r>
        <w:rPr>
          <w:spacing w:val="-24"/>
        </w:rPr>
        <w:t> </w:t>
      </w:r>
      <w:r>
        <w:rPr/>
        <w:t>未分配利润</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1815" w:space="4496"/>
            <w:col w:w="299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225"/>
        <w:gridCol w:w="2096"/>
        <w:gridCol w:w="2741"/>
      </w:tblGrid>
      <w:tr>
        <w:trPr>
          <w:trHeight w:val="283"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1"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4,393,106</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1,871,621</w:t>
            </w:r>
          </w:p>
        </w:tc>
      </w:tr>
      <w:tr>
        <w:trPr>
          <w:trHeight w:val="283"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1"/>
              <w:jc w:val="left"/>
              <w:rPr>
                <w:rFonts w:ascii="宋体" w:hAnsi="宋体" w:cs="宋体" w:eastAsia="宋体" w:hint="default"/>
                <w:sz w:val="21"/>
                <w:szCs w:val="21"/>
              </w:rPr>
            </w:pPr>
            <w:r>
              <w:rPr>
                <w:rFonts w:ascii="宋体" w:hAnsi="宋体" w:cs="宋体" w:eastAsia="宋体" w:hint="default"/>
                <w:w w:val="100"/>
                <w:sz w:val="21"/>
                <w:szCs w:val="21"/>
              </w:rPr>
              <w:t>调整</w:t>
            </w:r>
            <w:r>
              <w:rPr>
                <w:rFonts w:ascii="宋体" w:hAnsi="宋体" w:cs="宋体" w:eastAsia="宋体" w:hint="default"/>
                <w:spacing w:val="-3"/>
                <w:w w:val="100"/>
                <w:sz w:val="21"/>
                <w:szCs w:val="21"/>
              </w:rPr>
              <w:t>期</w:t>
            </w:r>
            <w:r>
              <w:rPr>
                <w:rFonts w:ascii="宋体" w:hAnsi="宋体" w:cs="宋体" w:eastAsia="宋体" w:hint="default"/>
                <w:w w:val="100"/>
                <w:sz w:val="21"/>
                <w:szCs w:val="21"/>
              </w:rPr>
              <w:t>初</w:t>
            </w:r>
            <w:r>
              <w:rPr>
                <w:rFonts w:ascii="宋体" w:hAnsi="宋体" w:cs="宋体" w:eastAsia="宋体" w:hint="default"/>
                <w:spacing w:val="-3"/>
                <w:w w:val="100"/>
                <w:sz w:val="21"/>
                <w:szCs w:val="21"/>
              </w:rPr>
              <w:t>未</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合</w:t>
            </w:r>
            <w:r>
              <w:rPr>
                <w:rFonts w:ascii="宋体" w:hAnsi="宋体" w:cs="宋体" w:eastAsia="宋体" w:hint="default"/>
                <w:spacing w:val="-3"/>
                <w:w w:val="100"/>
                <w:sz w:val="21"/>
                <w:szCs w:val="21"/>
              </w:rPr>
              <w:t>计</w:t>
            </w:r>
            <w:r>
              <w:rPr>
                <w:rFonts w:ascii="宋体" w:hAnsi="宋体" w:cs="宋体" w:eastAsia="宋体" w:hint="default"/>
                <w:spacing w:val="-101"/>
                <w:w w:val="100"/>
                <w:sz w:val="21"/>
                <w:szCs w:val="21"/>
              </w:rPr>
              <w:t>数</w:t>
            </w:r>
            <w:r>
              <w:rPr>
                <w:rFonts w:ascii="宋体" w:hAnsi="宋体" w:cs="宋体" w:eastAsia="宋体" w:hint="default"/>
                <w:spacing w:val="-3"/>
                <w:w w:val="100"/>
                <w:sz w:val="21"/>
                <w:szCs w:val="21"/>
              </w:rPr>
              <w:t>（</w:t>
            </w:r>
            <w:r>
              <w:rPr>
                <w:rFonts w:ascii="宋体" w:hAnsi="宋体" w:cs="宋体" w:eastAsia="宋体" w:hint="default"/>
                <w:w w:val="100"/>
                <w:sz w:val="21"/>
                <w:szCs w:val="21"/>
              </w:rPr>
              <w:t>调增</w:t>
            </w:r>
            <w:r>
              <w:rPr>
                <w:rFonts w:ascii="宋体" w:hAnsi="宋体" w:cs="宋体" w:eastAsia="宋体" w:hint="default"/>
                <w:spacing w:val="-3"/>
                <w:w w:val="100"/>
                <w:sz w:val="21"/>
                <w:szCs w:val="21"/>
              </w:rPr>
              <w:t>+</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调</w:t>
            </w:r>
            <w:r>
              <w:rPr>
                <w:rFonts w:ascii="宋体" w:hAnsi="宋体" w:cs="宋体" w:eastAsia="宋体" w:hint="default"/>
                <w:w w:val="100"/>
                <w:sz w:val="21"/>
                <w:szCs w:val="21"/>
              </w:rPr>
              <w:t>减</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tc>
        <w:tc>
          <w:tcPr>
            <w:tcW w:w="2096"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4,393,106</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1,871,621</w:t>
            </w:r>
          </w:p>
        </w:tc>
      </w:tr>
      <w:tr>
        <w:trPr>
          <w:trHeight w:val="281"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3,534,835</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3,371,981</w:t>
            </w:r>
          </w:p>
        </w:tc>
      </w:tr>
      <w:tr>
        <w:trPr>
          <w:trHeight w:val="284"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145,090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163,923</w:t>
            </w:r>
          </w:p>
        </w:tc>
      </w:tr>
      <w:tr>
        <w:trPr>
          <w:trHeight w:val="281"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096"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096"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18,263</w:t>
            </w: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096"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所有者权益内部结转</w:t>
            </w:r>
          </w:p>
        </w:tc>
        <w:tc>
          <w:tcPr>
            <w:tcW w:w="2096"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pacing w:val="-1"/>
                <w:sz w:val="21"/>
              </w:rPr>
              <w:t>686,573</w:t>
            </w:r>
          </w:p>
        </w:tc>
      </w:tr>
      <w:tr>
        <w:trPr>
          <w:trHeight w:val="283"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7,764,588</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4,393,106</w:t>
            </w:r>
          </w:p>
        </w:tc>
      </w:tr>
    </w:tbl>
    <w:p>
      <w:pPr>
        <w:spacing w:line="240" w:lineRule="auto" w:before="12"/>
        <w:rPr>
          <w:rFonts w:ascii="宋体" w:hAnsi="宋体" w:cs="宋体" w:eastAsia="宋体" w:hint="default"/>
          <w:sz w:val="19"/>
          <w:szCs w:val="19"/>
        </w:rPr>
      </w:pPr>
    </w:p>
    <w:p>
      <w:pPr>
        <w:pStyle w:val="BodyText"/>
        <w:spacing w:line="290" w:lineRule="auto" w:before="36"/>
        <w:ind w:left="237" w:right="1128"/>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59"/>
        </w:rPr>
        <w:t> </w:t>
      </w:r>
      <w:r>
        <w:rPr/>
        <w:t>元。</w:t>
      </w:r>
    </w:p>
    <w:p>
      <w:pPr>
        <w:pStyle w:val="BodyText"/>
        <w:spacing w:line="227" w:lineRule="exact"/>
        <w:ind w:left="237" w:right="127"/>
        <w:jc w:val="left"/>
      </w:pPr>
      <w:r>
        <w:rPr>
          <w:rFonts w:ascii="宋体" w:hAnsi="宋体" w:cs="宋体" w:eastAsia="宋体" w:hint="default"/>
        </w:rPr>
        <w:t>2</w:t>
      </w:r>
      <w:r>
        <w:rPr/>
        <w:t>、由于会计政策变更，影响期初未分配利润 </w:t>
      </w:r>
      <w:r>
        <w:rPr>
          <w:rFonts w:ascii="宋体" w:hAnsi="宋体" w:cs="宋体" w:eastAsia="宋体" w:hint="default"/>
        </w:rPr>
        <w:t>0</w:t>
      </w:r>
      <w:r>
        <w:rPr>
          <w:rFonts w:ascii="宋体" w:hAnsi="宋体" w:cs="宋体" w:eastAsia="宋体" w:hint="default"/>
          <w:spacing w:val="-56"/>
        </w:rPr>
        <w:t> </w:t>
      </w:r>
      <w:r>
        <w:rPr>
          <w:spacing w:val="-3"/>
        </w:rPr>
        <w:t>元。</w:t>
      </w:r>
      <w:r>
        <w:rPr/>
      </w:r>
    </w:p>
    <w:p>
      <w:pPr>
        <w:pStyle w:val="BodyText"/>
        <w:spacing w:line="273" w:lineRule="exact"/>
        <w:ind w:left="237" w:right="127"/>
        <w:jc w:val="left"/>
      </w:pPr>
      <w:r>
        <w:rPr>
          <w:rFonts w:ascii="宋体" w:hAnsi="宋体" w:cs="宋体" w:eastAsia="宋体" w:hint="default"/>
        </w:rPr>
        <w:t>3</w:t>
      </w:r>
      <w:r>
        <w:rPr/>
        <w:t>、由于重大会计差错更正，影响期初未分配利润 </w:t>
      </w:r>
      <w:r>
        <w:rPr>
          <w:rFonts w:ascii="宋体" w:hAnsi="宋体" w:cs="宋体" w:eastAsia="宋体" w:hint="default"/>
        </w:rPr>
        <w:t>0</w:t>
      </w:r>
      <w:r>
        <w:rPr>
          <w:rFonts w:ascii="宋体" w:hAnsi="宋体" w:cs="宋体" w:eastAsia="宋体" w:hint="default"/>
          <w:spacing w:val="-60"/>
        </w:rPr>
        <w:t> </w:t>
      </w:r>
      <w:r>
        <w:rPr/>
        <w:t>元。</w:t>
      </w:r>
    </w:p>
    <w:p>
      <w:pPr>
        <w:pStyle w:val="BodyText"/>
        <w:spacing w:line="272" w:lineRule="exact"/>
        <w:ind w:left="237" w:right="127"/>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0</w:t>
      </w:r>
      <w:r>
        <w:rPr>
          <w:rFonts w:ascii="宋体" w:hAnsi="宋体" w:cs="宋体" w:eastAsia="宋体" w:hint="default"/>
          <w:spacing w:val="-57"/>
        </w:rPr>
        <w:t> </w:t>
      </w:r>
      <w:r>
        <w:rPr>
          <w:spacing w:val="-3"/>
        </w:rPr>
        <w:t>元。</w:t>
      </w:r>
      <w:r>
        <w:rPr/>
      </w:r>
    </w:p>
    <w:p>
      <w:pPr>
        <w:pStyle w:val="BodyText"/>
        <w:spacing w:line="274" w:lineRule="exact"/>
        <w:ind w:left="237" w:right="127"/>
        <w:jc w:val="left"/>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57"/>
        </w:rPr>
        <w:t> </w:t>
      </w:r>
      <w:r>
        <w:rPr/>
        <w:t>元。</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320" w:bottom="1400" w:left="1040" w:right="1560"/>
        </w:sectPr>
      </w:pPr>
    </w:p>
    <w:p>
      <w:pPr>
        <w:pStyle w:val="Heading5"/>
        <w:spacing w:line="290" w:lineRule="auto" w:before="36"/>
        <w:ind w:left="237" w:right="-14"/>
        <w:jc w:val="left"/>
        <w:rPr>
          <w:b w:val="0"/>
          <w:bCs w:val="0"/>
        </w:rPr>
      </w:pPr>
      <w:r>
        <w:rPr>
          <w:rFonts w:ascii="宋体" w:hAnsi="宋体" w:cs="宋体" w:eastAsia="宋体" w:hint="default"/>
        </w:rPr>
        <w:t>52</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b w:val="0"/>
          <w:bCs w:val="0"/>
        </w:rPr>
      </w:r>
    </w:p>
    <w:p>
      <w:pPr>
        <w:pStyle w:val="BodyText"/>
        <w:spacing w:line="240" w:lineRule="auto" w:before="14"/>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2986" w:space="3325"/>
            <w:col w:w="2999"/>
          </w:cols>
        </w:sectPr>
      </w:pPr>
    </w:p>
    <w:p>
      <w:pPr>
        <w:spacing w:line="240" w:lineRule="auto" w:before="7"/>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1"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2"/>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13,121,177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3,997,660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12,231,509</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3,295,706</w:t>
            </w:r>
          </w:p>
        </w:tc>
      </w:tr>
      <w:tr>
        <w:trPr>
          <w:trHeight w:val="28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2"/>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8,086</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6,604</w:t>
            </w:r>
          </w:p>
        </w:tc>
        <w:tc>
          <w:tcPr>
            <w:tcW w:w="18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1"/>
              <w:jc w:val="righ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13,129,263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3,997,660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12,238,113</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3,295,706</w:t>
            </w:r>
          </w:p>
        </w:tc>
      </w:tr>
    </w:tbl>
    <w:p>
      <w:pPr>
        <w:spacing w:after="0" w:line="243" w:lineRule="exact"/>
        <w:jc w:val="right"/>
        <w:rPr>
          <w:rFonts w:ascii="宋体" w:hAnsi="宋体" w:cs="宋体" w:eastAsia="宋体" w:hint="default"/>
          <w:sz w:val="21"/>
          <w:szCs w:val="21"/>
        </w:rPr>
        <w:sectPr>
          <w:type w:val="continuous"/>
          <w:pgSz w:w="11910" w:h="16840"/>
          <w:pgMar w:top="1320" w:bottom="1400" w:left="1040" w:right="156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217" w:top="1320" w:bottom="1400" w:left="1040" w:right="1560"/>
        </w:sectPr>
      </w:pPr>
    </w:p>
    <w:p>
      <w:pPr>
        <w:spacing w:line="240" w:lineRule="auto" w:before="12"/>
        <w:rPr>
          <w:rFonts w:ascii="宋体" w:hAnsi="宋体" w:cs="宋体" w:eastAsia="宋体" w:hint="default"/>
          <w:sz w:val="13"/>
          <w:szCs w:val="13"/>
        </w:rPr>
      </w:pPr>
    </w:p>
    <w:p>
      <w:pPr>
        <w:pStyle w:val="Heading5"/>
        <w:spacing w:line="240" w:lineRule="auto"/>
        <w:ind w:left="237" w:right="-2"/>
        <w:jc w:val="left"/>
        <w:rPr>
          <w:b w:val="0"/>
          <w:bCs w:val="0"/>
        </w:rPr>
      </w:pPr>
      <w:r>
        <w:rPr>
          <w:rFonts w:ascii="宋体" w:hAnsi="宋体" w:cs="宋体" w:eastAsia="宋体" w:hint="default"/>
        </w:rPr>
        <w:t>53</w:t>
      </w:r>
      <w:r>
        <w:rPr/>
        <w:t>、</w:t>
      </w:r>
      <w:r>
        <w:rPr>
          <w:spacing w:val="-24"/>
        </w:rPr>
        <w:t> </w:t>
      </w:r>
      <w:r>
        <w:rPr/>
        <w:t>税金及附加</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1815" w:space="4496"/>
            <w:col w:w="2999"/>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910"/>
        <w:gridCol w:w="3075"/>
        <w:gridCol w:w="3077"/>
      </w:tblGrid>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4"/>
              <w:jc w:val="right"/>
              <w:rPr>
                <w:rFonts w:ascii="宋体" w:hAnsi="宋体" w:cs="宋体" w:eastAsia="宋体" w:hint="default"/>
                <w:sz w:val="21"/>
                <w:szCs w:val="21"/>
              </w:rPr>
            </w:pPr>
            <w:r>
              <w:rPr>
                <w:rFonts w:ascii="宋体" w:hAnsi="宋体" w:cs="宋体" w:eastAsia="宋体" w:hint="default"/>
                <w:sz w:val="21"/>
                <w:szCs w:val="21"/>
              </w:rPr>
              <w:t>项目</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179,346</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185,262</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26,260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31,819</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11,402</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z w:val="21"/>
              </w:rPr>
              <w:t>13,660</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9,433</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8,426</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7,569</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9,108</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1,601</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z w:val="21"/>
              </w:rPr>
              <w:t>4,043</w:t>
            </w:r>
          </w:p>
        </w:tc>
      </w:tr>
      <w:tr>
        <w:trPr>
          <w:trHeight w:val="289"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4"/>
              <w:jc w:val="right"/>
              <w:rPr>
                <w:rFonts w:ascii="宋体" w:hAnsi="宋体" w:cs="宋体" w:eastAsia="宋体" w:hint="default"/>
                <w:sz w:val="21"/>
                <w:szCs w:val="21"/>
              </w:rPr>
            </w:pPr>
            <w:r>
              <w:rPr>
                <w:rFonts w:ascii="宋体" w:hAnsi="宋体" w:cs="宋体" w:eastAsia="宋体" w:hint="default"/>
                <w:sz w:val="21"/>
                <w:szCs w:val="21"/>
              </w:rPr>
              <w:t>合计</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235,611</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252,318</w:t>
            </w:r>
          </w:p>
        </w:tc>
      </w:tr>
    </w:tbl>
    <w:p>
      <w:pPr>
        <w:spacing w:line="240" w:lineRule="auto" w:before="2"/>
        <w:rPr>
          <w:rFonts w:ascii="宋体" w:hAnsi="宋体" w:cs="宋体" w:eastAsia="宋体" w:hint="default"/>
          <w:sz w:val="20"/>
          <w:szCs w:val="20"/>
        </w:rPr>
      </w:pPr>
    </w:p>
    <w:p>
      <w:pPr>
        <w:pStyle w:val="BodyText"/>
        <w:spacing w:line="290" w:lineRule="auto" w:before="36"/>
        <w:ind w:left="237" w:right="7999"/>
        <w:jc w:val="left"/>
      </w:pPr>
      <w:r>
        <w:rPr/>
        <w:t>其他说明：</w:t>
      </w:r>
      <w:r>
        <w:rPr>
          <w:spacing w:val="-102"/>
        </w:rPr>
        <w:t> </w:t>
      </w:r>
      <w:r>
        <w:rPr>
          <w:spacing w:val="-102"/>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320" w:bottom="1400" w:left="1040" w:right="1560"/>
        </w:sectPr>
      </w:pPr>
    </w:p>
    <w:p>
      <w:pPr>
        <w:pStyle w:val="Heading5"/>
        <w:spacing w:line="240" w:lineRule="auto" w:before="36"/>
        <w:ind w:left="237" w:right="82"/>
        <w:jc w:val="left"/>
        <w:rPr>
          <w:b w:val="0"/>
          <w:bCs w:val="0"/>
        </w:rPr>
      </w:pPr>
      <w:r>
        <w:rPr>
          <w:rFonts w:ascii="宋体" w:hAnsi="宋体" w:cs="宋体" w:eastAsia="宋体" w:hint="default"/>
        </w:rPr>
        <w:t>54</w:t>
      </w:r>
      <w:r>
        <w:rPr/>
        <w:t>、</w:t>
      </w:r>
      <w:r>
        <w:rPr>
          <w:spacing w:val="-24"/>
        </w:rPr>
        <w:t> </w:t>
      </w:r>
      <w:r>
        <w:rPr/>
        <w:t>销售费用</w:t>
      </w:r>
      <w:r>
        <w:rPr>
          <w:b w:val="0"/>
          <w:bCs w:val="0"/>
        </w:rPr>
      </w:r>
    </w:p>
    <w:p>
      <w:pPr>
        <w:pStyle w:val="BodyText"/>
        <w:spacing w:line="240" w:lineRule="auto" w:before="58"/>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1815" w:space="4496"/>
            <w:col w:w="2999"/>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32"/>
        <w:gridCol w:w="2861"/>
        <w:gridCol w:w="2857"/>
      </w:tblGrid>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市场推广费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1,417,970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1,405,280</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职工薪酬及福利</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554,292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444,006</w:t>
            </w: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61,753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57,556</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2,034,015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1,906,842</w:t>
            </w:r>
          </w:p>
        </w:tc>
      </w:tr>
    </w:tbl>
    <w:p>
      <w:pPr>
        <w:spacing w:line="240" w:lineRule="auto" w:before="12"/>
        <w:rPr>
          <w:rFonts w:ascii="宋体" w:hAnsi="宋体" w:cs="宋体" w:eastAsia="宋体" w:hint="default"/>
          <w:sz w:val="19"/>
          <w:szCs w:val="19"/>
        </w:rPr>
      </w:pPr>
    </w:p>
    <w:p>
      <w:pPr>
        <w:pStyle w:val="BodyText"/>
        <w:spacing w:line="290" w:lineRule="auto" w:before="36"/>
        <w:ind w:left="237" w:right="7999"/>
        <w:jc w:val="left"/>
      </w:pPr>
      <w:r>
        <w:rPr/>
        <w:t>其他说明：</w:t>
      </w:r>
      <w:r>
        <w:rPr>
          <w:spacing w:val="-102"/>
        </w:rPr>
        <w:t> </w:t>
      </w:r>
      <w:r>
        <w:rPr>
          <w:spacing w:val="-102"/>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320" w:bottom="1400" w:left="1040" w:right="1560"/>
        </w:sectPr>
      </w:pPr>
    </w:p>
    <w:p>
      <w:pPr>
        <w:pStyle w:val="Heading5"/>
        <w:spacing w:line="240" w:lineRule="auto" w:before="36"/>
        <w:ind w:left="237" w:right="82"/>
        <w:jc w:val="left"/>
        <w:rPr>
          <w:b w:val="0"/>
          <w:bCs w:val="0"/>
        </w:rPr>
      </w:pPr>
      <w:r>
        <w:rPr>
          <w:rFonts w:ascii="宋体" w:hAnsi="宋体" w:cs="宋体" w:eastAsia="宋体" w:hint="default"/>
        </w:rPr>
        <w:t>55</w:t>
      </w:r>
      <w:r>
        <w:rPr/>
        <w:t>、</w:t>
      </w:r>
      <w:r>
        <w:rPr>
          <w:spacing w:val="-24"/>
        </w:rPr>
        <w:t> </w:t>
      </w:r>
      <w:r>
        <w:rPr/>
        <w:t>管理费用</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1815" w:space="4496"/>
            <w:col w:w="2999"/>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职工薪酬及福利</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389,731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367,209</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专业服务费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218,528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67,673</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125,193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164,990</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24,074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32,969</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79,987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67,389</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837,513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700,230</w:t>
            </w:r>
          </w:p>
        </w:tc>
      </w:tr>
    </w:tbl>
    <w:p>
      <w:pPr>
        <w:spacing w:line="240" w:lineRule="auto" w:before="5"/>
        <w:rPr>
          <w:rFonts w:ascii="宋体" w:hAnsi="宋体" w:cs="宋体" w:eastAsia="宋体" w:hint="default"/>
          <w:sz w:val="15"/>
          <w:szCs w:val="15"/>
        </w:rPr>
      </w:pPr>
    </w:p>
    <w:p>
      <w:pPr>
        <w:pStyle w:val="BodyText"/>
        <w:spacing w:line="240" w:lineRule="auto" w:before="36"/>
        <w:ind w:left="237" w:right="7999"/>
        <w:jc w:val="left"/>
      </w:pPr>
      <w:r>
        <w:rPr/>
        <w:t>其他说明：</w:t>
      </w:r>
      <w:r>
        <w:rPr>
          <w:spacing w:val="-102"/>
        </w:rPr>
        <w:t> </w:t>
      </w:r>
      <w:r>
        <w:rPr>
          <w:spacing w:val="-102"/>
        </w:rPr>
      </w: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20" w:bottom="1400" w:left="1040" w:right="1560"/>
        </w:sectPr>
      </w:pPr>
    </w:p>
    <w:p>
      <w:pPr>
        <w:pStyle w:val="Heading5"/>
        <w:spacing w:line="240" w:lineRule="auto" w:before="36"/>
        <w:ind w:left="237" w:right="82"/>
        <w:jc w:val="left"/>
        <w:rPr>
          <w:b w:val="0"/>
          <w:bCs w:val="0"/>
        </w:rPr>
      </w:pPr>
      <w:r>
        <w:rPr>
          <w:rFonts w:ascii="宋体" w:hAnsi="宋体" w:cs="宋体" w:eastAsia="宋体" w:hint="default"/>
        </w:rPr>
        <w:t>56</w:t>
      </w:r>
      <w:r>
        <w:rPr/>
        <w:t>、</w:t>
      </w:r>
      <w:r>
        <w:rPr>
          <w:spacing w:val="-24"/>
        </w:rPr>
        <w:t> </w:t>
      </w:r>
      <w:r>
        <w:rPr/>
        <w:t>研发费用</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1815" w:space="4496"/>
            <w:col w:w="2999"/>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职工薪酬及福利</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3" w:right="0"/>
              <w:jc w:val="left"/>
              <w:rPr>
                <w:rFonts w:ascii="宋体" w:hAnsi="宋体" w:cs="宋体" w:eastAsia="宋体" w:hint="default"/>
                <w:sz w:val="21"/>
                <w:szCs w:val="21"/>
              </w:rPr>
            </w:pPr>
            <w:r>
              <w:rPr>
                <w:rFonts w:ascii="宋体"/>
                <w:sz w:val="21"/>
              </w:rPr>
              <w:t>1,844,935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80" w:right="0"/>
              <w:jc w:val="left"/>
              <w:rPr>
                <w:rFonts w:ascii="宋体" w:hAnsi="宋体" w:cs="宋体" w:eastAsia="宋体" w:hint="default"/>
                <w:sz w:val="21"/>
                <w:szCs w:val="21"/>
              </w:rPr>
            </w:pPr>
            <w:r>
              <w:rPr>
                <w:rFonts w:ascii="宋体"/>
                <w:sz w:val="21"/>
              </w:rPr>
              <w:t>1,573,518</w:t>
            </w:r>
          </w:p>
        </w:tc>
      </w:tr>
    </w:tbl>
    <w:p>
      <w:pPr>
        <w:spacing w:after="0" w:line="241" w:lineRule="exact"/>
        <w:jc w:val="left"/>
        <w:rPr>
          <w:rFonts w:ascii="宋体" w:hAnsi="宋体" w:cs="宋体" w:eastAsia="宋体" w:hint="default"/>
          <w:sz w:val="21"/>
          <w:szCs w:val="21"/>
        </w:rPr>
        <w:sectPr>
          <w:type w:val="continuous"/>
          <w:pgSz w:w="11910" w:h="16840"/>
          <w:pgMar w:top="1320" w:bottom="1400" w:left="1040" w:right="1560"/>
        </w:sectPr>
      </w:pP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带宽服务费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382,923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472,690</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152,164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101,082</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97,685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219,887</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68,603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50,305</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2,546,310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2,417,482</w:t>
            </w:r>
          </w:p>
        </w:tc>
      </w:tr>
    </w:tbl>
    <w:p>
      <w:pPr>
        <w:spacing w:line="240" w:lineRule="auto" w:before="7"/>
        <w:rPr>
          <w:rFonts w:ascii="宋体" w:hAnsi="宋体" w:cs="宋体" w:eastAsia="宋体" w:hint="default"/>
          <w:sz w:val="15"/>
          <w:szCs w:val="15"/>
        </w:rPr>
      </w:pPr>
    </w:p>
    <w:p>
      <w:pPr>
        <w:pStyle w:val="BodyText"/>
        <w:spacing w:line="272" w:lineRule="exact" w:before="64"/>
        <w:ind w:left="217" w:right="7999"/>
        <w:jc w:val="left"/>
      </w:pPr>
      <w:r>
        <w:rPr/>
        <w:t>其他说明：</w:t>
      </w:r>
      <w:r>
        <w:rPr>
          <w:spacing w:val="-102"/>
        </w:rPr>
        <w:t> </w:t>
      </w:r>
      <w:r>
        <w:rPr>
          <w:spacing w:val="-102"/>
        </w:rPr>
      </w:r>
      <w:r>
        <w:rPr/>
        <w:t>无。</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217" w:top="1320" w:bottom="1400" w:left="1060" w:right="1560"/>
        </w:sectPr>
      </w:pPr>
    </w:p>
    <w:p>
      <w:pPr>
        <w:pStyle w:val="Heading5"/>
        <w:spacing w:line="240" w:lineRule="auto" w:before="36"/>
        <w:ind w:left="217" w:right="-2"/>
        <w:jc w:val="left"/>
        <w:rPr>
          <w:b w:val="0"/>
          <w:bCs w:val="0"/>
        </w:rPr>
      </w:pPr>
      <w:r>
        <w:rPr>
          <w:rFonts w:ascii="宋体" w:hAnsi="宋体" w:cs="宋体" w:eastAsia="宋体" w:hint="default"/>
        </w:rPr>
        <w:t>57</w:t>
      </w:r>
      <w:r>
        <w:rPr/>
        <w:t>、</w:t>
      </w:r>
      <w:r>
        <w:rPr>
          <w:spacing w:val="-24"/>
        </w:rPr>
        <w:t> </w:t>
      </w:r>
      <w:r>
        <w:rPr/>
        <w:t>财务费用</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479" w:val="left" w:leader="none"/>
        </w:tabs>
        <w:spacing w:line="240" w:lineRule="auto"/>
        <w:ind w:left="21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60" w:right="1560"/>
          <w:cols w:num="2" w:equalWidth="0">
            <w:col w:w="1795" w:space="4516"/>
            <w:col w:w="297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1,179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78,707</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(344,438)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(124,840)</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汇兑损失</w:t>
            </w:r>
            <w:r>
              <w:rPr>
                <w:rFonts w:ascii="宋体" w:hAnsi="宋体" w:cs="宋体" w:eastAsia="宋体" w:hint="default"/>
                <w:sz w:val="21"/>
                <w:szCs w:val="21"/>
              </w:rPr>
              <w:t>(</w:t>
            </w:r>
            <w:r>
              <w:rPr>
                <w:rFonts w:ascii="宋体" w:hAnsi="宋体" w:cs="宋体" w:eastAsia="宋体" w:hint="default"/>
                <w:sz w:val="21"/>
                <w:szCs w:val="21"/>
              </w:rPr>
              <w:t>收益</w:t>
            </w:r>
            <w:r>
              <w:rPr>
                <w:rFonts w:ascii="宋体" w:hAnsi="宋体" w:cs="宋体" w:eastAsia="宋体" w:hint="default"/>
                <w:sz w:val="21"/>
                <w:szCs w:val="21"/>
              </w:rPr>
              <w:t>)</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(2,528)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(810)</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890</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(345,275)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(46,053)</w:t>
            </w:r>
          </w:p>
        </w:tc>
      </w:tr>
    </w:tbl>
    <w:p>
      <w:pPr>
        <w:spacing w:line="240" w:lineRule="auto" w:before="5"/>
        <w:rPr>
          <w:rFonts w:ascii="宋体" w:hAnsi="宋体" w:cs="宋体" w:eastAsia="宋体" w:hint="default"/>
          <w:sz w:val="15"/>
          <w:szCs w:val="15"/>
        </w:rPr>
      </w:pPr>
    </w:p>
    <w:p>
      <w:pPr>
        <w:pStyle w:val="BodyText"/>
        <w:spacing w:line="240" w:lineRule="auto" w:before="36"/>
        <w:ind w:left="217" w:right="7999"/>
        <w:jc w:val="left"/>
      </w:pPr>
      <w:r>
        <w:rPr/>
        <w:t>其他说明：</w:t>
      </w:r>
      <w:r>
        <w:rPr>
          <w:spacing w:val="-102"/>
        </w:rPr>
        <w:t> </w:t>
      </w:r>
      <w:r>
        <w:rPr>
          <w:spacing w:val="-102"/>
        </w:rPr>
      </w: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20" w:bottom="1400" w:left="1060" w:right="1560"/>
        </w:sectPr>
      </w:pPr>
    </w:p>
    <w:p>
      <w:pPr>
        <w:pStyle w:val="Heading5"/>
        <w:spacing w:line="240" w:lineRule="auto" w:before="36"/>
        <w:ind w:left="217" w:right="-19"/>
        <w:jc w:val="left"/>
        <w:rPr>
          <w:b w:val="0"/>
          <w:bCs w:val="0"/>
        </w:rPr>
      </w:pPr>
      <w:r>
        <w:rPr>
          <w:rFonts w:ascii="宋体" w:hAnsi="宋体" w:cs="宋体" w:eastAsia="宋体" w:hint="default"/>
        </w:rPr>
        <w:t>58</w:t>
      </w:r>
      <w:r>
        <w:rPr/>
        <w:t>、</w:t>
      </w:r>
      <w:r>
        <w:rPr>
          <w:spacing w:val="-23"/>
        </w:rPr>
        <w:t> </w:t>
      </w:r>
      <w:r>
        <w:rPr/>
        <w:t>资产减值损失</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479" w:val="left" w:leader="none"/>
        </w:tabs>
        <w:spacing w:line="240" w:lineRule="auto"/>
        <w:ind w:left="21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60" w:right="1560"/>
          <w:cols w:num="2" w:equalWidth="0">
            <w:col w:w="1989" w:space="4322"/>
            <w:col w:w="297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1,615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62,934</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22,632</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90,223</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56,084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3,721</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1,058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5,317</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12,931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52,793</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97,320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214,988</w:t>
            </w:r>
          </w:p>
        </w:tc>
      </w:tr>
    </w:tbl>
    <w:p>
      <w:pPr>
        <w:spacing w:line="240" w:lineRule="auto" w:before="2"/>
        <w:rPr>
          <w:rFonts w:ascii="宋体" w:hAnsi="宋体" w:cs="宋体" w:eastAsia="宋体" w:hint="default"/>
          <w:sz w:val="20"/>
          <w:szCs w:val="20"/>
        </w:rPr>
      </w:pPr>
    </w:p>
    <w:p>
      <w:pPr>
        <w:pStyle w:val="BodyText"/>
        <w:spacing w:line="290" w:lineRule="auto" w:before="36"/>
        <w:ind w:left="217" w:right="7999"/>
        <w:jc w:val="left"/>
      </w:pPr>
      <w:r>
        <w:rPr/>
        <w:t>其他说明：</w:t>
      </w:r>
      <w:r>
        <w:rPr>
          <w:spacing w:val="-102"/>
        </w:rPr>
        <w:t> </w:t>
      </w:r>
      <w:r>
        <w:rPr>
          <w:spacing w:val="-102"/>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320" w:bottom="1400" w:left="1060" w:right="1560"/>
        </w:sectPr>
      </w:pPr>
    </w:p>
    <w:p>
      <w:pPr>
        <w:pStyle w:val="Heading5"/>
        <w:spacing w:line="240" w:lineRule="auto" w:before="36"/>
        <w:ind w:left="217" w:right="-2"/>
        <w:jc w:val="left"/>
        <w:rPr>
          <w:b w:val="0"/>
          <w:bCs w:val="0"/>
        </w:rPr>
      </w:pPr>
      <w:r>
        <w:rPr>
          <w:rFonts w:ascii="宋体" w:hAnsi="宋体" w:cs="宋体" w:eastAsia="宋体" w:hint="default"/>
        </w:rPr>
        <w:t>59</w:t>
      </w:r>
      <w:r>
        <w:rPr/>
        <w:t>、</w:t>
      </w:r>
      <w:r>
        <w:rPr>
          <w:spacing w:val="-24"/>
        </w:rPr>
        <w:t> </w:t>
      </w:r>
      <w:r>
        <w:rPr/>
        <w:t>其他收益</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79" w:val="left" w:leader="none"/>
        </w:tabs>
        <w:spacing w:line="240" w:lineRule="auto"/>
        <w:ind w:left="21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60" w:right="1560"/>
          <w:cols w:num="2" w:equalWidth="0">
            <w:col w:w="1795" w:space="4516"/>
            <w:col w:w="297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30,546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15,858</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30,546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15,858</w:t>
            </w:r>
          </w:p>
        </w:tc>
      </w:tr>
    </w:tbl>
    <w:p>
      <w:pPr>
        <w:spacing w:line="240" w:lineRule="auto" w:before="5"/>
        <w:rPr>
          <w:rFonts w:ascii="宋体" w:hAnsi="宋体" w:cs="宋体" w:eastAsia="宋体" w:hint="default"/>
          <w:sz w:val="15"/>
          <w:szCs w:val="15"/>
        </w:rPr>
      </w:pPr>
    </w:p>
    <w:p>
      <w:pPr>
        <w:pStyle w:val="BodyText"/>
        <w:spacing w:line="240" w:lineRule="auto" w:before="36"/>
        <w:ind w:left="217" w:right="7999"/>
        <w:jc w:val="left"/>
      </w:pPr>
      <w:r>
        <w:rPr/>
        <w:t>其他说明：</w:t>
      </w:r>
      <w:r>
        <w:rPr>
          <w:spacing w:val="-102"/>
        </w:rPr>
        <w:t> </w:t>
      </w:r>
      <w:r>
        <w:rPr>
          <w:spacing w:val="-102"/>
        </w:rPr>
      </w:r>
      <w:r>
        <w:rPr/>
        <w:t>无。</w:t>
      </w:r>
    </w:p>
    <w:p>
      <w:pPr>
        <w:spacing w:after="0" w:line="240" w:lineRule="auto"/>
        <w:jc w:val="left"/>
        <w:sectPr>
          <w:type w:val="continuous"/>
          <w:pgSz w:w="11910" w:h="16840"/>
          <w:pgMar w:top="1320" w:bottom="1400" w:left="1060" w:right="1560"/>
        </w:sectPr>
      </w:pPr>
    </w:p>
    <w:p>
      <w:pPr>
        <w:pStyle w:val="Heading5"/>
        <w:spacing w:line="240" w:lineRule="auto" w:before="72"/>
        <w:ind w:left="217" w:right="-2"/>
        <w:jc w:val="left"/>
        <w:rPr>
          <w:b w:val="0"/>
          <w:bCs w:val="0"/>
        </w:rPr>
      </w:pPr>
      <w:r>
        <w:rPr>
          <w:rFonts w:ascii="宋体" w:hAnsi="宋体" w:cs="宋体" w:eastAsia="宋体" w:hint="default"/>
        </w:rPr>
        <w:t>60</w:t>
      </w:r>
      <w:r>
        <w:rPr/>
        <w:t>、</w:t>
      </w:r>
      <w:r>
        <w:rPr>
          <w:spacing w:val="-24"/>
        </w:rPr>
        <w:t> </w:t>
      </w:r>
      <w:r>
        <w:rPr/>
        <w:t>投资收益</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479" w:val="left" w:leader="none"/>
        </w:tabs>
        <w:spacing w:line="240" w:lineRule="auto" w:before="153"/>
        <w:ind w:left="217" w:right="0"/>
        <w:jc w:val="left"/>
      </w:pPr>
      <w:r>
        <w:rPr>
          <w:spacing w:val="-1"/>
        </w:rPr>
        <w:t>单位：千元</w:t>
        <w:tab/>
      </w:r>
      <w:r>
        <w:rPr>
          <w:spacing w:val="-2"/>
        </w:rPr>
        <w:t>币种：人民币</w:t>
      </w:r>
    </w:p>
    <w:p>
      <w:pPr>
        <w:spacing w:after="0" w:line="240" w:lineRule="auto"/>
        <w:jc w:val="left"/>
        <w:sectPr>
          <w:pgSz w:w="11910" w:h="16840"/>
          <w:pgMar w:header="0" w:footer="1217" w:top="1320" w:bottom="1400" w:left="1060" w:right="1560"/>
          <w:cols w:num="2" w:equalWidth="0">
            <w:col w:w="1795" w:space="4516"/>
            <w:col w:w="297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781"/>
        <w:gridCol w:w="1702"/>
        <w:gridCol w:w="1568"/>
      </w:tblGrid>
      <w:tr>
        <w:trPr>
          <w:trHeight w:val="283" w:hRule="exact"/>
        </w:trPr>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64,197</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(83,773)</w:t>
            </w:r>
          </w:p>
        </w:tc>
      </w:tr>
      <w:tr>
        <w:trPr>
          <w:trHeight w:val="281" w:hRule="exact"/>
        </w:trPr>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90,765</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275,794</w:t>
            </w:r>
          </w:p>
        </w:tc>
      </w:tr>
      <w:tr>
        <w:trPr>
          <w:trHeight w:val="283" w:hRule="exact"/>
        </w:trPr>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3,894</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43,676</w:t>
            </w:r>
          </w:p>
        </w:tc>
      </w:tr>
      <w:tr>
        <w:trPr>
          <w:trHeight w:val="283" w:hRule="exact"/>
        </w:trPr>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173,029</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41,116</w:t>
            </w:r>
          </w:p>
        </w:tc>
      </w:tr>
      <w:tr>
        <w:trPr>
          <w:trHeight w:val="281" w:hRule="exact"/>
        </w:trPr>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丧失控制权后，剩余股权按公允价值重新计量产生的利得</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185,139</w:t>
            </w:r>
          </w:p>
        </w:tc>
      </w:tr>
      <w:tr>
        <w:trPr>
          <w:trHeight w:val="554" w:hRule="exact"/>
        </w:trPr>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通过多次交易分步实现非同一控制下企业合并，原股权按照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公允价值重新计量产生的利得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55,958</w:t>
            </w:r>
          </w:p>
        </w:tc>
        <w:tc>
          <w:tcPr>
            <w:tcW w:w="15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其他权益变动转出产生的利得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17,603</w:t>
            </w:r>
          </w:p>
        </w:tc>
        <w:tc>
          <w:tcPr>
            <w:tcW w:w="156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理财产品收益及其他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7,885</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59,629</w:t>
            </w:r>
          </w:p>
        </w:tc>
      </w:tr>
      <w:tr>
        <w:trPr>
          <w:trHeight w:val="283" w:hRule="exact"/>
        </w:trPr>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413,331</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521,581</w:t>
            </w:r>
          </w:p>
        </w:tc>
      </w:tr>
    </w:tbl>
    <w:p>
      <w:pPr>
        <w:spacing w:line="240" w:lineRule="auto" w:before="5"/>
        <w:rPr>
          <w:rFonts w:ascii="宋体" w:hAnsi="宋体" w:cs="宋体" w:eastAsia="宋体" w:hint="default"/>
          <w:sz w:val="15"/>
          <w:szCs w:val="15"/>
        </w:rPr>
      </w:pPr>
    </w:p>
    <w:p>
      <w:pPr>
        <w:pStyle w:val="BodyText"/>
        <w:spacing w:line="272" w:lineRule="exact" w:before="64"/>
        <w:ind w:left="217" w:right="7999"/>
        <w:jc w:val="left"/>
      </w:pPr>
      <w:r>
        <w:rPr/>
        <w:t>其他说明：</w:t>
      </w:r>
      <w:r>
        <w:rPr>
          <w:spacing w:val="-102"/>
        </w:rPr>
        <w:t> </w:t>
      </w:r>
      <w:r>
        <w:rPr>
          <w:spacing w:val="-102"/>
        </w:rPr>
      </w:r>
      <w:r>
        <w:rPr/>
        <w:t>无。</w:t>
      </w:r>
    </w:p>
    <w:p>
      <w:pPr>
        <w:spacing w:line="240" w:lineRule="auto" w:before="6"/>
        <w:rPr>
          <w:rFonts w:ascii="宋体" w:hAnsi="宋体" w:cs="宋体" w:eastAsia="宋体" w:hint="default"/>
          <w:sz w:val="26"/>
          <w:szCs w:val="26"/>
        </w:rPr>
      </w:pPr>
    </w:p>
    <w:p>
      <w:pPr>
        <w:pStyle w:val="Heading5"/>
        <w:spacing w:line="240" w:lineRule="auto"/>
        <w:ind w:left="217" w:right="234"/>
        <w:jc w:val="left"/>
        <w:rPr>
          <w:b w:val="0"/>
          <w:bCs w:val="0"/>
        </w:rPr>
      </w:pPr>
      <w:r>
        <w:rPr>
          <w:rFonts w:ascii="宋体" w:hAnsi="宋体" w:cs="宋体" w:eastAsia="宋体" w:hint="default"/>
        </w:rPr>
        <w:t>61</w:t>
      </w:r>
      <w:r>
        <w:rPr/>
        <w:t>、</w:t>
      </w:r>
      <w:r>
        <w:rPr>
          <w:spacing w:val="-23"/>
        </w:rPr>
        <w:t> </w:t>
      </w:r>
      <w:r>
        <w:rPr/>
        <w:t>公允价值变动收益</w:t>
      </w:r>
      <w:r>
        <w:rPr>
          <w:b w:val="0"/>
          <w:bCs w:val="0"/>
        </w:rPr>
      </w:r>
    </w:p>
    <w:p>
      <w:pPr>
        <w:pStyle w:val="BodyText"/>
        <w:spacing w:line="240" w:lineRule="auto" w:before="56"/>
        <w:ind w:left="217" w:right="234"/>
        <w:jc w:val="left"/>
      </w:pPr>
      <w:r>
        <w:rPr/>
        <w:t>□适用 √不适用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320" w:bottom="1400" w:left="1060" w:right="1560"/>
        </w:sectPr>
      </w:pPr>
    </w:p>
    <w:p>
      <w:pPr>
        <w:pStyle w:val="Heading5"/>
        <w:spacing w:line="240" w:lineRule="auto" w:before="36"/>
        <w:ind w:left="217" w:right="-19"/>
        <w:jc w:val="left"/>
        <w:rPr>
          <w:b w:val="0"/>
          <w:bCs w:val="0"/>
        </w:rPr>
      </w:pPr>
      <w:r>
        <w:rPr>
          <w:rFonts w:ascii="宋体" w:hAnsi="宋体" w:cs="宋体" w:eastAsia="宋体" w:hint="default"/>
        </w:rPr>
        <w:t>62</w:t>
      </w:r>
      <w:r>
        <w:rPr/>
        <w:t>、</w:t>
      </w:r>
      <w:r>
        <w:rPr>
          <w:spacing w:val="-23"/>
        </w:rPr>
        <w:t> </w:t>
      </w:r>
      <w:r>
        <w:rPr/>
        <w:t>资产处置收益</w:t>
      </w:r>
      <w:r>
        <w:rPr>
          <w:b w:val="0"/>
          <w:bCs w:val="0"/>
        </w:rPr>
      </w:r>
    </w:p>
    <w:p>
      <w:pPr>
        <w:pStyle w:val="BodyText"/>
        <w:spacing w:line="240" w:lineRule="auto" w:before="58"/>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479" w:val="left" w:leader="none"/>
        </w:tabs>
        <w:spacing w:line="240" w:lineRule="auto"/>
        <w:ind w:left="21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60" w:right="1560"/>
          <w:cols w:num="2" w:equalWidth="0">
            <w:col w:w="1989" w:space="4322"/>
            <w:col w:w="297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固定资产处置利得（损失）</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4,122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15,532</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4,122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15,532</w:t>
            </w:r>
          </w:p>
        </w:tc>
      </w:tr>
    </w:tbl>
    <w:p>
      <w:pPr>
        <w:spacing w:line="240" w:lineRule="auto" w:before="5"/>
        <w:rPr>
          <w:rFonts w:ascii="宋体" w:hAnsi="宋体" w:cs="宋体" w:eastAsia="宋体" w:hint="default"/>
          <w:sz w:val="15"/>
          <w:szCs w:val="15"/>
        </w:rPr>
      </w:pPr>
    </w:p>
    <w:p>
      <w:pPr>
        <w:pStyle w:val="BodyText"/>
        <w:spacing w:line="240" w:lineRule="auto" w:before="36"/>
        <w:ind w:left="217" w:right="7999"/>
        <w:jc w:val="left"/>
      </w:pPr>
      <w:r>
        <w:rPr/>
        <w:t>其他说明：</w:t>
      </w:r>
      <w:r>
        <w:rPr>
          <w:spacing w:val="-102"/>
        </w:rPr>
        <w:t> </w:t>
      </w:r>
      <w:r>
        <w:rPr>
          <w:spacing w:val="-102"/>
        </w:rPr>
      </w:r>
      <w:r>
        <w:rPr/>
        <w:t>无。</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320" w:bottom="1400" w:left="1060" w:right="1560"/>
        </w:sectPr>
      </w:pPr>
    </w:p>
    <w:p>
      <w:pPr>
        <w:spacing w:line="290" w:lineRule="auto" w:before="36"/>
        <w:ind w:left="217" w:right="104" w:firstLine="0"/>
        <w:jc w:val="left"/>
        <w:rPr>
          <w:rFonts w:ascii="宋体" w:hAnsi="宋体" w:cs="宋体" w:eastAsia="宋体" w:hint="default"/>
          <w:sz w:val="21"/>
          <w:szCs w:val="21"/>
        </w:rPr>
      </w:pPr>
      <w:r>
        <w:rPr>
          <w:rFonts w:ascii="宋体" w:hAnsi="宋体" w:cs="宋体" w:eastAsia="宋体" w:hint="default"/>
          <w:b/>
          <w:bCs/>
          <w:sz w:val="21"/>
          <w:szCs w:val="21"/>
        </w:rPr>
        <w:t>63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059" w:val="left" w:leader="none"/>
        </w:tabs>
        <w:spacing w:line="229" w:lineRule="exact"/>
        <w:ind w:left="21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1479" w:val="left" w:leader="none"/>
        </w:tabs>
        <w:spacing w:line="240" w:lineRule="auto"/>
        <w:ind w:left="21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60" w:right="1560"/>
          <w:cols w:num="2" w:equalWidth="0">
            <w:col w:w="1900" w:space="4410"/>
            <w:col w:w="2980"/>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46"/>
        <w:gridCol w:w="1843"/>
        <w:gridCol w:w="1700"/>
        <w:gridCol w:w="2561"/>
      </w:tblGrid>
      <w:tr>
        <w:trPr>
          <w:trHeight w:val="554"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计入当期非经常性损益的</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17</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r>
      <w:tr>
        <w:trPr>
          <w:trHeight w:val="281"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17</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r>
      <w:tr>
        <w:trPr>
          <w:trHeight w:val="283"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11,652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60,506</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11,652</w:t>
            </w:r>
          </w:p>
        </w:tc>
      </w:tr>
      <w:tr>
        <w:trPr>
          <w:trHeight w:val="281"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11,716</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8,000</w:t>
            </w:r>
          </w:p>
        </w:tc>
      </w:tr>
      <w:tr>
        <w:trPr>
          <w:trHeight w:val="283"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19,659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72,239</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19,659</w:t>
            </w:r>
          </w:p>
        </w:tc>
      </w:tr>
    </w:tbl>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320" w:bottom="1400" w:left="1060" w:right="1560"/>
        </w:sectPr>
      </w:pPr>
    </w:p>
    <w:p>
      <w:pPr>
        <w:pStyle w:val="BodyText"/>
        <w:spacing w:line="273" w:lineRule="exact" w:before="36"/>
        <w:ind w:left="217" w:right="0"/>
        <w:jc w:val="left"/>
      </w:pPr>
      <w:r>
        <w:rPr>
          <w:spacing w:val="-2"/>
        </w:rPr>
        <w:t>计入当期损益的政府补助</w:t>
      </w:r>
    </w:p>
    <w:p>
      <w:pPr>
        <w:pStyle w:val="BodyText"/>
        <w:spacing w:line="273" w:lineRule="exact"/>
        <w:ind w:left="2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1477" w:val="left" w:leader="none"/>
        </w:tabs>
        <w:spacing w:line="240" w:lineRule="auto"/>
        <w:ind w:left="217" w:right="0"/>
        <w:jc w:val="left"/>
      </w:pPr>
      <w:r>
        <w:rPr>
          <w:spacing w:val="-2"/>
        </w:rPr>
        <w:t>单位：千元</w:t>
        <w:tab/>
        <w:t>币种：人民币</w:t>
      </w:r>
      <w:r>
        <w:rPr/>
      </w:r>
    </w:p>
    <w:p>
      <w:pPr>
        <w:spacing w:after="0" w:line="240" w:lineRule="auto"/>
        <w:jc w:val="left"/>
        <w:sectPr>
          <w:type w:val="continuous"/>
          <w:pgSz w:w="11910" w:h="16840"/>
          <w:pgMar w:top="1320" w:bottom="1400" w:left="1060" w:right="1560"/>
          <w:cols w:num="2" w:equalWidth="0">
            <w:col w:w="2531" w:space="3781"/>
            <w:col w:w="2978"/>
          </w:cols>
        </w:sectPr>
      </w:pP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5502"/>
        <w:gridCol w:w="991"/>
        <w:gridCol w:w="994"/>
        <w:gridCol w:w="1575"/>
      </w:tblGrid>
      <w:tr>
        <w:trPr>
          <w:trHeight w:val="567" w:hRule="exact"/>
        </w:trPr>
        <w:tc>
          <w:tcPr>
            <w:tcW w:w="5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172" w:right="173"/>
              <w:jc w:val="left"/>
              <w:rPr>
                <w:rFonts w:ascii="宋体" w:hAnsi="宋体" w:cs="宋体" w:eastAsia="宋体" w:hint="default"/>
                <w:sz w:val="21"/>
                <w:szCs w:val="21"/>
              </w:rPr>
            </w:pPr>
            <w:r>
              <w:rPr>
                <w:rFonts w:ascii="宋体" w:hAnsi="宋体" w:cs="宋体" w:eastAsia="宋体" w:hint="default"/>
                <w:sz w:val="21"/>
                <w:szCs w:val="21"/>
              </w:rPr>
              <w:t>本期发</w:t>
            </w:r>
            <w:r>
              <w:rPr>
                <w:rFonts w:ascii="宋体" w:hAnsi="宋体" w:cs="宋体" w:eastAsia="宋体" w:hint="default"/>
                <w:spacing w:val="-102"/>
                <w:sz w:val="21"/>
                <w:szCs w:val="21"/>
              </w:rPr>
              <w:t> </w:t>
            </w:r>
            <w:r>
              <w:rPr>
                <w:rFonts w:ascii="宋体" w:hAnsi="宋体" w:cs="宋体" w:eastAsia="宋体" w:hint="default"/>
                <w:sz w:val="21"/>
                <w:szCs w:val="21"/>
              </w:rPr>
              <w:t>生金额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175" w:right="173"/>
              <w:jc w:val="left"/>
              <w:rPr>
                <w:rFonts w:ascii="宋体" w:hAnsi="宋体" w:cs="宋体" w:eastAsia="宋体" w:hint="default"/>
                <w:sz w:val="21"/>
                <w:szCs w:val="21"/>
              </w:rPr>
            </w:pPr>
            <w:r>
              <w:rPr>
                <w:rFonts w:ascii="宋体" w:hAnsi="宋体" w:cs="宋体" w:eastAsia="宋体" w:hint="default"/>
                <w:sz w:val="21"/>
                <w:szCs w:val="21"/>
              </w:rPr>
              <w:t>上期发</w:t>
            </w:r>
            <w:r>
              <w:rPr>
                <w:rFonts w:ascii="宋体" w:hAnsi="宋体" w:cs="宋体" w:eastAsia="宋体" w:hint="default"/>
                <w:spacing w:val="-102"/>
                <w:sz w:val="21"/>
                <w:szCs w:val="21"/>
              </w:rPr>
              <w:t> </w:t>
            </w:r>
            <w:r>
              <w:rPr>
                <w:rFonts w:ascii="宋体" w:hAnsi="宋体" w:cs="宋体" w:eastAsia="宋体" w:hint="default"/>
                <w:sz w:val="21"/>
                <w:szCs w:val="21"/>
              </w:rPr>
              <w:t>生金额</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255" w:right="203" w:hanging="51"/>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与收益相关</w:t>
            </w:r>
          </w:p>
        </w:tc>
      </w:tr>
      <w:tr>
        <w:trPr>
          <w:trHeight w:val="281" w:hRule="exact"/>
        </w:trPr>
        <w:tc>
          <w:tcPr>
            <w:tcW w:w="5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中关村科技园区石景山园区招商引资政策税收奖励款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10,253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27,859</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55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天津滨海高新技术开发区招商引资税收补贴奖励</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z w:val="21"/>
              </w:rPr>
              <w:t>29,871</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5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1,399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2,776</w:t>
            </w:r>
          </w:p>
        </w:tc>
        <w:tc>
          <w:tcPr>
            <w:tcW w:w="15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11,652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60,506</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10"/>
        <w:rPr>
          <w:rFonts w:ascii="宋体" w:hAnsi="宋体" w:cs="宋体" w:eastAsia="宋体" w:hint="default"/>
          <w:sz w:val="28"/>
          <w:szCs w:val="28"/>
        </w:rPr>
      </w:pPr>
    </w:p>
    <w:p>
      <w:pPr>
        <w:pStyle w:val="BodyText"/>
        <w:spacing w:line="240" w:lineRule="auto" w:before="36"/>
        <w:ind w:left="237" w:right="127"/>
        <w:jc w:val="left"/>
      </w:pPr>
      <w:r>
        <w:rPr/>
        <w:t>其他说明：</w:t>
      </w:r>
    </w:p>
    <w:p>
      <w:pPr>
        <w:pStyle w:val="BodyText"/>
        <w:spacing w:line="240" w:lineRule="auto" w:before="145"/>
        <w:ind w:left="237" w:right="127"/>
        <w:jc w:val="left"/>
      </w:pPr>
      <w:r>
        <w:rPr/>
        <w:t>□适用 √不适用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0" w:footer="1217" w:top="1320" w:bottom="1400" w:left="1040" w:right="1560"/>
        </w:sectPr>
      </w:pPr>
    </w:p>
    <w:p>
      <w:pPr>
        <w:pStyle w:val="Heading5"/>
        <w:spacing w:line="240" w:lineRule="auto" w:before="36"/>
        <w:ind w:left="237" w:right="-12"/>
        <w:jc w:val="left"/>
        <w:rPr>
          <w:b w:val="0"/>
          <w:bCs w:val="0"/>
        </w:rPr>
      </w:pPr>
      <w:r>
        <w:rPr>
          <w:rFonts w:ascii="宋体" w:hAnsi="宋体" w:cs="宋体" w:eastAsia="宋体" w:hint="default"/>
        </w:rPr>
        <w:t>64</w:t>
      </w:r>
      <w:r>
        <w:rPr/>
        <w:t>、</w:t>
      </w:r>
      <w:r>
        <w:rPr>
          <w:spacing w:val="-24"/>
        </w:rPr>
        <w:t> </w:t>
      </w:r>
      <w:r>
        <w:rPr/>
        <w:t>营业外支出</w:t>
      </w:r>
      <w:r>
        <w:rPr>
          <w:b w:val="0"/>
          <w:bCs w:val="0"/>
        </w:rPr>
      </w:r>
    </w:p>
    <w:p>
      <w:pPr>
        <w:pStyle w:val="BodyText"/>
        <w:tabs>
          <w:tab w:pos="1079" w:val="left" w:leader="none"/>
        </w:tabs>
        <w:spacing w:line="240" w:lineRule="auto" w:before="58"/>
        <w:ind w:left="23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1920" w:space="4390"/>
            <w:col w:w="3000"/>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229"/>
        <w:gridCol w:w="1985"/>
        <w:gridCol w:w="1519"/>
        <w:gridCol w:w="2317"/>
      </w:tblGrid>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1,355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502</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502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1,355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502</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公益性捐赠支出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3,267</w:t>
            </w:r>
          </w:p>
        </w:tc>
        <w:tc>
          <w:tcPr>
            <w:tcW w:w="1519"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3,267</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3,578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1,423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3,578</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7,347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2,778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7,347</w:t>
            </w:r>
          </w:p>
        </w:tc>
      </w:tr>
    </w:tbl>
    <w:p>
      <w:pPr>
        <w:spacing w:line="240" w:lineRule="auto" w:before="2"/>
        <w:rPr>
          <w:rFonts w:ascii="宋体" w:hAnsi="宋体" w:cs="宋体" w:eastAsia="宋体" w:hint="default"/>
          <w:sz w:val="20"/>
          <w:szCs w:val="20"/>
        </w:rPr>
      </w:pPr>
    </w:p>
    <w:p>
      <w:pPr>
        <w:pStyle w:val="BodyText"/>
        <w:spacing w:line="290" w:lineRule="auto" w:before="36"/>
        <w:ind w:left="237" w:right="7999"/>
        <w:jc w:val="left"/>
      </w:pPr>
      <w:r>
        <w:rPr/>
        <w:t>其他说明：</w:t>
      </w:r>
      <w:r>
        <w:rPr>
          <w:spacing w:val="-102"/>
        </w:rPr>
        <w:t> </w:t>
      </w:r>
      <w:r>
        <w:rPr>
          <w:spacing w:val="-102"/>
        </w:rPr>
      </w:r>
      <w:r>
        <w:rPr/>
        <w:t>无。</w:t>
      </w:r>
    </w:p>
    <w:p>
      <w:pPr>
        <w:spacing w:line="240" w:lineRule="auto" w:before="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20" w:bottom="1400" w:left="1040" w:right="1560"/>
        </w:sectPr>
      </w:pPr>
    </w:p>
    <w:p>
      <w:pPr>
        <w:pStyle w:val="Heading5"/>
        <w:spacing w:line="290" w:lineRule="auto" w:before="36"/>
        <w:ind w:left="237" w:right="-14"/>
        <w:jc w:val="left"/>
        <w:rPr>
          <w:b w:val="0"/>
          <w:bCs w:val="0"/>
        </w:rPr>
      </w:pPr>
      <w:r>
        <w:rPr>
          <w:rFonts w:ascii="宋体" w:hAnsi="宋体" w:cs="宋体" w:eastAsia="宋体" w:hint="default"/>
        </w:rPr>
        <w:t>65</w:t>
      </w:r>
      <w:r>
        <w:rPr/>
        <w:t>、</w:t>
      </w:r>
      <w:r>
        <w:rPr>
          <w:spacing w:val="-25"/>
        </w:rPr>
        <w:t> </w:t>
      </w:r>
      <w:r>
        <w:rPr/>
        <w:t>所得税费用</w:t>
      </w:r>
      <w:r>
        <w:rPr>
          <w:w w:val="100"/>
        </w:rPr>
        <w:t> </w:t>
      </w:r>
      <w:r>
        <w:rPr>
          <w:rFonts w:ascii="宋体" w:hAnsi="宋体" w:cs="宋体" w:eastAsia="宋体" w:hint="default"/>
        </w:rPr>
        <w:t>(1).</w:t>
      </w:r>
      <w:r>
        <w:rPr/>
        <w:t>所得税费用表</w:t>
      </w:r>
      <w:r>
        <w:rPr>
          <w:b w:val="0"/>
          <w:bCs w:val="0"/>
        </w:rPr>
      </w:r>
    </w:p>
    <w:p>
      <w:pPr>
        <w:pStyle w:val="BodyText"/>
        <w:spacing w:line="240" w:lineRule="auto" w:before="12"/>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1932" w:space="4378"/>
            <w:col w:w="3000"/>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290"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641,500</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641,839</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36,622</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z w:val="21"/>
              </w:rPr>
              <w:t>55,417</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678,122</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697,256</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320" w:bottom="1400" w:left="1040" w:right="1560"/>
        </w:sectPr>
      </w:pPr>
    </w:p>
    <w:p>
      <w:pPr>
        <w:pStyle w:val="Heading5"/>
        <w:spacing w:line="240" w:lineRule="auto" w:before="36"/>
        <w:ind w:left="237" w:right="-16"/>
        <w:jc w:val="left"/>
        <w:rPr>
          <w:b w:val="0"/>
          <w:bCs w:val="0"/>
        </w:rPr>
      </w:pPr>
      <w:r>
        <w:rPr>
          <w:rFonts w:ascii="宋体" w:hAnsi="宋体" w:cs="宋体" w:eastAsia="宋体" w:hint="default"/>
        </w:rPr>
        <w:t>(2).</w:t>
      </w:r>
      <w:r>
        <w:rPr/>
        <w:t>会计利润与所得税费用调整过程</w:t>
      </w:r>
      <w:r>
        <w:rPr>
          <w:b w:val="0"/>
          <w:bCs w:val="0"/>
        </w:rPr>
      </w:r>
    </w:p>
    <w:p>
      <w:pPr>
        <w:pStyle w:val="BodyText"/>
        <w:spacing w:line="240" w:lineRule="auto" w:before="58"/>
        <w:ind w:left="23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3617" w:space="2693"/>
            <w:col w:w="3000"/>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6635"/>
        <w:gridCol w:w="2422"/>
      </w:tblGrid>
      <w:tr>
        <w:trPr>
          <w:trHeight w:val="281"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22"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679" w:right="0"/>
              <w:jc w:val="left"/>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3"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422"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4,186,420</w:t>
            </w:r>
          </w:p>
        </w:tc>
      </w:tr>
      <w:tr>
        <w:trPr>
          <w:trHeight w:val="288"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1,046,605</w:t>
            </w:r>
          </w:p>
        </w:tc>
      </w:tr>
      <w:tr>
        <w:trPr>
          <w:trHeight w:val="286"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(413,345)</w:t>
            </w:r>
          </w:p>
        </w:tc>
      </w:tr>
      <w:tr>
        <w:trPr>
          <w:trHeight w:val="288"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(7,280)</w:t>
            </w:r>
          </w:p>
        </w:tc>
      </w:tr>
      <w:tr>
        <w:trPr>
          <w:trHeight w:val="290" w:hRule="exact"/>
        </w:trPr>
        <w:tc>
          <w:tcPr>
            <w:tcW w:w="6635"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106" w:right="0"/>
              <w:jc w:val="left"/>
              <w:rPr>
                <w:rFonts w:ascii="宋体" w:hAnsi="宋体" w:cs="宋体" w:eastAsia="宋体" w:hint="default"/>
                <w:sz w:val="21"/>
                <w:szCs w:val="21"/>
              </w:rPr>
            </w:pPr>
            <w:r>
              <w:rPr>
                <w:rFonts w:ascii="宋体" w:hAnsi="宋体" w:cs="宋体" w:eastAsia="宋体" w:hint="default"/>
                <w:sz w:val="21"/>
                <w:szCs w:val="21"/>
              </w:rPr>
              <w:t>研发费用的加计扣除</w:t>
            </w: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(72,853)</w:t>
            </w:r>
          </w:p>
        </w:tc>
      </w:tr>
      <w:tr>
        <w:trPr>
          <w:trHeight w:val="286" w:hRule="exact"/>
        </w:trPr>
        <w:tc>
          <w:tcPr>
            <w:tcW w:w="6635"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(33,779)</w:t>
            </w:r>
          </w:p>
        </w:tc>
      </w:tr>
      <w:tr>
        <w:trPr>
          <w:trHeight w:val="286"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48,006</w:t>
            </w:r>
          </w:p>
        </w:tc>
      </w:tr>
      <w:tr>
        <w:trPr>
          <w:trHeight w:val="288"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(18,847)</w:t>
            </w:r>
          </w:p>
        </w:tc>
      </w:tr>
    </w:tbl>
    <w:p>
      <w:pPr>
        <w:spacing w:after="0" w:line="246" w:lineRule="exact"/>
        <w:jc w:val="right"/>
        <w:rPr>
          <w:rFonts w:ascii="宋体" w:hAnsi="宋体" w:cs="宋体" w:eastAsia="宋体" w:hint="default"/>
          <w:sz w:val="21"/>
          <w:szCs w:val="21"/>
        </w:rPr>
        <w:sectPr>
          <w:type w:val="continuous"/>
          <w:pgSz w:w="11910" w:h="16840"/>
          <w:pgMar w:top="1320" w:bottom="1400" w:left="1040" w:right="1560"/>
        </w:sectPr>
      </w:pP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6635"/>
        <w:gridCol w:w="2422"/>
      </w:tblGrid>
      <w:tr>
        <w:trPr>
          <w:trHeight w:val="284"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22"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679" w:right="0"/>
              <w:jc w:val="left"/>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129,615</w:t>
            </w:r>
          </w:p>
        </w:tc>
      </w:tr>
      <w:tr>
        <w:trPr>
          <w:trHeight w:val="288"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678,122</w:t>
            </w:r>
          </w:p>
        </w:tc>
      </w:tr>
    </w:tbl>
    <w:p>
      <w:pPr>
        <w:spacing w:line="240" w:lineRule="auto" w:before="4"/>
        <w:rPr>
          <w:rFonts w:ascii="宋体" w:hAnsi="宋体" w:cs="宋体" w:eastAsia="宋体" w:hint="default"/>
          <w:sz w:val="20"/>
          <w:szCs w:val="20"/>
        </w:rPr>
      </w:pPr>
    </w:p>
    <w:p>
      <w:pPr>
        <w:pStyle w:val="BodyText"/>
        <w:spacing w:line="240" w:lineRule="auto" w:before="36"/>
        <w:ind w:left="237" w:right="127"/>
        <w:jc w:val="left"/>
      </w:pPr>
      <w:r>
        <w:rPr/>
        <w:t>其他说明：</w:t>
      </w:r>
    </w:p>
    <w:p>
      <w:pPr>
        <w:pStyle w:val="BodyText"/>
        <w:spacing w:line="240" w:lineRule="auto" w:before="56"/>
        <w:ind w:left="237" w:right="127"/>
        <w:jc w:val="left"/>
      </w:pPr>
      <w:r>
        <w:rPr/>
        <w:t>□适用 √不适用</w:t>
      </w:r>
    </w:p>
    <w:p>
      <w:pPr>
        <w:spacing w:line="240" w:lineRule="auto" w:before="0"/>
        <w:rPr>
          <w:rFonts w:ascii="宋体" w:hAnsi="宋体" w:cs="宋体" w:eastAsia="宋体" w:hint="default"/>
          <w:sz w:val="20"/>
          <w:szCs w:val="20"/>
        </w:rPr>
      </w:pPr>
    </w:p>
    <w:p>
      <w:pPr>
        <w:pStyle w:val="Heading5"/>
        <w:spacing w:line="240" w:lineRule="auto" w:before="166"/>
        <w:ind w:left="237" w:right="127"/>
        <w:jc w:val="left"/>
        <w:rPr>
          <w:b w:val="0"/>
          <w:bCs w:val="0"/>
        </w:rPr>
      </w:pPr>
      <w:r>
        <w:rPr>
          <w:rFonts w:ascii="宋体" w:hAnsi="宋体" w:cs="宋体" w:eastAsia="宋体" w:hint="default"/>
        </w:rPr>
        <w:t>66</w:t>
      </w:r>
      <w:r>
        <w:rPr/>
        <w:t>、</w:t>
      </w:r>
      <w:r>
        <w:rPr>
          <w:spacing w:val="-23"/>
        </w:rPr>
        <w:t> </w:t>
      </w:r>
      <w:r>
        <w:rPr/>
        <w:t>其他综合收益</w:t>
      </w:r>
      <w:r>
        <w:rPr>
          <w:b w:val="0"/>
          <w:bCs w:val="0"/>
        </w:rPr>
      </w:r>
    </w:p>
    <w:p>
      <w:pPr>
        <w:pStyle w:val="BodyText"/>
        <w:spacing w:line="272" w:lineRule="exact" w:before="86"/>
        <w:ind w:left="237" w:right="7168"/>
        <w:jc w:val="left"/>
      </w:pPr>
      <w:r>
        <w:rPr/>
        <w:t>√适用</w:t>
      </w:r>
      <w:r>
        <w:rPr>
          <w:spacing w:val="-1"/>
        </w:rPr>
        <w:t> </w:t>
      </w:r>
      <w:r>
        <w:rPr/>
        <w:t>□不适用</w:t>
      </w:r>
      <w:r>
        <w:rPr>
          <w:w w:val="100"/>
        </w:rPr>
        <w:t> </w:t>
      </w:r>
      <w:r>
        <w:rPr>
          <w:spacing w:val="-2"/>
        </w:rPr>
        <w:t>详见附注七、</w:t>
      </w:r>
      <w:r>
        <w:rPr>
          <w:rFonts w:ascii="宋体" w:hAnsi="宋体" w:cs="宋体" w:eastAsia="宋体" w:hint="default"/>
          <w:spacing w:val="-2"/>
        </w:rPr>
        <w:t>48</w:t>
      </w:r>
      <w:r>
        <w:rPr>
          <w:spacing w:val="-2"/>
        </w:rPr>
        <w:t>。</w:t>
      </w:r>
    </w:p>
    <w:p>
      <w:pPr>
        <w:spacing w:line="240" w:lineRule="auto" w:before="9"/>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217" w:top="1320" w:bottom="1400" w:left="1040" w:right="1560"/>
        </w:sectPr>
      </w:pPr>
    </w:p>
    <w:p>
      <w:pPr>
        <w:pStyle w:val="Heading5"/>
        <w:spacing w:line="290" w:lineRule="auto" w:before="36"/>
        <w:ind w:left="237" w:right="-15"/>
        <w:jc w:val="left"/>
        <w:rPr>
          <w:b w:val="0"/>
          <w:bCs w:val="0"/>
        </w:rPr>
      </w:pPr>
      <w:r>
        <w:rPr>
          <w:rFonts w:ascii="宋体" w:hAnsi="宋体" w:cs="宋体" w:eastAsia="宋体" w:hint="default"/>
        </w:rPr>
        <w:t>67</w:t>
      </w:r>
      <w:r>
        <w:rPr/>
        <w:t>、</w:t>
      </w:r>
      <w:r>
        <w:rPr>
          <w:spacing w:val="-25"/>
        </w:rPr>
        <w:t> </w:t>
      </w:r>
      <w:r>
        <w:rPr/>
        <w:t>现金流量表项目</w:t>
      </w:r>
      <w:r>
        <w:rPr>
          <w:spacing w:val="-104"/>
        </w:rPr>
        <w:t> </w:t>
      </w:r>
      <w:r>
        <w:rPr>
          <w:spacing w:val="-104"/>
        </w:rPr>
      </w:r>
      <w:r>
        <w:rPr>
          <w:rFonts w:ascii="宋体" w:hAnsi="宋体" w:cs="宋体" w:eastAsia="宋体" w:hint="default"/>
        </w:rPr>
        <w:t>(1).</w:t>
      </w:r>
      <w:r>
        <w:rPr/>
        <w:t>收到的其他与经营活动有关的现金</w:t>
      </w:r>
      <w:r>
        <w:rPr>
          <w:b w:val="0"/>
          <w:bCs w:val="0"/>
        </w:rPr>
      </w:r>
    </w:p>
    <w:p>
      <w:pPr>
        <w:pStyle w:val="BodyText"/>
        <w:spacing w:line="240" w:lineRule="auto" w:before="14"/>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3828" w:space="2482"/>
            <w:col w:w="3000"/>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收到的往来款</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81,438</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829,165</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收到的政府补助</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53,405</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80,347</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收到的利息收入</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z w:val="21"/>
              </w:rPr>
              <w:t>38,814</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sz w:val="21"/>
              </w:rPr>
              <w:t>42,693</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收到的押金、保证金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279,692</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262,060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15,718</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107,786</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469,067</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1,322,051</w:t>
            </w:r>
          </w:p>
        </w:tc>
      </w:tr>
    </w:tbl>
    <w:p>
      <w:pPr>
        <w:spacing w:line="240" w:lineRule="auto" w:before="2"/>
        <w:rPr>
          <w:rFonts w:ascii="宋体" w:hAnsi="宋体" w:cs="宋体" w:eastAsia="宋体" w:hint="default"/>
          <w:sz w:val="20"/>
          <w:szCs w:val="20"/>
        </w:rPr>
      </w:pPr>
    </w:p>
    <w:p>
      <w:pPr>
        <w:pStyle w:val="BodyText"/>
        <w:spacing w:line="290" w:lineRule="auto" w:before="36"/>
        <w:ind w:left="237" w:right="4925"/>
        <w:jc w:val="left"/>
      </w:pPr>
      <w:r>
        <w:rPr>
          <w:spacing w:val="-2"/>
        </w:rPr>
        <w:t>收到的其他与经营活动有关的现金说明：</w:t>
      </w:r>
      <w:r>
        <w:rPr>
          <w:spacing w:val="-69"/>
        </w:rPr>
        <w:t> </w:t>
      </w:r>
      <w:r>
        <w:rPr>
          <w:spacing w:val="-69"/>
        </w:rPr>
      </w:r>
      <w:r>
        <w:rPr/>
        <w:t>无。</w:t>
      </w:r>
    </w:p>
    <w:p>
      <w:pPr>
        <w:spacing w:line="240" w:lineRule="auto" w:before="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20" w:bottom="1400" w:left="1040" w:right="1560"/>
        </w:sectPr>
      </w:pPr>
    </w:p>
    <w:p>
      <w:pPr>
        <w:pStyle w:val="Heading5"/>
        <w:spacing w:line="240" w:lineRule="auto" w:before="36"/>
        <w:ind w:left="237" w:right="-15"/>
        <w:jc w:val="left"/>
        <w:rPr>
          <w:b w:val="0"/>
          <w:bCs w:val="0"/>
        </w:rPr>
      </w:pPr>
      <w:r>
        <w:rPr>
          <w:rFonts w:ascii="宋体" w:hAnsi="宋体" w:cs="宋体" w:eastAsia="宋体" w:hint="default"/>
        </w:rPr>
        <w:t>(2).</w:t>
      </w:r>
      <w:r>
        <w:rPr/>
        <w:t>支付的其他与经营活动有关的现金</w:t>
      </w:r>
      <w:r>
        <w:rPr>
          <w:b w:val="0"/>
          <w:bCs w:val="0"/>
        </w:rPr>
      </w:r>
    </w:p>
    <w:p>
      <w:pPr>
        <w:pStyle w:val="BodyText"/>
        <w:spacing w:line="240" w:lineRule="auto" w:before="58"/>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3828" w:space="2482"/>
            <w:col w:w="3000"/>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支付的往来款</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146,810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743,560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支付的押金、保证金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308,584</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179,177</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管理费用支出</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373,783</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249,677</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研发费用支出</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85,588</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46,610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销售费用支出</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115,582</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45,317</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31,254</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59,505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1,061,601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1,323,846</w:t>
            </w:r>
          </w:p>
        </w:tc>
      </w:tr>
    </w:tbl>
    <w:p>
      <w:pPr>
        <w:spacing w:line="240" w:lineRule="auto" w:before="12"/>
        <w:rPr>
          <w:rFonts w:ascii="宋体" w:hAnsi="宋体" w:cs="宋体" w:eastAsia="宋体" w:hint="default"/>
          <w:sz w:val="19"/>
          <w:szCs w:val="19"/>
        </w:rPr>
      </w:pPr>
    </w:p>
    <w:p>
      <w:pPr>
        <w:pStyle w:val="BodyText"/>
        <w:spacing w:line="290" w:lineRule="auto" w:before="36"/>
        <w:ind w:left="237" w:right="4925"/>
        <w:jc w:val="left"/>
      </w:pPr>
      <w:r>
        <w:rPr>
          <w:spacing w:val="-2"/>
        </w:rPr>
        <w:t>支付的其他与经营活动有关的现金说明：</w:t>
      </w:r>
      <w:r>
        <w:rPr>
          <w:spacing w:val="-69"/>
        </w:rPr>
        <w:t> </w:t>
      </w:r>
      <w:r>
        <w:rPr>
          <w:spacing w:val="-69"/>
        </w:rPr>
      </w:r>
      <w:r>
        <w:rPr/>
        <w:t>无。</w:t>
      </w:r>
    </w:p>
    <w:p>
      <w:pPr>
        <w:spacing w:line="240" w:lineRule="auto" w:before="6"/>
        <w:rPr>
          <w:rFonts w:ascii="宋体" w:hAnsi="宋体" w:cs="宋体" w:eastAsia="宋体" w:hint="default"/>
          <w:sz w:val="28"/>
          <w:szCs w:val="28"/>
        </w:rPr>
      </w:pPr>
    </w:p>
    <w:p>
      <w:pPr>
        <w:pStyle w:val="Heading5"/>
        <w:spacing w:line="240" w:lineRule="auto"/>
        <w:ind w:left="237" w:right="127"/>
        <w:jc w:val="left"/>
        <w:rPr>
          <w:b w:val="0"/>
          <w:bCs w:val="0"/>
        </w:rPr>
      </w:pPr>
      <w:r>
        <w:rPr>
          <w:rFonts w:ascii="宋体" w:hAnsi="宋体" w:cs="宋体" w:eastAsia="宋体" w:hint="default"/>
        </w:rPr>
        <w:t>(3).</w:t>
      </w:r>
      <w:r>
        <w:rPr/>
        <w:t>收到的其他与投资活动有关的现金</w:t>
      </w:r>
      <w:r>
        <w:rPr>
          <w:b w:val="0"/>
          <w:bCs w:val="0"/>
        </w:rPr>
      </w:r>
    </w:p>
    <w:p>
      <w:pPr>
        <w:pStyle w:val="BodyText"/>
        <w:spacing w:line="240" w:lineRule="auto" w:before="58"/>
        <w:ind w:left="237" w:right="127"/>
        <w:jc w:val="left"/>
      </w:pPr>
      <w:r>
        <w:rPr/>
        <w:t>√适用 □不适用</w:t>
      </w:r>
    </w:p>
    <w:p>
      <w:pPr>
        <w:spacing w:line="240" w:lineRule="auto" w:before="12"/>
        <w:rPr>
          <w:rFonts w:ascii="宋体" w:hAnsi="宋体" w:cs="宋体" w:eastAsia="宋体" w:hint="default"/>
          <w:sz w:val="17"/>
          <w:szCs w:val="17"/>
        </w:rPr>
      </w:pPr>
    </w:p>
    <w:p>
      <w:pPr>
        <w:pStyle w:val="BodyText"/>
        <w:tabs>
          <w:tab w:pos="1262" w:val="left" w:leader="none"/>
        </w:tabs>
        <w:spacing w:line="240" w:lineRule="auto" w:before="36"/>
        <w:ind w:left="0" w:right="231"/>
        <w:jc w:val="right"/>
      </w:pPr>
      <w:r>
        <w:rPr>
          <w:spacing w:val="-1"/>
        </w:rPr>
        <w:t>单位：千元</w:t>
        <w:tab/>
      </w:r>
      <w:r>
        <w:rPr>
          <w:spacing w:val="-2"/>
        </w:rPr>
        <w:t>币种</w:t>
      </w:r>
      <w:r>
        <w:rPr>
          <w:rFonts w:ascii="宋体" w:hAnsi="宋体" w:cs="宋体" w:eastAsia="宋体" w:hint="default"/>
          <w:spacing w:val="-2"/>
        </w:rPr>
        <w:t>:</w:t>
      </w:r>
      <w:r>
        <w:rPr>
          <w:spacing w:val="-2"/>
        </w:rPr>
        <w:t>人民币</w:t>
      </w:r>
    </w:p>
    <w:p>
      <w:pPr>
        <w:spacing w:after="0" w:line="240" w:lineRule="auto"/>
        <w:jc w:val="right"/>
        <w:sectPr>
          <w:type w:val="continuous"/>
          <w:pgSz w:w="11910" w:h="16840"/>
          <w:pgMar w:top="1320" w:bottom="1400" w:left="1040" w:right="1560"/>
        </w:sectPr>
      </w:pP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4650"/>
        <w:gridCol w:w="2268"/>
        <w:gridCol w:w="2144"/>
      </w:tblGrid>
      <w:tr>
        <w:trPr>
          <w:trHeight w:val="284"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收回限制性资金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13,540</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84,966</w:t>
            </w:r>
          </w:p>
        </w:tc>
      </w:tr>
      <w:tr>
        <w:trPr>
          <w:trHeight w:val="28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收回原到期日超过三个月的定期存款取得的现金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8,034,000</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3,442,000</w:t>
            </w:r>
          </w:p>
        </w:tc>
      </w:tr>
      <w:tr>
        <w:trPr>
          <w:trHeight w:val="28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赎回理财产品收到的现金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1,063,552</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20,134,258</w:t>
            </w: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反向购买收到的现金及现金等价物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1,691,132</w:t>
            </w:r>
          </w:p>
        </w:tc>
        <w:tc>
          <w:tcPr>
            <w:tcW w:w="21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1,400</w:t>
            </w:r>
          </w:p>
        </w:tc>
      </w:tr>
      <w:tr>
        <w:trPr>
          <w:trHeight w:val="28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10,802,224</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23,662,624</w:t>
            </w:r>
          </w:p>
        </w:tc>
      </w:tr>
    </w:tbl>
    <w:p>
      <w:pPr>
        <w:spacing w:line="240" w:lineRule="auto" w:before="12"/>
        <w:rPr>
          <w:rFonts w:ascii="宋体" w:hAnsi="宋体" w:cs="宋体" w:eastAsia="宋体" w:hint="default"/>
          <w:sz w:val="19"/>
          <w:szCs w:val="19"/>
        </w:rPr>
      </w:pPr>
    </w:p>
    <w:p>
      <w:pPr>
        <w:pStyle w:val="BodyText"/>
        <w:spacing w:line="290" w:lineRule="auto" w:before="36"/>
        <w:ind w:left="237" w:right="4925"/>
        <w:jc w:val="left"/>
      </w:pPr>
      <w:r>
        <w:rPr>
          <w:spacing w:val="-2"/>
        </w:rPr>
        <w:t>收到的其他与投资活动有关的现金说明：</w:t>
      </w:r>
      <w:r>
        <w:rPr>
          <w:spacing w:val="-69"/>
        </w:rPr>
        <w:t> </w:t>
      </w:r>
      <w:r>
        <w:rPr>
          <w:spacing w:val="-69"/>
        </w:rPr>
      </w:r>
      <w:r>
        <w:rPr/>
        <w:t>无。</w:t>
      </w:r>
    </w:p>
    <w:p>
      <w:pPr>
        <w:spacing w:line="240" w:lineRule="auto" w:before="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217" w:top="1320" w:bottom="1400" w:left="1040" w:right="1560"/>
        </w:sectPr>
      </w:pPr>
    </w:p>
    <w:p>
      <w:pPr>
        <w:pStyle w:val="Heading5"/>
        <w:spacing w:line="240" w:lineRule="auto" w:before="36"/>
        <w:ind w:left="237" w:right="-15"/>
        <w:jc w:val="left"/>
        <w:rPr>
          <w:b w:val="0"/>
          <w:bCs w:val="0"/>
        </w:rPr>
      </w:pPr>
      <w:r>
        <w:rPr>
          <w:rFonts w:ascii="宋体" w:hAnsi="宋体" w:cs="宋体" w:eastAsia="宋体" w:hint="default"/>
        </w:rPr>
        <w:t>(4).</w:t>
      </w:r>
      <w:r>
        <w:rPr/>
        <w:t>支付的其他与投资活动有关的现金</w:t>
      </w:r>
      <w:r>
        <w:rPr>
          <w:b w:val="0"/>
          <w:bCs w:val="0"/>
        </w:rPr>
      </w:r>
    </w:p>
    <w:p>
      <w:pPr>
        <w:pStyle w:val="BodyText"/>
        <w:spacing w:line="240" w:lineRule="auto" w:before="56"/>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3828" w:space="2482"/>
            <w:col w:w="3000"/>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支付限制性资金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1,276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193,525</w:t>
            </w:r>
          </w:p>
        </w:tc>
      </w:tr>
      <w:tr>
        <w:trPr>
          <w:trHeight w:val="55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购买原到期日超过三个月的定期存</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款支付的现金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spacing w:val="-1"/>
                <w:sz w:val="21"/>
              </w:rPr>
              <w:t>13,511,499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5"/>
              <w:jc w:val="right"/>
              <w:rPr>
                <w:rFonts w:ascii="宋体" w:hAnsi="宋体" w:cs="宋体" w:eastAsia="宋体" w:hint="default"/>
                <w:sz w:val="21"/>
                <w:szCs w:val="21"/>
              </w:rPr>
            </w:pPr>
            <w:r>
              <w:rPr>
                <w:rFonts w:ascii="宋体"/>
                <w:spacing w:val="-1"/>
                <w:sz w:val="21"/>
              </w:rPr>
              <w:t>9,713,500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购买理财产品支付的现金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1,018,351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5,342,643</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视同处置子公司支付的现金净额</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6,767</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14,531,126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15,256,435</w:t>
            </w:r>
          </w:p>
        </w:tc>
      </w:tr>
    </w:tbl>
    <w:p>
      <w:pPr>
        <w:spacing w:line="240" w:lineRule="auto" w:before="12"/>
        <w:rPr>
          <w:rFonts w:ascii="宋体" w:hAnsi="宋体" w:cs="宋体" w:eastAsia="宋体" w:hint="default"/>
          <w:sz w:val="19"/>
          <w:szCs w:val="19"/>
        </w:rPr>
      </w:pPr>
    </w:p>
    <w:p>
      <w:pPr>
        <w:pStyle w:val="BodyText"/>
        <w:spacing w:line="292" w:lineRule="auto" w:before="36"/>
        <w:ind w:left="237" w:right="4925"/>
        <w:jc w:val="left"/>
      </w:pPr>
      <w:r>
        <w:rPr>
          <w:spacing w:val="-2"/>
        </w:rPr>
        <w:t>支付的其他与投资活动有关的现金说明：</w:t>
      </w:r>
      <w:r>
        <w:rPr>
          <w:spacing w:val="-69"/>
        </w:rPr>
        <w:t> </w:t>
      </w:r>
      <w:r>
        <w:rPr>
          <w:spacing w:val="-69"/>
        </w:rPr>
      </w:r>
      <w:r>
        <w:rPr/>
        <w:t>无。</w:t>
      </w:r>
    </w:p>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320" w:bottom="1400" w:left="1040" w:right="1560"/>
        </w:sectPr>
      </w:pPr>
    </w:p>
    <w:p>
      <w:pPr>
        <w:pStyle w:val="Heading5"/>
        <w:spacing w:line="240" w:lineRule="auto" w:before="36"/>
        <w:ind w:left="237" w:right="-15"/>
        <w:jc w:val="left"/>
        <w:rPr>
          <w:b w:val="0"/>
          <w:bCs w:val="0"/>
        </w:rPr>
      </w:pPr>
      <w:r>
        <w:rPr>
          <w:rFonts w:ascii="宋体" w:hAnsi="宋体" w:cs="宋体" w:eastAsia="宋体" w:hint="default"/>
        </w:rPr>
        <w:t>(5).</w:t>
      </w:r>
      <w:r>
        <w:rPr/>
        <w:t>收到的其他与筹资活动有关的现金</w:t>
      </w:r>
      <w:r>
        <w:rPr>
          <w:b w:val="0"/>
          <w:bCs w:val="0"/>
        </w:rPr>
      </w:r>
    </w:p>
    <w:p>
      <w:pPr>
        <w:pStyle w:val="BodyText"/>
        <w:spacing w:line="240" w:lineRule="auto" w:before="56"/>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3828" w:space="2482"/>
            <w:col w:w="3000"/>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吸收合并收到的现金</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515,991</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515,991</w:t>
            </w:r>
          </w:p>
        </w:tc>
      </w:tr>
    </w:tbl>
    <w:p>
      <w:pPr>
        <w:spacing w:line="240" w:lineRule="auto" w:before="2"/>
        <w:rPr>
          <w:rFonts w:ascii="宋体" w:hAnsi="宋体" w:cs="宋体" w:eastAsia="宋体" w:hint="default"/>
          <w:sz w:val="20"/>
          <w:szCs w:val="20"/>
        </w:rPr>
      </w:pPr>
    </w:p>
    <w:p>
      <w:pPr>
        <w:pStyle w:val="BodyText"/>
        <w:spacing w:line="290" w:lineRule="auto" w:before="36"/>
        <w:ind w:left="237" w:right="4925"/>
        <w:jc w:val="left"/>
      </w:pPr>
      <w:r>
        <w:rPr>
          <w:spacing w:val="-2"/>
        </w:rPr>
        <w:t>收到的其他与筹资活动有关的现金说明：</w:t>
      </w:r>
      <w:r>
        <w:rPr>
          <w:spacing w:val="-69"/>
        </w:rPr>
        <w:t> </w:t>
      </w:r>
      <w:r>
        <w:rPr>
          <w:spacing w:val="-69"/>
        </w:rPr>
      </w:r>
      <w:r>
        <w:rPr/>
        <w:t>无。</w:t>
      </w:r>
    </w:p>
    <w:p>
      <w:pPr>
        <w:spacing w:line="240" w:lineRule="auto" w:before="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20" w:bottom="1400" w:left="1040" w:right="1560"/>
        </w:sectPr>
      </w:pPr>
    </w:p>
    <w:p>
      <w:pPr>
        <w:pStyle w:val="Heading5"/>
        <w:spacing w:line="240" w:lineRule="auto" w:before="36"/>
        <w:ind w:left="237" w:right="-15"/>
        <w:jc w:val="left"/>
        <w:rPr>
          <w:b w:val="0"/>
          <w:bCs w:val="0"/>
        </w:rPr>
      </w:pPr>
      <w:r>
        <w:rPr>
          <w:rFonts w:ascii="宋体" w:hAnsi="宋体" w:cs="宋体" w:eastAsia="宋体" w:hint="default"/>
        </w:rPr>
        <w:t>(6).</w:t>
      </w:r>
      <w:r>
        <w:rPr/>
        <w:t>支付的其他与筹资活动有关的现金</w:t>
      </w:r>
      <w:r>
        <w:rPr>
          <w:b w:val="0"/>
          <w:bCs w:val="0"/>
        </w:rPr>
      </w:r>
    </w:p>
    <w:p>
      <w:pPr>
        <w:pStyle w:val="BodyText"/>
        <w:spacing w:line="240" w:lineRule="auto" w:before="58"/>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3828" w:space="2482"/>
            <w:col w:w="3000"/>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367"/>
        <w:gridCol w:w="2410"/>
        <w:gridCol w:w="2285"/>
      </w:tblGrid>
      <w:tr>
        <w:trPr>
          <w:trHeight w:val="283" w:hRule="exact"/>
        </w:trPr>
        <w:tc>
          <w:tcPr>
            <w:tcW w:w="4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同一控制下企业合并支付的现金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195,345</w:t>
            </w:r>
          </w:p>
        </w:tc>
      </w:tr>
      <w:tr>
        <w:trPr>
          <w:trHeight w:val="283" w:hRule="exact"/>
        </w:trPr>
        <w:tc>
          <w:tcPr>
            <w:tcW w:w="4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购买子公司少数股东权益支付的现金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201,000</w:t>
            </w:r>
          </w:p>
        </w:tc>
      </w:tr>
      <w:tr>
        <w:trPr>
          <w:trHeight w:val="281" w:hRule="exact"/>
        </w:trPr>
        <w:tc>
          <w:tcPr>
            <w:tcW w:w="4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子公司向少数股东支付的减资款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226,761</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161,128</w:t>
            </w:r>
          </w:p>
        </w:tc>
      </w:tr>
      <w:tr>
        <w:trPr>
          <w:trHeight w:val="283" w:hRule="exact"/>
        </w:trPr>
        <w:tc>
          <w:tcPr>
            <w:tcW w:w="43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z w:val="21"/>
              </w:rPr>
              <w:t>1,653</w:t>
            </w: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228,414</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557,473</w:t>
            </w:r>
          </w:p>
        </w:tc>
      </w:tr>
    </w:tbl>
    <w:p>
      <w:pPr>
        <w:spacing w:line="240" w:lineRule="auto" w:before="13"/>
        <w:rPr>
          <w:rFonts w:ascii="宋体" w:hAnsi="宋体" w:cs="宋体" w:eastAsia="宋体" w:hint="default"/>
          <w:sz w:val="19"/>
          <w:szCs w:val="19"/>
        </w:rPr>
      </w:pPr>
    </w:p>
    <w:p>
      <w:pPr>
        <w:pStyle w:val="BodyText"/>
        <w:spacing w:line="240" w:lineRule="auto" w:before="36"/>
        <w:ind w:left="237" w:right="127"/>
        <w:jc w:val="left"/>
      </w:pPr>
      <w:r>
        <w:rPr/>
        <w:t>支付的其他与筹资活动有关的现金说明：</w:t>
      </w:r>
    </w:p>
    <w:p>
      <w:pPr>
        <w:spacing w:after="0" w:line="240" w:lineRule="auto"/>
        <w:jc w:val="left"/>
        <w:sectPr>
          <w:type w:val="continuous"/>
          <w:pgSz w:w="11910" w:h="16840"/>
          <w:pgMar w:top="1320" w:bottom="1400" w:left="1040" w:right="1560"/>
        </w:sectPr>
      </w:pPr>
    </w:p>
    <w:p>
      <w:pPr>
        <w:pStyle w:val="BodyText"/>
        <w:spacing w:line="240" w:lineRule="auto" w:before="72"/>
        <w:ind w:left="217" w:right="234"/>
        <w:jc w:val="left"/>
      </w:pPr>
      <w:r>
        <w:rPr/>
        <w:t>无。</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217" w:top="1320" w:bottom="1400" w:left="1060" w:right="1560"/>
        </w:sectPr>
      </w:pPr>
    </w:p>
    <w:p>
      <w:pPr>
        <w:pStyle w:val="Heading5"/>
        <w:spacing w:line="290" w:lineRule="auto" w:before="36"/>
        <w:ind w:left="217" w:right="-18"/>
        <w:jc w:val="left"/>
        <w:rPr>
          <w:b w:val="0"/>
          <w:bCs w:val="0"/>
        </w:rPr>
      </w:pPr>
      <w:r>
        <w:rPr>
          <w:rFonts w:ascii="宋体" w:hAnsi="宋体" w:cs="宋体" w:eastAsia="宋体" w:hint="default"/>
        </w:rPr>
        <w:t>68</w:t>
      </w:r>
      <w:r>
        <w:rPr/>
        <w:t>、</w:t>
      </w:r>
      <w:r>
        <w:rPr>
          <w:spacing w:val="-23"/>
        </w:rPr>
        <w:t> </w:t>
      </w:r>
      <w:r>
        <w:rPr/>
        <w:t>现金流量表补充资料</w:t>
      </w:r>
      <w:r>
        <w:rPr>
          <w:w w:val="100"/>
        </w:rPr>
        <w:t> </w:t>
      </w:r>
      <w:r>
        <w:rPr>
          <w:rFonts w:ascii="宋体" w:hAnsi="宋体" w:cs="宋体" w:eastAsia="宋体" w:hint="default"/>
        </w:rPr>
        <w:t>(1).</w:t>
      </w:r>
      <w:r>
        <w:rPr/>
        <w:t>现金流量表补充资料</w:t>
      </w:r>
      <w:r>
        <w:rPr>
          <w:b w:val="0"/>
          <w:bCs w:val="0"/>
        </w:rPr>
      </w:r>
    </w:p>
    <w:p>
      <w:pPr>
        <w:pStyle w:val="BodyText"/>
        <w:tabs>
          <w:tab w:pos="1059" w:val="left" w:leader="none"/>
        </w:tabs>
        <w:spacing w:line="240" w:lineRule="auto" w:before="12"/>
        <w:ind w:left="217"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479" w:val="left" w:leader="none"/>
        </w:tabs>
        <w:spacing w:line="240" w:lineRule="auto"/>
        <w:ind w:left="21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60" w:right="1560"/>
          <w:cols w:num="2" w:equalWidth="0">
            <w:col w:w="2623" w:space="3688"/>
            <w:col w:w="297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497"/>
        <w:gridCol w:w="1985"/>
        <w:gridCol w:w="1568"/>
      </w:tblGrid>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985"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568"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1985" w:type="dxa"/>
            <w:tcBorders>
              <w:top w:val="single" w:sz="4" w:space="0" w:color="000000"/>
              <w:left w:val="single" w:sz="4" w:space="0" w:color="000000"/>
              <w:bottom w:val="single" w:sz="6" w:space="0" w:color="000000"/>
              <w:right w:val="single" w:sz="6" w:space="0" w:color="000000"/>
            </w:tcBorders>
          </w:tcPr>
          <w:p>
            <w:pPr/>
          </w:p>
        </w:tc>
        <w:tc>
          <w:tcPr>
            <w:tcW w:w="1568"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3,508,298</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3,421,776</w:t>
            </w:r>
          </w:p>
        </w:tc>
      </w:tr>
      <w:tr>
        <w:trPr>
          <w:trHeight w:val="288"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97,320</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214,988</w:t>
            </w:r>
          </w:p>
        </w:tc>
      </w:tr>
      <w:tr>
        <w:trPr>
          <w:trHeight w:val="288"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271,259</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403,522</w:t>
            </w:r>
          </w:p>
        </w:tc>
      </w:tr>
      <w:tr>
        <w:trPr>
          <w:trHeight w:val="286"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z w:val="21"/>
              </w:rPr>
              <w:t>36,842</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z w:val="21"/>
              </w:rPr>
              <w:t>43,964</w:t>
            </w:r>
          </w:p>
        </w:tc>
      </w:tr>
      <w:tr>
        <w:trPr>
          <w:trHeight w:val="288"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z w:val="21"/>
              </w:rPr>
              <w:t>73,323</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253,456</w:t>
            </w:r>
          </w:p>
        </w:tc>
      </w:tr>
      <w:tr>
        <w:trPr>
          <w:trHeight w:val="559"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处置固定资产、无形资产和其他长期资产的损失（收益以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(4,122)</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(15,532)</w:t>
            </w:r>
          </w:p>
        </w:tc>
      </w:tr>
      <w:tr>
        <w:trPr>
          <w:trHeight w:val="288"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495</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1,338</w:t>
            </w:r>
          </w:p>
        </w:tc>
      </w:tr>
      <w:tr>
        <w:trPr>
          <w:trHeight w:val="288"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985" w:type="dxa"/>
            <w:tcBorders>
              <w:top w:val="single" w:sz="6" w:space="0" w:color="000000"/>
              <w:left w:val="single" w:sz="4"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(307,768)</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(673)</w:t>
            </w:r>
          </w:p>
        </w:tc>
      </w:tr>
      <w:tr>
        <w:trPr>
          <w:trHeight w:val="288"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(413,331)</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(521,581)</w:t>
            </w:r>
          </w:p>
        </w:tc>
      </w:tr>
      <w:tr>
        <w:trPr>
          <w:trHeight w:val="288"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38,163</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60,480</w:t>
            </w:r>
          </w:p>
        </w:tc>
      </w:tr>
      <w:tr>
        <w:trPr>
          <w:trHeight w:val="288"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(1,541)</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(14,787)</w:t>
            </w:r>
          </w:p>
        </w:tc>
      </w:tr>
      <w:tr>
        <w:trPr>
          <w:trHeight w:val="286"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(17,779)</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(55,389)</w:t>
            </w:r>
          </w:p>
        </w:tc>
      </w:tr>
      <w:tr>
        <w:trPr>
          <w:trHeight w:val="288"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109,129</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(117,019)</w:t>
            </w:r>
          </w:p>
        </w:tc>
      </w:tr>
      <w:tr>
        <w:trPr>
          <w:trHeight w:val="288"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357,507</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467,986</w:t>
            </w:r>
          </w:p>
        </w:tc>
      </w:tr>
      <w:tr>
        <w:trPr>
          <w:trHeight w:val="286"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5" w:type="dxa"/>
            <w:tcBorders>
              <w:top w:val="single" w:sz="6" w:space="0" w:color="000000"/>
              <w:left w:val="single" w:sz="4"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3,747,795</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4,142,529</w:t>
            </w:r>
          </w:p>
        </w:tc>
      </w:tr>
      <w:tr>
        <w:trPr>
          <w:trHeight w:val="288"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1985" w:type="dxa"/>
            <w:tcBorders>
              <w:top w:val="single" w:sz="6" w:space="0" w:color="000000"/>
              <w:left w:val="single" w:sz="4"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985" w:type="dxa"/>
            <w:tcBorders>
              <w:top w:val="single" w:sz="6" w:space="0" w:color="000000"/>
              <w:left w:val="single" w:sz="4"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985" w:type="dxa"/>
            <w:tcBorders>
              <w:top w:val="single" w:sz="6" w:space="0" w:color="000000"/>
              <w:left w:val="single" w:sz="4"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985" w:type="dxa"/>
            <w:tcBorders>
              <w:top w:val="single" w:sz="6" w:space="0" w:color="000000"/>
              <w:left w:val="single" w:sz="4"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收到的非现金增资</w:t>
            </w:r>
          </w:p>
        </w:tc>
        <w:tc>
          <w:tcPr>
            <w:tcW w:w="1985" w:type="dxa"/>
            <w:tcBorders>
              <w:top w:val="single" w:sz="6" w:space="0" w:color="000000"/>
              <w:left w:val="single" w:sz="4"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14,864,300</w:t>
            </w:r>
          </w:p>
        </w:tc>
      </w:tr>
      <w:tr>
        <w:trPr>
          <w:trHeight w:val="288"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1985" w:type="dxa"/>
            <w:tcBorders>
              <w:top w:val="single" w:sz="6" w:space="0" w:color="000000"/>
              <w:left w:val="single" w:sz="4"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2,733,765</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3,234,707</w:t>
            </w:r>
          </w:p>
        </w:tc>
      </w:tr>
      <w:tr>
        <w:trPr>
          <w:trHeight w:val="288"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3,234,707</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2,072,884</w:t>
            </w:r>
          </w:p>
        </w:tc>
      </w:tr>
      <w:tr>
        <w:trPr>
          <w:trHeight w:val="289"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985" w:type="dxa"/>
            <w:tcBorders>
              <w:top w:val="single" w:sz="6" w:space="0" w:color="000000"/>
              <w:left w:val="single" w:sz="4"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985" w:type="dxa"/>
            <w:tcBorders>
              <w:top w:val="single" w:sz="6" w:space="0" w:color="000000"/>
              <w:left w:val="single" w:sz="4"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(500,942)</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1,161,823</w:t>
            </w:r>
          </w:p>
        </w:tc>
      </w:tr>
    </w:tbl>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320" w:bottom="1400" w:left="1060" w:right="1560"/>
        </w:sectPr>
      </w:pPr>
    </w:p>
    <w:p>
      <w:pPr>
        <w:pStyle w:val="Heading5"/>
        <w:spacing w:line="240" w:lineRule="auto" w:before="36"/>
        <w:ind w:left="217" w:right="-15"/>
        <w:jc w:val="left"/>
        <w:rPr>
          <w:b w:val="0"/>
          <w:bCs w:val="0"/>
        </w:rPr>
      </w:pPr>
      <w:r>
        <w:rPr>
          <w:rFonts w:ascii="宋体" w:hAnsi="宋体" w:cs="宋体" w:eastAsia="宋体" w:hint="default"/>
        </w:rPr>
        <w:t>(2).</w:t>
      </w:r>
      <w:r>
        <w:rPr/>
        <w:t>本期支付的取得子公司的现金净额</w:t>
      </w:r>
      <w:r>
        <w:rPr>
          <w:b w:val="0"/>
          <w:bCs w:val="0"/>
        </w:rPr>
      </w:r>
    </w:p>
    <w:p>
      <w:pPr>
        <w:pStyle w:val="BodyText"/>
        <w:spacing w:line="240" w:lineRule="auto" w:before="58"/>
        <w:ind w:left="21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79" w:val="left" w:leader="none"/>
        </w:tabs>
        <w:spacing w:line="240" w:lineRule="auto"/>
        <w:ind w:left="21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60" w:right="1560"/>
          <w:cols w:num="2" w:equalWidth="0">
            <w:col w:w="3808" w:space="2502"/>
            <w:col w:w="2980"/>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917"/>
        <w:gridCol w:w="3133"/>
      </w:tblGrid>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55,000</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w:t>
            </w:r>
            <w:r>
              <w:rPr>
                <w:rFonts w:ascii="宋体" w:hAnsi="宋体" w:cs="宋体" w:eastAsia="宋体" w:hint="default"/>
                <w:sz w:val="21"/>
                <w:szCs w:val="21"/>
              </w:rPr>
              <w:t>深圳市蜂联科技有限公司及其控制的子公司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55,000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11,976</w:t>
            </w:r>
          </w:p>
        </w:tc>
      </w:tr>
      <w:tr>
        <w:trPr>
          <w:trHeight w:val="284"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w:t>
            </w:r>
            <w:r>
              <w:rPr>
                <w:rFonts w:ascii="宋体" w:hAnsi="宋体" w:cs="宋体" w:eastAsia="宋体" w:hint="default"/>
                <w:sz w:val="21"/>
                <w:szCs w:val="21"/>
              </w:rPr>
              <w:t>深圳市蜂联科技有限公司及其控制的子公司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11,976</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20" w:bottom="1400" w:left="1060" w:right="1560"/>
        </w:sectPr>
      </w:pPr>
    </w:p>
    <w:p>
      <w:pPr>
        <w:spacing w:line="240" w:lineRule="auto" w:before="1"/>
        <w:rPr>
          <w:rFonts w:ascii="宋体" w:hAnsi="宋体" w:cs="宋体" w:eastAsia="宋体" w:hint="default"/>
          <w:sz w:val="8"/>
          <w:szCs w:val="8"/>
        </w:rPr>
      </w:pPr>
    </w:p>
    <w:tbl>
      <w:tblPr>
        <w:tblW w:w="0" w:type="auto"/>
        <w:jc w:val="left"/>
        <w:tblInd w:w="123" w:type="dxa"/>
        <w:tblLayout w:type="fixed"/>
        <w:tblCellMar>
          <w:top w:w="0" w:type="dxa"/>
          <w:left w:w="0" w:type="dxa"/>
          <w:bottom w:w="0" w:type="dxa"/>
          <w:right w:w="0" w:type="dxa"/>
        </w:tblCellMar>
        <w:tblLook w:val="01E0"/>
      </w:tblPr>
      <w:tblGrid>
        <w:gridCol w:w="5917"/>
        <w:gridCol w:w="3133"/>
      </w:tblGrid>
      <w:tr>
        <w:trPr>
          <w:trHeight w:val="284" w:hRule="exact"/>
        </w:trPr>
        <w:tc>
          <w:tcPr>
            <w:tcW w:w="5917" w:type="dxa"/>
            <w:tcBorders>
              <w:top w:val="single" w:sz="4" w:space="0" w:color="000000"/>
              <w:left w:val="single" w:sz="4" w:space="0" w:color="000000"/>
              <w:bottom w:val="single" w:sz="4" w:space="0" w:color="000000"/>
              <w:right w:val="single" w:sz="4" w:space="0" w:color="000000"/>
            </w:tcBorders>
          </w:tcPr>
          <w:p>
            <w:pP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43,024</w:t>
            </w:r>
          </w:p>
        </w:tc>
      </w:tr>
    </w:tbl>
    <w:p>
      <w:pPr>
        <w:spacing w:line="240" w:lineRule="auto" w:before="7"/>
        <w:rPr>
          <w:rFonts w:ascii="宋体" w:hAnsi="宋体" w:cs="宋体" w:eastAsia="宋体" w:hint="default"/>
          <w:sz w:val="15"/>
          <w:szCs w:val="15"/>
        </w:rPr>
      </w:pPr>
    </w:p>
    <w:p>
      <w:pPr>
        <w:pStyle w:val="BodyText"/>
        <w:spacing w:line="272" w:lineRule="exact" w:before="64"/>
        <w:ind w:left="237" w:right="8104"/>
        <w:jc w:val="left"/>
      </w:pPr>
      <w:r>
        <w:rPr/>
        <w:t>其他说明</w:t>
      </w:r>
      <w:r>
        <w:rPr>
          <w:rFonts w:ascii="宋体" w:hAnsi="宋体" w:cs="宋体" w:eastAsia="宋体" w:hint="default"/>
        </w:rPr>
        <w:t>:</w:t>
      </w:r>
      <w:r>
        <w:rPr>
          <w:rFonts w:ascii="宋体" w:hAnsi="宋体" w:cs="宋体" w:eastAsia="宋体" w:hint="default"/>
          <w:w w:val="100"/>
        </w:rPr>
        <w:t> </w:t>
      </w:r>
      <w:r>
        <w:rPr/>
        <w:t>无。</w:t>
      </w:r>
    </w:p>
    <w:p>
      <w:pPr>
        <w:spacing w:line="240" w:lineRule="auto" w:before="6"/>
        <w:rPr>
          <w:rFonts w:ascii="宋体" w:hAnsi="宋体" w:cs="宋体" w:eastAsia="宋体" w:hint="default"/>
          <w:sz w:val="26"/>
          <w:szCs w:val="26"/>
        </w:rPr>
      </w:pPr>
    </w:p>
    <w:p>
      <w:pPr>
        <w:pStyle w:val="Heading5"/>
        <w:spacing w:line="240" w:lineRule="auto"/>
        <w:ind w:left="237" w:right="127"/>
        <w:jc w:val="left"/>
        <w:rPr>
          <w:b w:val="0"/>
          <w:bCs w:val="0"/>
        </w:rPr>
      </w:pPr>
      <w:r>
        <w:rPr>
          <w:rFonts w:ascii="宋体" w:hAnsi="宋体" w:cs="宋体" w:eastAsia="宋体" w:hint="default"/>
        </w:rPr>
        <w:t>(3).</w:t>
      </w:r>
      <w:r>
        <w:rPr/>
        <w:t>本期收到的处置子公司的现金净额</w:t>
      </w:r>
      <w:r>
        <w:rPr>
          <w:b w:val="0"/>
          <w:bCs w:val="0"/>
        </w:rPr>
      </w:r>
    </w:p>
    <w:p>
      <w:pPr>
        <w:pStyle w:val="BodyText"/>
        <w:spacing w:line="240" w:lineRule="auto" w:before="56"/>
        <w:ind w:left="237" w:right="127"/>
        <w:jc w:val="left"/>
      </w:pPr>
      <w:r>
        <w:rPr/>
        <w:t>□适用 √不适用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217" w:top="1320" w:bottom="1400" w:left="1040" w:right="1560"/>
        </w:sectPr>
      </w:pPr>
    </w:p>
    <w:p>
      <w:pPr>
        <w:pStyle w:val="Heading5"/>
        <w:spacing w:line="240" w:lineRule="auto" w:before="36"/>
        <w:ind w:left="237" w:right="-15"/>
        <w:jc w:val="left"/>
        <w:rPr>
          <w:b w:val="0"/>
          <w:bCs w:val="0"/>
        </w:rPr>
      </w:pPr>
      <w:r>
        <w:rPr>
          <w:rFonts w:ascii="宋体" w:hAnsi="宋体" w:cs="宋体" w:eastAsia="宋体" w:hint="default"/>
        </w:rPr>
        <w:t>(4).</w:t>
      </w:r>
      <w:r>
        <w:rPr/>
        <w:t>现金和现金等价物的构成</w:t>
      </w:r>
      <w:r>
        <w:rPr>
          <w:b w:val="0"/>
          <w:bCs w:val="0"/>
        </w:rPr>
      </w:r>
    </w:p>
    <w:p>
      <w:pPr>
        <w:pStyle w:val="BodyText"/>
        <w:spacing w:line="240" w:lineRule="auto" w:before="58"/>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2986" w:space="3325"/>
            <w:col w:w="2999"/>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364"/>
        <w:gridCol w:w="2693"/>
        <w:gridCol w:w="1993"/>
      </w:tblGrid>
      <w:tr>
        <w:trPr>
          <w:trHeight w:val="295"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18"/>
              <w:jc w:val="center"/>
              <w:rPr>
                <w:rFonts w:ascii="宋体" w:hAnsi="宋体" w:cs="宋体" w:eastAsia="宋体" w:hint="default"/>
                <w:sz w:val="21"/>
                <w:szCs w:val="21"/>
              </w:rPr>
            </w:pPr>
            <w:r>
              <w:rPr>
                <w:rFonts w:ascii="宋体" w:hAnsi="宋体" w:cs="宋体" w:eastAsia="宋体" w:hint="default"/>
                <w:sz w:val="21"/>
                <w:szCs w:val="21"/>
              </w:rPr>
              <w:t>项目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2,733,765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3,234,707</w:t>
            </w:r>
          </w:p>
        </w:tc>
      </w:tr>
      <w:tr>
        <w:trPr>
          <w:trHeight w:val="295"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z w:val="21"/>
              </w:rPr>
              <w:t>34</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45</w:t>
            </w:r>
          </w:p>
        </w:tc>
      </w:tr>
      <w:tr>
        <w:trPr>
          <w:trHeight w:val="295"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2,732,239</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3,234,101</w:t>
            </w:r>
          </w:p>
        </w:tc>
      </w:tr>
      <w:tr>
        <w:trPr>
          <w:trHeight w:val="295"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1,492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561</w:t>
            </w:r>
          </w:p>
        </w:tc>
      </w:tr>
      <w:tr>
        <w:trPr>
          <w:trHeight w:val="295"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6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6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2,733,765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3,234,707</w:t>
            </w:r>
          </w:p>
        </w:tc>
      </w:tr>
      <w:tr>
        <w:trPr>
          <w:trHeight w:val="55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其中：母公司或集团内子公司使用受限制的现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金和现金等价物</w:t>
            </w:r>
          </w:p>
        </w:tc>
        <w:tc>
          <w:tcPr>
            <w:tcW w:w="26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237" w:right="127"/>
        <w:jc w:val="left"/>
      </w:pPr>
      <w:r>
        <w:rPr/>
        <w:t>其他说明：</w:t>
      </w:r>
    </w:p>
    <w:p>
      <w:pPr>
        <w:pStyle w:val="BodyText"/>
        <w:spacing w:line="240" w:lineRule="auto" w:before="56"/>
        <w:ind w:left="237" w:right="127"/>
        <w:jc w:val="left"/>
      </w:pPr>
      <w:r>
        <w:rPr/>
        <w:t>□适用 √不适用</w:t>
      </w:r>
    </w:p>
    <w:p>
      <w:pPr>
        <w:spacing w:line="240" w:lineRule="auto" w:before="0"/>
        <w:rPr>
          <w:rFonts w:ascii="宋体" w:hAnsi="宋体" w:cs="宋体" w:eastAsia="宋体" w:hint="default"/>
          <w:sz w:val="20"/>
          <w:szCs w:val="20"/>
        </w:rPr>
      </w:pPr>
    </w:p>
    <w:p>
      <w:pPr>
        <w:spacing w:line="290" w:lineRule="auto" w:before="166"/>
        <w:ind w:left="237" w:right="127"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27" w:lineRule="exact"/>
        <w:ind w:left="237" w:right="127"/>
        <w:jc w:val="left"/>
      </w:pPr>
      <w:r>
        <w:rPr/>
        <w:t>□适用 √不适用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320" w:bottom="1400" w:left="1040" w:right="1560"/>
        </w:sectPr>
      </w:pPr>
    </w:p>
    <w:p>
      <w:pPr>
        <w:pStyle w:val="Heading5"/>
        <w:spacing w:line="240" w:lineRule="auto" w:before="36"/>
        <w:ind w:left="237" w:right="-18"/>
        <w:jc w:val="left"/>
        <w:rPr>
          <w:b w:val="0"/>
          <w:bCs w:val="0"/>
        </w:rPr>
      </w:pPr>
      <w:r>
        <w:rPr>
          <w:rFonts w:ascii="宋体" w:hAnsi="宋体" w:cs="宋体" w:eastAsia="宋体" w:hint="default"/>
        </w:rPr>
        <w:t>70</w:t>
      </w:r>
      <w:r>
        <w:rPr/>
        <w:t>、</w:t>
      </w:r>
      <w:r>
        <w:rPr>
          <w:spacing w:val="-26"/>
        </w:rPr>
        <w:t> </w:t>
      </w:r>
      <w:r>
        <w:rPr/>
        <w:t>所有权或使用权受到限制的资产</w:t>
      </w:r>
      <w:r>
        <w:rPr>
          <w:b w:val="0"/>
          <w:bCs w:val="0"/>
        </w:rPr>
      </w:r>
    </w:p>
    <w:p>
      <w:pPr>
        <w:pStyle w:val="BodyText"/>
        <w:spacing w:line="240" w:lineRule="auto" w:before="58"/>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499" w:val="left" w:leader="none"/>
        </w:tabs>
        <w:spacing w:line="240" w:lineRule="auto"/>
        <w:ind w:left="23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40" w:right="1560"/>
          <w:cols w:num="2" w:equalWidth="0">
            <w:col w:w="3694" w:space="2617"/>
            <w:col w:w="299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40"/>
        <w:gridCol w:w="2554"/>
        <w:gridCol w:w="4268"/>
      </w:tblGrid>
      <w:tr>
        <w:trPr>
          <w:trHeight w:val="283"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00"/>
              <w:jc w:val="right"/>
              <w:rPr>
                <w:rFonts w:ascii="宋体" w:hAnsi="宋体" w:cs="宋体" w:eastAsia="宋体" w:hint="default"/>
                <w:sz w:val="21"/>
                <w:szCs w:val="21"/>
              </w:rPr>
            </w:pPr>
            <w:r>
              <w:rPr>
                <w:rFonts w:ascii="宋体" w:hAnsi="宋体" w:cs="宋体" w:eastAsia="宋体" w:hint="default"/>
                <w:sz w:val="21"/>
                <w:szCs w:val="21"/>
              </w:rPr>
              <w:t>项目</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1"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3"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55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128,724</w:t>
            </w:r>
          </w:p>
        </w:tc>
        <w:tc>
          <w:tcPr>
            <w:tcW w:w="4268"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51"/>
              <w:jc w:val="center"/>
              <w:rPr>
                <w:rFonts w:ascii="宋体" w:hAnsi="宋体" w:cs="宋体" w:eastAsia="宋体" w:hint="default"/>
                <w:sz w:val="21"/>
                <w:szCs w:val="21"/>
              </w:rPr>
            </w:pPr>
            <w:r>
              <w:rPr>
                <w:rFonts w:ascii="宋体" w:hAnsi="宋体" w:cs="宋体" w:eastAsia="宋体" w:hint="default"/>
                <w:sz w:val="21"/>
                <w:szCs w:val="21"/>
              </w:rPr>
              <w:t>为签订项目履约保函而存入银行保证金账户</w:t>
            </w:r>
          </w:p>
        </w:tc>
      </w:tr>
      <w:tr>
        <w:trPr>
          <w:trHeight w:val="288"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00"/>
              <w:jc w:val="right"/>
              <w:rPr>
                <w:rFonts w:ascii="宋体" w:hAnsi="宋体" w:cs="宋体" w:eastAsia="宋体" w:hint="default"/>
                <w:sz w:val="21"/>
                <w:szCs w:val="21"/>
              </w:rPr>
            </w:pPr>
            <w:r>
              <w:rPr>
                <w:rFonts w:ascii="宋体" w:hAnsi="宋体" w:cs="宋体" w:eastAsia="宋体" w:hint="default"/>
                <w:sz w:val="21"/>
                <w:szCs w:val="21"/>
              </w:rPr>
              <w:t>合计</w:t>
            </w:r>
          </w:p>
        </w:tc>
        <w:tc>
          <w:tcPr>
            <w:tcW w:w="255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128,724</w:t>
            </w:r>
          </w:p>
        </w:tc>
        <w:tc>
          <w:tcPr>
            <w:tcW w:w="4268"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90" w:lineRule="auto" w:before="36"/>
        <w:ind w:left="237" w:right="7999"/>
        <w:jc w:val="left"/>
      </w:pPr>
      <w:r>
        <w:rPr/>
        <w:t>其他说明：</w:t>
      </w:r>
      <w:r>
        <w:rPr>
          <w:spacing w:val="-102"/>
        </w:rPr>
        <w:t> </w:t>
      </w:r>
      <w:r>
        <w:rPr>
          <w:spacing w:val="-102"/>
        </w:rPr>
      </w:r>
      <w:r>
        <w:rPr/>
        <w:t>无。</w:t>
      </w:r>
    </w:p>
    <w:p>
      <w:pPr>
        <w:spacing w:line="240" w:lineRule="auto" w:before="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20" w:bottom="1400" w:left="1040" w:right="1560"/>
        </w:sectPr>
      </w:pPr>
    </w:p>
    <w:p>
      <w:pPr>
        <w:pStyle w:val="Heading5"/>
        <w:spacing w:line="290" w:lineRule="auto" w:before="36"/>
        <w:ind w:left="237" w:right="-19"/>
        <w:jc w:val="left"/>
        <w:rPr>
          <w:b w:val="0"/>
          <w:bCs w:val="0"/>
        </w:rPr>
      </w:pPr>
      <w:r>
        <w:rPr>
          <w:rFonts w:ascii="宋体" w:hAnsi="宋体" w:cs="宋体" w:eastAsia="宋体" w:hint="default"/>
        </w:rPr>
        <w:t>71</w:t>
      </w:r>
      <w:r>
        <w:rPr/>
        <w:t>、</w:t>
      </w:r>
      <w:r>
        <w:rPr>
          <w:spacing w:val="-23"/>
        </w:rPr>
        <w:t> </w:t>
      </w:r>
      <w:r>
        <w:rPr/>
        <w:t>外币货币性项目</w:t>
      </w:r>
      <w:r>
        <w:rPr>
          <w:w w:val="100"/>
        </w:rPr>
        <w:t> </w:t>
      </w:r>
      <w:r>
        <w:rPr>
          <w:rFonts w:ascii="宋体" w:hAnsi="宋体" w:cs="宋体" w:eastAsia="宋体" w:hint="default"/>
        </w:rPr>
        <w:t>(1).</w:t>
      </w:r>
      <w:r>
        <w:rPr/>
        <w:t>外币货币性项目</w:t>
      </w:r>
      <w:r>
        <w:rPr>
          <w:b w:val="0"/>
          <w:bCs w:val="0"/>
        </w:rPr>
      </w:r>
    </w:p>
    <w:p>
      <w:pPr>
        <w:pStyle w:val="BodyText"/>
        <w:spacing w:line="240" w:lineRule="auto" w:before="12"/>
        <w:ind w:left="2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237" w:right="0"/>
        <w:jc w:val="left"/>
      </w:pPr>
      <w:r>
        <w:rPr/>
        <w:t>单位：千元</w:t>
      </w:r>
    </w:p>
    <w:p>
      <w:pPr>
        <w:spacing w:after="0" w:line="240" w:lineRule="auto"/>
        <w:jc w:val="left"/>
        <w:sectPr>
          <w:type w:val="continuous"/>
          <w:pgSz w:w="11910" w:h="16840"/>
          <w:pgMar w:top="1320" w:bottom="1400" w:left="1040" w:right="1560"/>
          <w:cols w:num="2" w:equalWidth="0">
            <w:col w:w="2220" w:space="5562"/>
            <w:col w:w="152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87"/>
        <w:gridCol w:w="1699"/>
        <w:gridCol w:w="2127"/>
        <w:gridCol w:w="2137"/>
      </w:tblGrid>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6"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期末折算人民币</w:t>
            </w:r>
          </w:p>
        </w:tc>
      </w:tr>
    </w:tbl>
    <w:p>
      <w:pPr>
        <w:spacing w:after="0" w:line="241" w:lineRule="exact"/>
        <w:jc w:val="left"/>
        <w:rPr>
          <w:rFonts w:ascii="宋体" w:hAnsi="宋体" w:cs="宋体" w:eastAsia="宋体" w:hint="default"/>
          <w:sz w:val="21"/>
          <w:szCs w:val="21"/>
        </w:rPr>
        <w:sectPr>
          <w:type w:val="continuous"/>
          <w:pgSz w:w="11910" w:h="16840"/>
          <w:pgMar w:top="1320" w:bottom="1400" w:left="1040" w:right="1560"/>
        </w:sectPr>
      </w:pP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3087"/>
        <w:gridCol w:w="1699"/>
        <w:gridCol w:w="2127"/>
        <w:gridCol w:w="2137"/>
      </w:tblGrid>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9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401,905</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56,795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6.8632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389,795</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其他外币</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124,779</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12,110</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9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91,919</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13,393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6.8632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91,919</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9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45,592</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6,643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6.8632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45,592</w:t>
            </w:r>
          </w:p>
        </w:tc>
      </w:tr>
    </w:tbl>
    <w:p>
      <w:pPr>
        <w:spacing w:line="240" w:lineRule="auto" w:before="2"/>
        <w:rPr>
          <w:rFonts w:ascii="宋体" w:hAnsi="宋体" w:cs="宋体" w:eastAsia="宋体" w:hint="default"/>
          <w:sz w:val="20"/>
          <w:szCs w:val="20"/>
        </w:rPr>
      </w:pPr>
    </w:p>
    <w:p>
      <w:pPr>
        <w:pStyle w:val="BodyText"/>
        <w:spacing w:line="290" w:lineRule="auto" w:before="36"/>
        <w:ind w:left="217" w:right="7999"/>
        <w:jc w:val="left"/>
      </w:pPr>
      <w:r>
        <w:rPr/>
        <w:t>其他说明：</w:t>
      </w:r>
      <w:r>
        <w:rPr>
          <w:spacing w:val="-102"/>
        </w:rPr>
        <w:t> </w:t>
      </w:r>
      <w:r>
        <w:rPr>
          <w:spacing w:val="-102"/>
        </w:rPr>
      </w:r>
      <w:r>
        <w:rPr/>
        <w:t>无。</w:t>
      </w:r>
    </w:p>
    <w:p>
      <w:pPr>
        <w:spacing w:line="240" w:lineRule="auto" w:before="12"/>
        <w:rPr>
          <w:rFonts w:ascii="宋体" w:hAnsi="宋体" w:cs="宋体" w:eastAsia="宋体" w:hint="default"/>
          <w:sz w:val="21"/>
          <w:szCs w:val="21"/>
        </w:rPr>
      </w:pPr>
    </w:p>
    <w:p>
      <w:pPr>
        <w:pStyle w:val="Heading5"/>
        <w:spacing w:line="240" w:lineRule="auto"/>
        <w:ind w:left="644" w:right="124" w:hanging="428"/>
        <w:jc w:val="left"/>
        <w:rPr>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7"/>
        </w:rPr>
        <w:t> </w:t>
      </w:r>
      <w:r>
        <w:rPr>
          <w:spacing w:val="-87"/>
        </w:rPr>
      </w:r>
      <w:r>
        <w:rPr/>
        <w:t>及选择依据，记账本位币发生变化的还应披露原因</w:t>
      </w:r>
      <w:r>
        <w:rPr>
          <w:b w:val="0"/>
          <w:bCs w:val="0"/>
        </w:rPr>
      </w:r>
    </w:p>
    <w:p>
      <w:pPr>
        <w:pStyle w:val="BodyText"/>
        <w:spacing w:line="240" w:lineRule="auto" w:before="56"/>
        <w:ind w:left="217" w:right="234"/>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left="217" w:right="234"/>
        <w:jc w:val="left"/>
        <w:rPr>
          <w:b w:val="0"/>
          <w:bCs w:val="0"/>
        </w:rPr>
      </w:pPr>
      <w:r>
        <w:rPr>
          <w:rFonts w:ascii="宋体" w:hAnsi="宋体" w:cs="宋体" w:eastAsia="宋体" w:hint="default"/>
        </w:rPr>
        <w:t>72</w:t>
      </w:r>
      <w:r>
        <w:rPr/>
        <w:t>、</w:t>
      </w:r>
      <w:r>
        <w:rPr>
          <w:spacing w:val="-25"/>
        </w:rPr>
        <w:t> </w:t>
      </w:r>
      <w:r>
        <w:rPr/>
        <w:t>套期</w:t>
      </w:r>
      <w:r>
        <w:rPr>
          <w:b w:val="0"/>
          <w:bCs w:val="0"/>
        </w:rPr>
      </w:r>
    </w:p>
    <w:p>
      <w:pPr>
        <w:pStyle w:val="BodyText"/>
        <w:spacing w:line="240" w:lineRule="auto" w:before="58"/>
        <w:ind w:left="217" w:right="234"/>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217" w:top="1320" w:bottom="1400" w:left="1060" w:right="1560"/>
        </w:sectPr>
      </w:pPr>
    </w:p>
    <w:p>
      <w:pPr>
        <w:pStyle w:val="Heading5"/>
        <w:spacing w:line="290" w:lineRule="auto" w:before="36"/>
        <w:ind w:left="217" w:right="-13"/>
        <w:jc w:val="left"/>
        <w:rPr>
          <w:b w:val="0"/>
          <w:bCs w:val="0"/>
        </w:rPr>
      </w:pPr>
      <w:r>
        <w:rPr>
          <w:rFonts w:ascii="宋体" w:hAnsi="宋体" w:cs="宋体" w:eastAsia="宋体" w:hint="default"/>
        </w:rPr>
        <w:t>73</w:t>
      </w:r>
      <w:r>
        <w:rPr/>
        <w:t>、</w:t>
      </w:r>
      <w:r>
        <w:rPr>
          <w:spacing w:val="-25"/>
        </w:rPr>
        <w:t> </w:t>
      </w:r>
      <w:r>
        <w:rPr/>
        <w:t>政府补助</w:t>
      </w:r>
      <w:r>
        <w:rPr>
          <w:w w:val="100"/>
        </w:rPr>
        <w:t> </w:t>
      </w:r>
      <w:r>
        <w:rPr>
          <w:rFonts w:ascii="宋体" w:hAnsi="宋体" w:cs="宋体" w:eastAsia="宋体" w:hint="default"/>
        </w:rPr>
        <w:t>(1).</w:t>
      </w:r>
      <w:r>
        <w:rPr/>
        <w:t>政府补助基本情况</w:t>
      </w:r>
      <w:r>
        <w:rPr>
          <w:b w:val="0"/>
          <w:bCs w:val="0"/>
        </w:rPr>
      </w:r>
    </w:p>
    <w:p>
      <w:pPr>
        <w:pStyle w:val="BodyText"/>
        <w:tabs>
          <w:tab w:pos="1059" w:val="left" w:leader="none"/>
        </w:tabs>
        <w:spacing w:line="240" w:lineRule="auto" w:before="14"/>
        <w:ind w:left="217" w:right="-13"/>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479" w:val="left" w:leader="none"/>
        </w:tabs>
        <w:spacing w:line="240" w:lineRule="auto"/>
        <w:ind w:left="21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60" w:right="1560"/>
          <w:cols w:num="2" w:equalWidth="0">
            <w:col w:w="2335" w:space="3976"/>
            <w:col w:w="297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5"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30,546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30,546</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11,652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11,652</w:t>
            </w:r>
          </w:p>
        </w:tc>
      </w:tr>
    </w:tbl>
    <w:p>
      <w:pPr>
        <w:pStyle w:val="BodyText"/>
        <w:spacing w:line="241" w:lineRule="exact"/>
        <w:ind w:left="217" w:right="234"/>
        <w:jc w:val="left"/>
      </w:pPr>
      <w:r>
        <w:rPr/>
        <w:t>具体见附注七、</w:t>
      </w:r>
      <w:r>
        <w:rPr>
          <w:rFonts w:ascii="宋体" w:hAnsi="宋体" w:cs="宋体" w:eastAsia="宋体" w:hint="default"/>
        </w:rPr>
        <w:t>59 </w:t>
      </w:r>
      <w:r>
        <w:rPr/>
        <w:t>其他收益与附注七、</w:t>
      </w:r>
      <w:r>
        <w:rPr>
          <w:rFonts w:ascii="宋体" w:hAnsi="宋体" w:cs="宋体" w:eastAsia="宋体" w:hint="default"/>
        </w:rPr>
        <w:t>63</w:t>
      </w:r>
      <w:r>
        <w:rPr>
          <w:rFonts w:ascii="宋体" w:hAnsi="宋体" w:cs="宋体" w:eastAsia="宋体" w:hint="default"/>
          <w:spacing w:val="-6"/>
        </w:rPr>
        <w:t> </w:t>
      </w:r>
      <w:r>
        <w:rPr/>
        <w:t>营业外收入。</w:t>
      </w:r>
    </w:p>
    <w:p>
      <w:pPr>
        <w:pStyle w:val="Heading5"/>
        <w:spacing w:line="240" w:lineRule="auto" w:before="56"/>
        <w:ind w:left="217" w:right="234"/>
        <w:jc w:val="left"/>
        <w:rPr>
          <w:b w:val="0"/>
          <w:bCs w:val="0"/>
        </w:rPr>
      </w:pPr>
      <w:r>
        <w:rPr>
          <w:rFonts w:ascii="宋体" w:hAnsi="宋体" w:cs="宋体" w:eastAsia="宋体" w:hint="default"/>
        </w:rPr>
        <w:t>(2).</w:t>
      </w:r>
      <w:r>
        <w:rPr/>
        <w:t>政府补助退回情况</w:t>
      </w:r>
      <w:r>
        <w:rPr>
          <w:b w:val="0"/>
          <w:bCs w:val="0"/>
        </w:rPr>
      </w:r>
    </w:p>
    <w:p>
      <w:pPr>
        <w:pStyle w:val="BodyText"/>
        <w:spacing w:line="272" w:lineRule="exact" w:before="86"/>
        <w:ind w:left="217" w:right="7474"/>
        <w:jc w:val="left"/>
      </w:pPr>
      <w:r>
        <w:rPr/>
        <w:t>□适用 √不适用</w:t>
      </w:r>
      <w:r>
        <w:rPr>
          <w:w w:val="100"/>
        </w:rPr>
        <w:t> </w:t>
      </w:r>
      <w:r>
        <w:rPr/>
        <w:t>其他说明：</w:t>
      </w:r>
    </w:p>
    <w:p>
      <w:pPr>
        <w:pStyle w:val="BodyText"/>
        <w:spacing w:line="246" w:lineRule="exact"/>
        <w:ind w:left="637" w:right="234"/>
        <w:jc w:val="left"/>
      </w:pPr>
      <w:r>
        <w:rPr>
          <w:w w:val="100"/>
        </w:rPr>
        <w:t>无</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spacing w:line="240" w:lineRule="auto"/>
        <w:ind w:left="217" w:right="234"/>
        <w:jc w:val="left"/>
        <w:rPr>
          <w:b w:val="0"/>
          <w:bCs w:val="0"/>
        </w:rPr>
      </w:pPr>
      <w:r>
        <w:rPr>
          <w:rFonts w:ascii="宋体" w:hAnsi="宋体" w:cs="宋体" w:eastAsia="宋体" w:hint="default"/>
        </w:rPr>
        <w:t>74</w:t>
      </w:r>
      <w:r>
        <w:rPr/>
        <w:t>、</w:t>
      </w:r>
      <w:r>
        <w:rPr>
          <w:spacing w:val="-25"/>
        </w:rPr>
        <w:t> </w:t>
      </w:r>
      <w:r>
        <w:rPr/>
        <w:t>其他</w:t>
      </w:r>
      <w:r>
        <w:rPr>
          <w:b w:val="0"/>
          <w:bCs w:val="0"/>
        </w:rPr>
      </w:r>
    </w:p>
    <w:p>
      <w:pPr>
        <w:pStyle w:val="BodyText"/>
        <w:spacing w:line="240" w:lineRule="auto" w:before="59"/>
        <w:ind w:left="217" w:right="234"/>
        <w:jc w:val="left"/>
      </w:pPr>
      <w:r>
        <w:rPr/>
        <w:t>□适用 √不适用</w:t>
      </w:r>
    </w:p>
    <w:p>
      <w:pPr>
        <w:spacing w:after="0" w:line="240" w:lineRule="auto"/>
        <w:jc w:val="left"/>
        <w:sectPr>
          <w:type w:val="continuous"/>
          <w:pgSz w:w="11910" w:h="16840"/>
          <w:pgMar w:top="1320" w:bottom="1400" w:left="1060" w:right="1560"/>
        </w:sectPr>
      </w:pPr>
    </w:p>
    <w:p>
      <w:pPr>
        <w:spacing w:line="240" w:lineRule="auto" w:before="11"/>
        <w:rPr>
          <w:rFonts w:ascii="宋体" w:hAnsi="宋体" w:cs="宋体" w:eastAsia="宋体" w:hint="default"/>
          <w:sz w:val="15"/>
          <w:szCs w:val="15"/>
        </w:rPr>
      </w:pPr>
    </w:p>
    <w:p>
      <w:pPr>
        <w:spacing w:before="44"/>
        <w:ind w:left="3724" w:right="0" w:firstLine="0"/>
        <w:jc w:val="left"/>
        <w:rPr>
          <w:rFonts w:ascii="宋体" w:hAnsi="宋体" w:cs="宋体" w:eastAsia="宋体" w:hint="default"/>
          <w:sz w:val="18"/>
          <w:szCs w:val="18"/>
        </w:rPr>
      </w:pPr>
      <w:r>
        <w:rPr/>
        <w:pict>
          <v:shape style="position:absolute;margin-left:76.25pt;margin-top:-6.848299pt;width:69.361pt;height:19.52pt;mso-position-horizontal-relative:page;mso-position-vertical-relative:paragraph;z-index:1504" type="#_x0000_t75" stroked="false">
            <v:imagedata r:id="rId21" o:title=""/>
          </v:shape>
        </w:pic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3"/>
          <w:szCs w:val="3"/>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headerReference w:type="default" r:id="rId80"/>
          <w:footerReference w:type="default" r:id="rId81"/>
          <w:pgSz w:w="16840" w:h="11910" w:orient="landscape"/>
          <w:pgMar w:header="0" w:footer="0" w:top="780" w:bottom="280" w:left="1300" w:right="1220"/>
        </w:sectPr>
      </w:pPr>
    </w:p>
    <w:p>
      <w:pPr>
        <w:pStyle w:val="Heading5"/>
        <w:spacing w:line="240" w:lineRule="auto" w:before="36"/>
        <w:ind w:left="224" w:right="-15"/>
        <w:jc w:val="left"/>
        <w:rPr>
          <w:b w:val="0"/>
          <w:bCs w:val="0"/>
        </w:rPr>
      </w:pPr>
      <w:r>
        <w:rPr/>
        <w:t>八、合并范围的变更</w:t>
      </w:r>
      <w:r>
        <w:rPr>
          <w:b w:val="0"/>
          <w:bCs w:val="0"/>
        </w:rPr>
      </w:r>
    </w:p>
    <w:p>
      <w:pPr>
        <w:pStyle w:val="Heading5"/>
        <w:spacing w:line="240" w:lineRule="auto" w:before="58"/>
        <w:ind w:left="224" w:right="-15"/>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spacing w:line="290" w:lineRule="auto" w:before="56"/>
        <w:ind w:left="224" w:right="-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pStyle w:val="BodyText"/>
        <w:spacing w:line="240" w:lineRule="auto" w:before="1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486" w:val="left" w:leader="none"/>
        </w:tabs>
        <w:spacing w:line="240" w:lineRule="auto"/>
        <w:ind w:left="224" w:right="0"/>
        <w:jc w:val="left"/>
      </w:pPr>
      <w:r>
        <w:rPr>
          <w:spacing w:val="-1"/>
        </w:rPr>
        <w:t>单位：千元</w:t>
        <w:tab/>
      </w:r>
      <w:r>
        <w:rPr>
          <w:spacing w:val="-2"/>
        </w:rPr>
        <w:t>币种：人民币</w:t>
      </w:r>
    </w:p>
    <w:p>
      <w:pPr>
        <w:spacing w:after="0" w:line="240" w:lineRule="auto"/>
        <w:jc w:val="left"/>
        <w:sectPr>
          <w:type w:val="continuous"/>
          <w:pgSz w:w="16840" w:h="11910" w:orient="landscape"/>
          <w:pgMar w:top="1320" w:bottom="1400" w:left="1300" w:right="1220"/>
          <w:cols w:num="2" w:equalWidth="0">
            <w:col w:w="3816" w:space="7536"/>
            <w:col w:w="2968"/>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373"/>
        <w:gridCol w:w="1442"/>
        <w:gridCol w:w="1378"/>
        <w:gridCol w:w="1418"/>
        <w:gridCol w:w="1440"/>
        <w:gridCol w:w="1378"/>
        <w:gridCol w:w="1657"/>
        <w:gridCol w:w="2004"/>
        <w:gridCol w:w="2000"/>
      </w:tblGrid>
      <w:tr>
        <w:trPr>
          <w:trHeight w:val="96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576" w:right="151" w:hanging="421"/>
              <w:jc w:val="left"/>
              <w:rPr>
                <w:rFonts w:ascii="宋体" w:hAnsi="宋体" w:cs="宋体" w:eastAsia="宋体" w:hint="default"/>
                <w:sz w:val="21"/>
                <w:szCs w:val="21"/>
              </w:rPr>
            </w:pPr>
            <w:r>
              <w:rPr>
                <w:rFonts w:ascii="宋体" w:hAnsi="宋体" w:cs="宋体" w:eastAsia="宋体" w:hint="default"/>
                <w:sz w:val="21"/>
                <w:szCs w:val="21"/>
              </w:rPr>
              <w:t>被购买方名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称</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609" w:right="187" w:hanging="420"/>
              <w:jc w:val="left"/>
              <w:rPr>
                <w:rFonts w:ascii="宋体" w:hAnsi="宋体" w:cs="宋体" w:eastAsia="宋体" w:hint="default"/>
                <w:sz w:val="21"/>
                <w:szCs w:val="21"/>
              </w:rPr>
            </w:pPr>
            <w:r>
              <w:rPr>
                <w:rFonts w:ascii="宋体" w:hAnsi="宋体" w:cs="宋体" w:eastAsia="宋体" w:hint="default"/>
                <w:sz w:val="21"/>
                <w:szCs w:val="21"/>
              </w:rPr>
              <w:t>股权取得时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点</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578" w:right="154" w:hanging="420"/>
              <w:jc w:val="left"/>
              <w:rPr>
                <w:rFonts w:ascii="宋体" w:hAnsi="宋体" w:cs="宋体" w:eastAsia="宋体" w:hint="default"/>
                <w:sz w:val="21"/>
                <w:szCs w:val="21"/>
              </w:rPr>
            </w:pPr>
            <w:r>
              <w:rPr>
                <w:rFonts w:ascii="宋体" w:hAnsi="宋体" w:cs="宋体" w:eastAsia="宋体" w:hint="default"/>
                <w:sz w:val="21"/>
                <w:szCs w:val="21"/>
              </w:rPr>
              <w:t>股权取得成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3"/>
              <w:ind w:left="177" w:right="175"/>
              <w:jc w:val="center"/>
              <w:rPr>
                <w:rFonts w:ascii="宋体" w:hAnsi="宋体" w:cs="宋体" w:eastAsia="宋体" w:hint="default"/>
                <w:sz w:val="21"/>
                <w:szCs w:val="21"/>
              </w:rPr>
            </w:pPr>
            <w:r>
              <w:rPr>
                <w:rFonts w:ascii="宋体" w:hAnsi="宋体" w:cs="宋体" w:eastAsia="宋体" w:hint="default"/>
                <w:sz w:val="21"/>
                <w:szCs w:val="21"/>
              </w:rPr>
              <w:t>股权取得比</w:t>
            </w:r>
            <w:r>
              <w:rPr>
                <w:rFonts w:ascii="宋体" w:hAnsi="宋体" w:cs="宋体" w:eastAsia="宋体" w:hint="default"/>
                <w:w w:val="100"/>
                <w:sz w:val="21"/>
                <w:szCs w:val="21"/>
              </w:rPr>
              <w:t> </w:t>
            </w:r>
            <w:r>
              <w:rPr>
                <w:rFonts w:ascii="宋体" w:hAnsi="宋体" w:cs="宋体" w:eastAsia="宋体" w:hint="default"/>
                <w:sz w:val="21"/>
                <w:szCs w:val="21"/>
              </w:rPr>
              <w:t>例</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609" w:right="185" w:hanging="420"/>
              <w:jc w:val="left"/>
              <w:rPr>
                <w:rFonts w:ascii="宋体" w:hAnsi="宋体" w:cs="宋体" w:eastAsia="宋体" w:hint="default"/>
                <w:sz w:val="21"/>
                <w:szCs w:val="21"/>
              </w:rPr>
            </w:pPr>
            <w:r>
              <w:rPr>
                <w:rFonts w:ascii="宋体" w:hAnsi="宋体" w:cs="宋体" w:eastAsia="宋体" w:hint="default"/>
                <w:sz w:val="21"/>
                <w:szCs w:val="21"/>
              </w:rPr>
              <w:t>股权取得方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式</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611" w:right="190" w:hanging="420"/>
              <w:jc w:val="left"/>
              <w:rPr>
                <w:rFonts w:ascii="宋体" w:hAnsi="宋体" w:cs="宋体" w:eastAsia="宋体" w:hint="default"/>
                <w:sz w:val="21"/>
                <w:szCs w:val="21"/>
              </w:rPr>
            </w:pPr>
            <w:r>
              <w:rPr>
                <w:rFonts w:ascii="宋体" w:hAnsi="宋体" w:cs="宋体" w:eastAsia="宋体" w:hint="default"/>
                <w:sz w:val="21"/>
                <w:szCs w:val="21"/>
              </w:rPr>
              <w:t>购买日的确定</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472" w:right="151" w:hanging="315"/>
              <w:jc w:val="left"/>
              <w:rPr>
                <w:rFonts w:ascii="宋体" w:hAnsi="宋体" w:cs="宋体" w:eastAsia="宋体" w:hint="default"/>
                <w:sz w:val="21"/>
                <w:szCs w:val="21"/>
              </w:rPr>
            </w:pPr>
            <w:r>
              <w:rPr>
                <w:rFonts w:ascii="宋体" w:hAnsi="宋体" w:cs="宋体" w:eastAsia="宋体" w:hint="default"/>
                <w:sz w:val="21"/>
                <w:szCs w:val="21"/>
              </w:rPr>
              <w:t>购买日至期末被购</w:t>
            </w:r>
            <w:r>
              <w:rPr>
                <w:rFonts w:ascii="宋体" w:hAnsi="宋体" w:cs="宋体" w:eastAsia="宋体" w:hint="default"/>
                <w:w w:val="100"/>
                <w:sz w:val="21"/>
                <w:szCs w:val="21"/>
              </w:rPr>
              <w:t> </w:t>
            </w:r>
            <w:r>
              <w:rPr>
                <w:rFonts w:ascii="宋体" w:hAnsi="宋体" w:cs="宋体" w:eastAsia="宋体" w:hint="default"/>
                <w:sz w:val="21"/>
                <w:szCs w:val="21"/>
              </w:rPr>
              <w:t>买方的收入</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364" w:right="149" w:hanging="209"/>
              <w:jc w:val="left"/>
              <w:rPr>
                <w:rFonts w:ascii="宋体" w:hAnsi="宋体" w:cs="宋体" w:eastAsia="宋体" w:hint="default"/>
                <w:sz w:val="21"/>
                <w:szCs w:val="21"/>
              </w:rPr>
            </w:pPr>
            <w:r>
              <w:rPr>
                <w:rFonts w:ascii="宋体" w:hAnsi="宋体" w:cs="宋体" w:eastAsia="宋体" w:hint="default"/>
                <w:sz w:val="21"/>
                <w:szCs w:val="21"/>
              </w:rPr>
              <w:t>购买日至期末被购</w:t>
            </w:r>
            <w:r>
              <w:rPr>
                <w:rFonts w:ascii="宋体" w:hAnsi="宋体" w:cs="宋体" w:eastAsia="宋体" w:hint="default"/>
                <w:w w:val="100"/>
                <w:sz w:val="21"/>
                <w:szCs w:val="21"/>
              </w:rPr>
              <w:t> </w:t>
            </w:r>
            <w:r>
              <w:rPr>
                <w:rFonts w:ascii="宋体" w:hAnsi="宋体" w:cs="宋体" w:eastAsia="宋体" w:hint="default"/>
                <w:sz w:val="21"/>
                <w:szCs w:val="21"/>
              </w:rPr>
              <w:t>买方的净利润</w:t>
            </w:r>
          </w:p>
        </w:tc>
      </w:tr>
      <w:tr>
        <w:trPr>
          <w:trHeight w:val="1099"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深圳市蜂联</w:t>
            </w:r>
          </w:p>
          <w:p>
            <w:pPr>
              <w:pStyle w:val="TableParagraph"/>
              <w:spacing w:line="237" w:lineRule="auto"/>
              <w:ind w:left="103" w:right="204"/>
              <w:jc w:val="both"/>
              <w:rPr>
                <w:rFonts w:ascii="宋体" w:hAnsi="宋体" w:cs="宋体" w:eastAsia="宋体" w:hint="default"/>
                <w:sz w:val="21"/>
                <w:szCs w:val="21"/>
              </w:rPr>
            </w:pPr>
            <w:r>
              <w:rPr>
                <w:rFonts w:ascii="宋体" w:hAnsi="宋体" w:cs="宋体" w:eastAsia="宋体" w:hint="default"/>
                <w:sz w:val="21"/>
                <w:szCs w:val="21"/>
              </w:rPr>
              <w:t>科技有限公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司及其控制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的子公司</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84" w:right="0"/>
              <w:jc w:val="left"/>
              <w:rPr>
                <w:rFonts w:ascii="宋体" w:hAnsi="宋体" w:cs="宋体" w:eastAsia="宋体" w:hint="default"/>
                <w:sz w:val="21"/>
                <w:szCs w:val="21"/>
              </w:rPr>
            </w:pPr>
            <w:r>
              <w:rPr>
                <w:rFonts w:ascii="宋体"/>
                <w:sz w:val="21"/>
              </w:rPr>
              <w:t>2018/5/24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33" w:right="0"/>
              <w:jc w:val="left"/>
              <w:rPr>
                <w:rFonts w:ascii="宋体" w:hAnsi="宋体" w:cs="宋体" w:eastAsia="宋体" w:hint="default"/>
                <w:sz w:val="21"/>
                <w:szCs w:val="21"/>
              </w:rPr>
            </w:pPr>
            <w:r>
              <w:rPr>
                <w:rFonts w:ascii="宋体"/>
                <w:sz w:val="21"/>
              </w:rPr>
              <w:t>55,000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77" w:right="0"/>
              <w:jc w:val="left"/>
              <w:rPr>
                <w:rFonts w:ascii="宋体" w:hAnsi="宋体" w:cs="宋体" w:eastAsia="宋体" w:hint="default"/>
                <w:sz w:val="21"/>
                <w:szCs w:val="21"/>
              </w:rPr>
            </w:pPr>
            <w:r>
              <w:rPr>
                <w:rFonts w:ascii="宋体"/>
                <w:sz w:val="21"/>
              </w:rPr>
              <w:t>10.54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87" w:right="0"/>
              <w:jc w:val="left"/>
              <w:rPr>
                <w:rFonts w:ascii="宋体" w:hAnsi="宋体" w:cs="宋体" w:eastAsia="宋体" w:hint="default"/>
                <w:sz w:val="21"/>
                <w:szCs w:val="21"/>
              </w:rPr>
            </w:pPr>
            <w:r>
              <w:rPr>
                <w:rFonts w:ascii="宋体" w:hAnsi="宋体" w:cs="宋体" w:eastAsia="宋体" w:hint="default"/>
                <w:sz w:val="21"/>
                <w:szCs w:val="21"/>
              </w:rPr>
              <w:t>股权收购</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9" w:right="0"/>
              <w:jc w:val="left"/>
              <w:rPr>
                <w:rFonts w:ascii="宋体" w:hAnsi="宋体" w:cs="宋体" w:eastAsia="宋体" w:hint="default"/>
                <w:sz w:val="21"/>
                <w:szCs w:val="21"/>
              </w:rPr>
            </w:pPr>
            <w:r>
              <w:rPr>
                <w:rFonts w:ascii="宋体"/>
                <w:sz w:val="21"/>
              </w:rPr>
              <w:t>2018/5/24</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83" w:right="99"/>
              <w:jc w:val="right"/>
              <w:rPr>
                <w:rFonts w:ascii="宋体" w:hAnsi="宋体" w:cs="宋体" w:eastAsia="宋体" w:hint="default"/>
                <w:sz w:val="21"/>
                <w:szCs w:val="21"/>
              </w:rPr>
            </w:pPr>
            <w:r>
              <w:rPr>
                <w:rFonts w:ascii="宋体" w:hAnsi="宋体" w:cs="宋体" w:eastAsia="宋体" w:hint="default"/>
                <w:spacing w:val="-1"/>
                <w:sz w:val="21"/>
                <w:szCs w:val="21"/>
              </w:rPr>
              <w:t>收购完成并取</w:t>
            </w:r>
            <w:r>
              <w:rPr>
                <w:rFonts w:ascii="宋体" w:hAnsi="宋体" w:cs="宋体" w:eastAsia="宋体" w:hint="default"/>
                <w:w w:val="100"/>
                <w:sz w:val="21"/>
                <w:szCs w:val="21"/>
              </w:rPr>
              <w:t> </w:t>
            </w:r>
            <w:r>
              <w:rPr>
                <w:rFonts w:ascii="宋体" w:hAnsi="宋体" w:cs="宋体" w:eastAsia="宋体" w:hint="default"/>
                <w:spacing w:val="-1"/>
                <w:sz w:val="21"/>
                <w:szCs w:val="21"/>
              </w:rPr>
              <w:t>得实际控制权</w:t>
            </w:r>
          </w:p>
          <w:p>
            <w:pPr>
              <w:pStyle w:val="TableParagraph"/>
              <w:spacing w:line="249"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262" w:right="0"/>
              <w:jc w:val="left"/>
              <w:rPr>
                <w:rFonts w:ascii="宋体" w:hAnsi="宋体" w:cs="宋体" w:eastAsia="宋体" w:hint="default"/>
                <w:sz w:val="21"/>
                <w:szCs w:val="21"/>
              </w:rPr>
            </w:pPr>
            <w:r>
              <w:rPr>
                <w:rFonts w:ascii="宋体"/>
                <w:sz w:val="21"/>
              </w:rPr>
              <w:t>95,417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48" w:right="0"/>
              <w:jc w:val="left"/>
              <w:rPr>
                <w:rFonts w:ascii="宋体" w:hAnsi="宋体" w:cs="宋体" w:eastAsia="宋体" w:hint="default"/>
                <w:sz w:val="21"/>
                <w:szCs w:val="21"/>
              </w:rPr>
            </w:pPr>
            <w:r>
              <w:rPr>
                <w:rFonts w:ascii="宋体"/>
                <w:sz w:val="21"/>
              </w:rPr>
              <w:t>(14,963)</w:t>
            </w:r>
          </w:p>
        </w:tc>
      </w:tr>
    </w:tbl>
    <w:p>
      <w:pPr>
        <w:spacing w:line="240" w:lineRule="auto" w:before="12"/>
        <w:rPr>
          <w:rFonts w:ascii="宋体" w:hAnsi="宋体" w:cs="宋体" w:eastAsia="宋体" w:hint="default"/>
          <w:sz w:val="19"/>
          <w:szCs w:val="19"/>
        </w:rPr>
      </w:pPr>
    </w:p>
    <w:p>
      <w:pPr>
        <w:pStyle w:val="BodyText"/>
        <w:spacing w:line="240" w:lineRule="auto" w:before="36"/>
        <w:ind w:left="224" w:right="0"/>
        <w:jc w:val="left"/>
      </w:pPr>
      <w:r>
        <w:rPr/>
        <w:t>其他说明：</w:t>
      </w:r>
    </w:p>
    <w:p>
      <w:pPr>
        <w:pStyle w:val="BodyText"/>
        <w:spacing w:line="355" w:lineRule="auto" w:before="59"/>
        <w:ind w:left="224" w:right="0" w:firstLine="420"/>
        <w:jc w:val="left"/>
      </w:pPr>
      <w:r>
        <w:rPr>
          <w:spacing w:val="-2"/>
        </w:rPr>
        <w:t>深圳市蜂联科技有限公司</w:t>
      </w:r>
      <w:r>
        <w:rPr>
          <w:rFonts w:ascii="宋体" w:hAnsi="宋体" w:cs="宋体" w:eastAsia="宋体" w:hint="default"/>
          <w:spacing w:val="-2"/>
        </w:rPr>
        <w:t>(</w:t>
      </w:r>
      <w:r>
        <w:rPr>
          <w:spacing w:val="-2"/>
        </w:rPr>
        <w:t>以下简称“深圳蜂联”)原为本集团按权益法核算的长期股权投资。截至购买日前本集团持有深圳蜂联的持股比例为</w:t>
      </w:r>
      <w:r>
        <w:rPr>
          <w:w w:val="100"/>
        </w:rPr>
        <w:t> </w:t>
      </w:r>
      <w:r>
        <w:rPr>
          <w:rFonts w:ascii="宋体" w:hAnsi="宋体" w:cs="宋体" w:eastAsia="宋体" w:hint="default"/>
        </w:rPr>
        <w:t>35.78%</w:t>
      </w:r>
      <w:r>
        <w:rPr/>
        <w:t>。</w:t>
      </w:r>
    </w:p>
    <w:p>
      <w:pPr>
        <w:pStyle w:val="BodyText"/>
        <w:spacing w:line="357" w:lineRule="auto" w:before="32"/>
        <w:ind w:left="224" w:right="0" w:firstLine="420"/>
        <w:jc w:val="left"/>
      </w:pPr>
      <w:r>
        <w:rPr>
          <w:rFonts w:ascii="宋体" w:hAnsi="宋体" w:cs="宋体" w:eastAsia="宋体" w:hint="default"/>
        </w:rPr>
        <w:t>2018</w:t>
      </w:r>
      <w:r>
        <w:rPr>
          <w:rFonts w:ascii="宋体" w:hAnsi="宋体" w:cs="宋体" w:eastAsia="宋体" w:hint="default"/>
          <w:spacing w:val="-38"/>
        </w:rPr>
        <w:t> </w:t>
      </w:r>
      <w:r>
        <w:rPr/>
        <w:t>年</w:t>
      </w:r>
      <w:r>
        <w:rPr>
          <w:spacing w:val="-35"/>
        </w:rPr>
        <w:t> </w:t>
      </w:r>
      <w:r>
        <w:rPr>
          <w:rFonts w:ascii="宋体" w:hAnsi="宋体" w:cs="宋体" w:eastAsia="宋体" w:hint="default"/>
        </w:rPr>
        <w:t>5</w:t>
      </w:r>
      <w:r>
        <w:rPr>
          <w:rFonts w:ascii="宋体" w:hAnsi="宋体" w:cs="宋体" w:eastAsia="宋体" w:hint="default"/>
          <w:spacing w:val="-38"/>
        </w:rPr>
        <w:t> </w:t>
      </w:r>
      <w:r>
        <w:rPr>
          <w:spacing w:val="-3"/>
        </w:rPr>
        <w:t>月，本集团通过购买其他股东所持有的</w:t>
      </w:r>
      <w:r>
        <w:rPr>
          <w:spacing w:val="-35"/>
        </w:rPr>
        <w:t> </w:t>
      </w:r>
      <w:r>
        <w:rPr>
          <w:rFonts w:ascii="宋体" w:hAnsi="宋体" w:cs="宋体" w:eastAsia="宋体" w:hint="default"/>
          <w:spacing w:val="-3"/>
        </w:rPr>
        <w:t>10.54%</w:t>
      </w:r>
      <w:r>
        <w:rPr>
          <w:spacing w:val="-3"/>
        </w:rPr>
        <w:t>的股权并与其中一名股东签署《一致行动协议》取得对深圳蜂联的控制权，构成非同一控制</w:t>
      </w:r>
      <w:r>
        <w:rPr>
          <w:w w:val="100"/>
        </w:rPr>
        <w:t> </w:t>
      </w:r>
      <w:r>
        <w:rPr>
          <w:spacing w:val="-2"/>
        </w:rPr>
        <w:t>下企业合并。此次交易完成后，本集团对深圳蜂联的持股比例增至</w:t>
      </w:r>
      <w:r>
        <w:rPr>
          <w:spacing w:val="6"/>
        </w:rPr>
        <w:t> </w:t>
      </w:r>
      <w:r>
        <w:rPr>
          <w:rFonts w:ascii="宋体" w:hAnsi="宋体" w:cs="宋体" w:eastAsia="宋体" w:hint="default"/>
          <w:spacing w:val="-1"/>
        </w:rPr>
        <w:t>46.32%</w:t>
      </w:r>
      <w:r>
        <w:rPr>
          <w:spacing w:val="-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before="44"/>
        <w:ind w:left="9" w:right="5" w:firstLine="0"/>
        <w:jc w:val="center"/>
        <w:rPr>
          <w:rFonts w:ascii="宋体" w:hAnsi="宋体" w:cs="宋体" w:eastAsia="宋体" w:hint="default"/>
          <w:sz w:val="18"/>
          <w:szCs w:val="18"/>
        </w:rPr>
      </w:pPr>
      <w:r>
        <w:rPr>
          <w:rFonts w:ascii="宋体"/>
          <w:b/>
          <w:sz w:val="18"/>
        </w:rPr>
        <w:t>184 </w:t>
      </w:r>
      <w:r>
        <w:rPr>
          <w:rFonts w:ascii="宋体"/>
          <w:sz w:val="18"/>
        </w:rPr>
        <w:t>/</w:t>
      </w:r>
      <w:r>
        <w:rPr>
          <w:rFonts w:ascii="宋体"/>
          <w:spacing w:val="-1"/>
          <w:sz w:val="18"/>
        </w:rPr>
        <w:t> </w:t>
      </w:r>
      <w:r>
        <w:rPr>
          <w:rFonts w:ascii="宋体"/>
          <w:b/>
          <w:sz w:val="18"/>
        </w:rPr>
        <w:t>220</w:t>
      </w:r>
      <w:r>
        <w:rPr>
          <w:rFonts w:ascii="宋体"/>
          <w:sz w:val="18"/>
        </w:rPr>
      </w:r>
    </w:p>
    <w:p>
      <w:pPr>
        <w:spacing w:after="0"/>
        <w:jc w:val="center"/>
        <w:rPr>
          <w:rFonts w:ascii="宋体" w:hAnsi="宋体" w:cs="宋体" w:eastAsia="宋体" w:hint="default"/>
          <w:sz w:val="18"/>
          <w:szCs w:val="18"/>
        </w:rPr>
        <w:sectPr>
          <w:type w:val="continuous"/>
          <w:pgSz w:w="16840" w:h="11910" w:orient="landscape"/>
          <w:pgMar w:top="1320" w:bottom="1400" w:left="1300" w:right="1220"/>
        </w:sectPr>
      </w:pPr>
    </w:p>
    <w:p>
      <w:pPr>
        <w:spacing w:line="240" w:lineRule="auto" w:before="0"/>
        <w:rPr>
          <w:rFonts w:ascii="宋体" w:hAnsi="宋体" w:cs="宋体" w:eastAsia="宋体" w:hint="default"/>
          <w:b/>
          <w:bCs/>
          <w:sz w:val="28"/>
          <w:szCs w:val="28"/>
        </w:rPr>
      </w:pPr>
    </w:p>
    <w:p>
      <w:pPr>
        <w:spacing w:after="0" w:line="240" w:lineRule="auto"/>
        <w:rPr>
          <w:rFonts w:ascii="宋体" w:hAnsi="宋体" w:cs="宋体" w:eastAsia="宋体" w:hint="default"/>
          <w:sz w:val="28"/>
          <w:szCs w:val="28"/>
        </w:rPr>
        <w:sectPr>
          <w:footerReference w:type="default" r:id="rId82"/>
          <w:pgSz w:w="11910" w:h="16840"/>
          <w:pgMar w:footer="1217" w:header="0" w:top="1320" w:bottom="1400" w:left="1060" w:right="1560"/>
          <w:pgNumType w:start="185"/>
        </w:sectPr>
      </w:pPr>
    </w:p>
    <w:p>
      <w:pPr>
        <w:pStyle w:val="Heading5"/>
        <w:spacing w:line="240" w:lineRule="auto" w:before="36"/>
        <w:ind w:left="217" w:right="-14"/>
        <w:jc w:val="left"/>
        <w:rPr>
          <w:b w:val="0"/>
          <w:bCs w:val="0"/>
        </w:rPr>
      </w:pPr>
      <w:r>
        <w:rPr>
          <w:rFonts w:ascii="宋体" w:hAnsi="宋体" w:cs="宋体" w:eastAsia="宋体" w:hint="default"/>
        </w:rPr>
        <w:t>(2).</w:t>
      </w:r>
      <w:r>
        <w:rPr/>
        <w:t>合并成本及商誉</w:t>
      </w:r>
      <w:r>
        <w:rPr>
          <w:b w:val="0"/>
          <w:bCs w:val="0"/>
        </w:rPr>
      </w:r>
    </w:p>
    <w:p>
      <w:pPr>
        <w:pStyle w:val="BodyText"/>
        <w:spacing w:line="240" w:lineRule="auto" w:before="58"/>
        <w:ind w:left="21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79" w:val="left" w:leader="none"/>
        </w:tabs>
        <w:spacing w:line="240" w:lineRule="auto"/>
        <w:ind w:left="21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60" w:right="1560"/>
          <w:cols w:num="2" w:equalWidth="0">
            <w:col w:w="2123" w:space="4187"/>
            <w:col w:w="2980"/>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6064"/>
        <w:gridCol w:w="2986"/>
      </w:tblGrid>
      <w:tr>
        <w:trPr>
          <w:trHeight w:val="283" w:hRule="exact"/>
        </w:trPr>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深圳市蜂联科技有限公司</w:t>
            </w:r>
          </w:p>
        </w:tc>
      </w:tr>
      <w:tr>
        <w:trPr>
          <w:trHeight w:val="281" w:hRule="exact"/>
        </w:trPr>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55,000</w:t>
            </w:r>
          </w:p>
        </w:tc>
      </w:tr>
      <w:tr>
        <w:trPr>
          <w:trHeight w:val="283" w:hRule="exact"/>
        </w:trPr>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购买日之前持有的股权于购买日的公允价值</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156,792</w:t>
            </w:r>
          </w:p>
        </w:tc>
      </w:tr>
      <w:tr>
        <w:trPr>
          <w:trHeight w:val="284" w:hRule="exact"/>
        </w:trPr>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211,792</w:t>
            </w:r>
          </w:p>
        </w:tc>
      </w:tr>
      <w:tr>
        <w:trPr>
          <w:trHeight w:val="281" w:hRule="exact"/>
        </w:trPr>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41,014</w:t>
            </w:r>
          </w:p>
        </w:tc>
      </w:tr>
      <w:tr>
        <w:trPr>
          <w:trHeight w:val="283" w:hRule="exact"/>
        </w:trPr>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合并成本小于取得的可辨认净资产公允价值份额的金额</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170,778</w:t>
            </w:r>
          </w:p>
        </w:tc>
      </w:tr>
    </w:tbl>
    <w:p>
      <w:pPr>
        <w:spacing w:line="240" w:lineRule="auto" w:before="7"/>
        <w:rPr>
          <w:rFonts w:ascii="宋体" w:hAnsi="宋体" w:cs="宋体" w:eastAsia="宋体" w:hint="default"/>
          <w:sz w:val="15"/>
          <w:szCs w:val="15"/>
        </w:rPr>
      </w:pPr>
    </w:p>
    <w:p>
      <w:pPr>
        <w:pStyle w:val="BodyText"/>
        <w:spacing w:line="273" w:lineRule="exact" w:before="36"/>
        <w:ind w:left="217" w:right="234"/>
        <w:jc w:val="left"/>
      </w:pPr>
      <w:r>
        <w:rPr/>
        <w:t>合并成本公允价值的确定方法、或有对价及其变动的说明：</w:t>
      </w:r>
    </w:p>
    <w:p>
      <w:pPr>
        <w:pStyle w:val="BodyText"/>
        <w:spacing w:line="273" w:lineRule="exact"/>
        <w:ind w:left="637" w:right="124"/>
        <w:jc w:val="left"/>
      </w:pPr>
      <w:r>
        <w:rPr>
          <w:w w:val="100"/>
        </w:rPr>
        <w:t>本次</w:t>
      </w:r>
      <w:r>
        <w:rPr>
          <w:spacing w:val="-3"/>
          <w:w w:val="100"/>
        </w:rPr>
        <w:t>收</w:t>
      </w:r>
      <w:r>
        <w:rPr>
          <w:w w:val="100"/>
        </w:rPr>
        <w:t>购</w:t>
      </w:r>
      <w:r>
        <w:rPr>
          <w:spacing w:val="-3"/>
          <w:w w:val="100"/>
        </w:rPr>
        <w:t>的</w:t>
      </w:r>
      <w:r>
        <w:rPr>
          <w:w w:val="100"/>
        </w:rPr>
        <w:t>现</w:t>
      </w:r>
      <w:r>
        <w:rPr>
          <w:spacing w:val="-3"/>
          <w:w w:val="100"/>
        </w:rPr>
        <w:t>金</w:t>
      </w:r>
      <w:r>
        <w:rPr>
          <w:w w:val="100"/>
        </w:rPr>
        <w:t>对</w:t>
      </w:r>
      <w:r>
        <w:rPr>
          <w:spacing w:val="-3"/>
          <w:w w:val="100"/>
        </w:rPr>
        <w:t>价</w:t>
      </w:r>
      <w:r>
        <w:rPr>
          <w:w w:val="100"/>
        </w:rPr>
        <w:t>为</w:t>
      </w:r>
      <w:r>
        <w:rPr>
          <w:spacing w:val="-3"/>
          <w:w w:val="100"/>
        </w:rPr>
        <w:t>人</w:t>
      </w:r>
      <w:r>
        <w:rPr>
          <w:w w:val="100"/>
        </w:rPr>
        <w:t>民币</w:t>
      </w:r>
      <w:r>
        <w:rPr>
          <w:spacing w:val="-53"/>
        </w:rPr>
        <w:t> </w:t>
      </w:r>
      <w:r>
        <w:rPr>
          <w:rFonts w:ascii="宋体" w:hAnsi="宋体" w:cs="宋体" w:eastAsia="宋体" w:hint="default"/>
          <w:spacing w:val="-3"/>
          <w:w w:val="100"/>
        </w:rPr>
        <w:t>5</w:t>
      </w:r>
      <w:r>
        <w:rPr>
          <w:rFonts w:ascii="宋体" w:hAnsi="宋体" w:cs="宋体" w:eastAsia="宋体" w:hint="default"/>
          <w:w w:val="100"/>
        </w:rPr>
        <w:t>5,0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3"/>
        </w:rPr>
        <w:t> </w:t>
      </w:r>
      <w:r>
        <w:rPr>
          <w:spacing w:val="-3"/>
          <w:w w:val="100"/>
        </w:rPr>
        <w:t>千元</w:t>
      </w:r>
      <w:r>
        <w:rPr>
          <w:spacing w:val="-92"/>
          <w:w w:val="100"/>
        </w:rPr>
        <w:t>，</w:t>
      </w:r>
      <w:r>
        <w:rPr>
          <w:spacing w:val="-3"/>
          <w:w w:val="100"/>
        </w:rPr>
        <w:t>购</w:t>
      </w:r>
      <w:r>
        <w:rPr>
          <w:w w:val="100"/>
        </w:rPr>
        <w:t>买</w:t>
      </w:r>
      <w:r>
        <w:rPr>
          <w:spacing w:val="-3"/>
          <w:w w:val="100"/>
        </w:rPr>
        <w:t>日</w:t>
      </w:r>
      <w:r>
        <w:rPr>
          <w:w w:val="100"/>
        </w:rPr>
        <w:t>之前</w:t>
      </w:r>
      <w:r>
        <w:rPr>
          <w:spacing w:val="-3"/>
          <w:w w:val="100"/>
        </w:rPr>
        <w:t>持</w:t>
      </w:r>
      <w:r>
        <w:rPr>
          <w:w w:val="100"/>
        </w:rPr>
        <w:t>有</w:t>
      </w:r>
      <w:r>
        <w:rPr>
          <w:spacing w:val="-3"/>
          <w:w w:val="100"/>
        </w:rPr>
        <w:t>的</w:t>
      </w:r>
      <w:r>
        <w:rPr>
          <w:w w:val="100"/>
        </w:rPr>
        <w:t>股</w:t>
      </w:r>
      <w:r>
        <w:rPr>
          <w:spacing w:val="-3"/>
          <w:w w:val="100"/>
        </w:rPr>
        <w:t>权</w:t>
      </w:r>
      <w:r>
        <w:rPr>
          <w:w w:val="100"/>
        </w:rPr>
        <w:t>于</w:t>
      </w:r>
      <w:r>
        <w:rPr>
          <w:spacing w:val="-3"/>
          <w:w w:val="100"/>
        </w:rPr>
        <w:t>购</w:t>
      </w:r>
      <w:r>
        <w:rPr>
          <w:w w:val="100"/>
        </w:rPr>
        <w:t>买</w:t>
      </w:r>
      <w:r>
        <w:rPr>
          <w:spacing w:val="-3"/>
          <w:w w:val="100"/>
        </w:rPr>
        <w:t>日</w:t>
      </w:r>
      <w:r>
        <w:rPr>
          <w:w w:val="100"/>
        </w:rPr>
        <w:t>的公</w:t>
      </w:r>
      <w:r>
        <w:rPr>
          <w:spacing w:val="-3"/>
          <w:w w:val="100"/>
        </w:rPr>
        <w:t>允</w:t>
      </w:r>
      <w:r>
        <w:rPr>
          <w:w w:val="100"/>
        </w:rPr>
        <w:t>价</w:t>
      </w:r>
      <w:r>
        <w:rPr>
          <w:spacing w:val="-3"/>
          <w:w w:val="100"/>
        </w:rPr>
        <w:t>值为</w:t>
      </w:r>
      <w:r>
        <w:rPr>
          <w:w w:val="100"/>
        </w:rPr>
        <w:t>人</w:t>
      </w:r>
    </w:p>
    <w:p>
      <w:pPr>
        <w:pStyle w:val="BodyText"/>
        <w:spacing w:line="240" w:lineRule="auto" w:before="133"/>
        <w:ind w:left="217" w:right="234"/>
        <w:jc w:val="left"/>
      </w:pPr>
      <w:r>
        <w:rPr/>
        <w:t>民币</w:t>
      </w:r>
      <w:r>
        <w:rPr>
          <w:spacing w:val="-53"/>
        </w:rPr>
        <w:t> </w:t>
      </w:r>
      <w:r>
        <w:rPr>
          <w:rFonts w:ascii="宋体" w:hAnsi="宋体" w:cs="宋体" w:eastAsia="宋体" w:hint="default"/>
        </w:rPr>
        <w:t>156,792</w:t>
      </w:r>
      <w:r>
        <w:rPr>
          <w:rFonts w:ascii="宋体" w:hAnsi="宋体" w:cs="宋体" w:eastAsia="宋体" w:hint="default"/>
          <w:spacing w:val="-53"/>
        </w:rPr>
        <w:t> </w:t>
      </w:r>
      <w:r>
        <w:rPr/>
        <w:t>千元。</w:t>
      </w:r>
    </w:p>
    <w:p>
      <w:pPr>
        <w:spacing w:line="240" w:lineRule="auto" w:before="0"/>
        <w:rPr>
          <w:rFonts w:ascii="宋体" w:hAnsi="宋体" w:cs="宋体" w:eastAsia="宋体" w:hint="default"/>
          <w:sz w:val="20"/>
          <w:szCs w:val="20"/>
        </w:rPr>
      </w:pPr>
    </w:p>
    <w:p>
      <w:pPr>
        <w:pStyle w:val="BodyText"/>
        <w:spacing w:line="273" w:lineRule="exact" w:before="145"/>
        <w:ind w:left="217" w:right="234"/>
        <w:jc w:val="left"/>
      </w:pPr>
      <w:r>
        <w:rPr/>
        <w:t>大额商誉形成的主要原因：</w:t>
      </w:r>
    </w:p>
    <w:p>
      <w:pPr>
        <w:pStyle w:val="BodyText"/>
        <w:spacing w:line="273" w:lineRule="exact"/>
        <w:ind w:left="637" w:right="124"/>
        <w:jc w:val="left"/>
      </w:pPr>
      <w:r>
        <w:rPr>
          <w:w w:val="100"/>
        </w:rPr>
        <w:t>本次</w:t>
      </w:r>
      <w:r>
        <w:rPr>
          <w:spacing w:val="-3"/>
          <w:w w:val="100"/>
        </w:rPr>
        <w:t>非</w:t>
      </w:r>
      <w:r>
        <w:rPr>
          <w:w w:val="100"/>
        </w:rPr>
        <w:t>同</w:t>
      </w:r>
      <w:r>
        <w:rPr>
          <w:spacing w:val="-3"/>
          <w:w w:val="100"/>
        </w:rPr>
        <w:t>一</w:t>
      </w:r>
      <w:r>
        <w:rPr>
          <w:w w:val="100"/>
        </w:rPr>
        <w:t>控</w:t>
      </w:r>
      <w:r>
        <w:rPr>
          <w:spacing w:val="-3"/>
          <w:w w:val="100"/>
        </w:rPr>
        <w:t>制</w:t>
      </w:r>
      <w:r>
        <w:rPr>
          <w:w w:val="100"/>
        </w:rPr>
        <w:t>下</w:t>
      </w:r>
      <w:r>
        <w:rPr>
          <w:spacing w:val="-3"/>
          <w:w w:val="100"/>
        </w:rPr>
        <w:t>企</w:t>
      </w:r>
      <w:r>
        <w:rPr>
          <w:w w:val="100"/>
        </w:rPr>
        <w:t>业</w:t>
      </w:r>
      <w:r>
        <w:rPr>
          <w:spacing w:val="-3"/>
          <w:w w:val="100"/>
        </w:rPr>
        <w:t>合</w:t>
      </w:r>
      <w:r>
        <w:rPr>
          <w:w w:val="100"/>
        </w:rPr>
        <w:t>并中</w:t>
      </w:r>
      <w:r>
        <w:rPr>
          <w:spacing w:val="-3"/>
          <w:w w:val="100"/>
        </w:rPr>
        <w:t>无</w:t>
      </w:r>
      <w:r>
        <w:rPr>
          <w:w w:val="100"/>
        </w:rPr>
        <w:t>形</w:t>
      </w:r>
      <w:r>
        <w:rPr>
          <w:spacing w:val="-3"/>
          <w:w w:val="100"/>
        </w:rPr>
        <w:t>资</w:t>
      </w:r>
      <w:r>
        <w:rPr>
          <w:w w:val="100"/>
        </w:rPr>
        <w:t>产</w:t>
      </w:r>
      <w:r>
        <w:rPr>
          <w:spacing w:val="-3"/>
          <w:w w:val="100"/>
        </w:rPr>
        <w:t>评</w:t>
      </w:r>
      <w:r>
        <w:rPr>
          <w:w w:val="100"/>
        </w:rPr>
        <w:t>估</w:t>
      </w:r>
      <w:r>
        <w:rPr>
          <w:spacing w:val="-3"/>
          <w:w w:val="100"/>
        </w:rPr>
        <w:t>增</w:t>
      </w:r>
      <w:r>
        <w:rPr>
          <w:w w:val="100"/>
        </w:rPr>
        <w:t>值</w:t>
      </w:r>
      <w:r>
        <w:rPr>
          <w:spacing w:val="-3"/>
          <w:w w:val="100"/>
        </w:rPr>
        <w:t>金</w:t>
      </w:r>
      <w:r>
        <w:rPr>
          <w:w w:val="100"/>
        </w:rPr>
        <w:t>额为</w:t>
      </w:r>
      <w:r>
        <w:rPr>
          <w:spacing w:val="-3"/>
          <w:w w:val="100"/>
        </w:rPr>
        <w:t>人民</w:t>
      </w:r>
      <w:r>
        <w:rPr>
          <w:w w:val="100"/>
        </w:rPr>
        <w:t>币</w:t>
      </w:r>
      <w:r>
        <w:rPr>
          <w:spacing w:val="-53"/>
        </w:rPr>
        <w:t> </w:t>
      </w:r>
      <w:r>
        <w:rPr>
          <w:rFonts w:ascii="宋体" w:hAnsi="宋体" w:cs="宋体" w:eastAsia="宋体" w:hint="default"/>
          <w:w w:val="100"/>
        </w:rPr>
        <w:t>57</w:t>
      </w:r>
      <w:r>
        <w:rPr>
          <w:rFonts w:ascii="宋体" w:hAnsi="宋体" w:cs="宋体" w:eastAsia="宋体" w:hint="default"/>
          <w:spacing w:val="-3"/>
          <w:w w:val="100"/>
        </w:rPr>
        <w:t>,</w:t>
      </w:r>
      <w:r>
        <w:rPr>
          <w:rFonts w:ascii="宋体" w:hAnsi="宋体" w:cs="宋体" w:eastAsia="宋体" w:hint="default"/>
          <w:w w:val="100"/>
        </w:rPr>
        <w:t>900</w:t>
      </w:r>
      <w:r>
        <w:rPr>
          <w:rFonts w:ascii="宋体" w:hAnsi="宋体" w:cs="宋体" w:eastAsia="宋体" w:hint="default"/>
          <w:spacing w:val="-55"/>
        </w:rPr>
        <w:t> </w:t>
      </w:r>
      <w:r>
        <w:rPr>
          <w:w w:val="100"/>
        </w:rPr>
        <w:t>千</w:t>
      </w:r>
      <w:r>
        <w:rPr>
          <w:spacing w:val="-3"/>
          <w:w w:val="100"/>
        </w:rPr>
        <w:t>元</w:t>
      </w:r>
      <w:r>
        <w:rPr>
          <w:spacing w:val="-94"/>
          <w:w w:val="100"/>
        </w:rPr>
        <w:t>，</w:t>
      </w:r>
      <w:r>
        <w:rPr>
          <w:w w:val="100"/>
        </w:rPr>
        <w:t>递延</w:t>
      </w:r>
      <w:r>
        <w:rPr>
          <w:spacing w:val="-3"/>
          <w:w w:val="100"/>
        </w:rPr>
        <w:t>所</w:t>
      </w:r>
      <w:r>
        <w:rPr>
          <w:w w:val="100"/>
        </w:rPr>
        <w:t>得</w:t>
      </w:r>
      <w:r>
        <w:rPr>
          <w:spacing w:val="-3"/>
          <w:w w:val="100"/>
        </w:rPr>
        <w:t>税负</w:t>
      </w:r>
      <w:r>
        <w:rPr>
          <w:w w:val="100"/>
        </w:rPr>
        <w:t>债</w:t>
      </w:r>
    </w:p>
    <w:p>
      <w:pPr>
        <w:pStyle w:val="BodyText"/>
        <w:spacing w:line="355" w:lineRule="auto" w:before="136"/>
        <w:ind w:left="217" w:right="234"/>
        <w:jc w:val="left"/>
      </w:pPr>
      <w:r>
        <w:rPr/>
        <w:t>金额为人民币</w:t>
      </w:r>
      <w:r>
        <w:rPr>
          <w:spacing w:val="-54"/>
        </w:rPr>
        <w:t> </w:t>
      </w:r>
      <w:r>
        <w:rPr>
          <w:rFonts w:ascii="宋体" w:hAnsi="宋体" w:cs="宋体" w:eastAsia="宋体" w:hint="default"/>
        </w:rPr>
        <w:t>8,685</w:t>
      </w:r>
      <w:r>
        <w:rPr>
          <w:rFonts w:ascii="宋体" w:hAnsi="宋体" w:cs="宋体" w:eastAsia="宋体" w:hint="default"/>
          <w:spacing w:val="-56"/>
        </w:rPr>
        <w:t> </w:t>
      </w:r>
      <w:r>
        <w:rPr/>
        <w:t>千元，合并成本大于合并中取得的深圳蜂联可辨认净资产公允价值份额的差</w:t>
      </w:r>
      <w:r>
        <w:rPr>
          <w:w w:val="100"/>
        </w:rPr>
        <w:t> </w:t>
      </w:r>
      <w:r>
        <w:rPr/>
        <w:t>额确认为商誉。</w:t>
      </w:r>
    </w:p>
    <w:p>
      <w:pPr>
        <w:spacing w:line="240" w:lineRule="auto" w:before="13"/>
        <w:rPr>
          <w:rFonts w:ascii="宋体" w:hAnsi="宋体" w:cs="宋体" w:eastAsia="宋体" w:hint="default"/>
          <w:sz w:val="27"/>
          <w:szCs w:val="27"/>
        </w:rPr>
      </w:pPr>
    </w:p>
    <w:p>
      <w:pPr>
        <w:pStyle w:val="BodyText"/>
        <w:spacing w:line="290" w:lineRule="auto"/>
        <w:ind w:left="217" w:right="7999"/>
        <w:jc w:val="left"/>
      </w:pPr>
      <w:r>
        <w:rPr/>
        <w:t>其他说明：</w:t>
      </w:r>
      <w:r>
        <w:rPr>
          <w:spacing w:val="-102"/>
        </w:rPr>
        <w:t> </w:t>
      </w:r>
      <w:r>
        <w:rPr>
          <w:spacing w:val="-102"/>
        </w:rPr>
      </w:r>
      <w:r>
        <w:rPr/>
        <w:t>无。</w:t>
      </w:r>
    </w:p>
    <w:p>
      <w:pPr>
        <w:spacing w:line="240" w:lineRule="auto" w:before="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20" w:bottom="1400" w:left="1060" w:right="1560"/>
        </w:sectPr>
      </w:pPr>
    </w:p>
    <w:p>
      <w:pPr>
        <w:pStyle w:val="Heading5"/>
        <w:spacing w:line="240" w:lineRule="auto" w:before="36"/>
        <w:ind w:left="217" w:right="-15"/>
        <w:jc w:val="left"/>
        <w:rPr>
          <w:b w:val="0"/>
          <w:bCs w:val="0"/>
        </w:rPr>
      </w:pPr>
      <w:r>
        <w:rPr>
          <w:rFonts w:ascii="宋体" w:hAnsi="宋体" w:cs="宋体" w:eastAsia="宋体" w:hint="default"/>
        </w:rPr>
        <w:t>(3).</w:t>
      </w:r>
      <w:r>
        <w:rPr/>
        <w:t>被购买方于购买日可辨认资产、负债</w:t>
      </w:r>
      <w:r>
        <w:rPr>
          <w:b w:val="0"/>
          <w:bCs w:val="0"/>
        </w:rPr>
      </w:r>
    </w:p>
    <w:p>
      <w:pPr>
        <w:pStyle w:val="BodyText"/>
        <w:spacing w:line="240" w:lineRule="auto" w:before="58"/>
        <w:ind w:left="21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79" w:val="left" w:leader="none"/>
        </w:tabs>
        <w:spacing w:line="240" w:lineRule="auto"/>
        <w:ind w:left="217"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060" w:right="1560"/>
          <w:cols w:num="2" w:equalWidth="0">
            <w:col w:w="4019" w:space="2291"/>
            <w:col w:w="2980"/>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937"/>
        <w:gridCol w:w="2410"/>
        <w:gridCol w:w="2703"/>
      </w:tblGrid>
      <w:tr>
        <w:trPr>
          <w:trHeight w:val="281" w:hRule="exact"/>
        </w:trPr>
        <w:tc>
          <w:tcPr>
            <w:tcW w:w="3937" w:type="dxa"/>
            <w:vMerge w:val="restart"/>
            <w:tcBorders>
              <w:top w:val="single" w:sz="4" w:space="0" w:color="000000"/>
              <w:left w:val="single" w:sz="4" w:space="0" w:color="000000"/>
              <w:right w:val="single" w:sz="4" w:space="0" w:color="000000"/>
            </w:tcBorders>
          </w:tcPr>
          <w:p>
            <w:pPr/>
          </w:p>
        </w:tc>
        <w:tc>
          <w:tcPr>
            <w:tcW w:w="5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4" w:right="0"/>
              <w:jc w:val="left"/>
              <w:rPr>
                <w:rFonts w:ascii="宋体" w:hAnsi="宋体" w:cs="宋体" w:eastAsia="宋体" w:hint="default"/>
                <w:sz w:val="21"/>
                <w:szCs w:val="21"/>
              </w:rPr>
            </w:pPr>
            <w:r>
              <w:rPr>
                <w:rFonts w:ascii="宋体" w:hAnsi="宋体" w:cs="宋体" w:eastAsia="宋体" w:hint="default"/>
                <w:sz w:val="21"/>
                <w:szCs w:val="21"/>
              </w:rPr>
              <w:t>深圳市蜂联科技有限公司</w:t>
            </w:r>
          </w:p>
        </w:tc>
      </w:tr>
      <w:tr>
        <w:trPr>
          <w:trHeight w:val="293" w:hRule="exact"/>
        </w:trPr>
        <w:tc>
          <w:tcPr>
            <w:tcW w:w="3937"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63"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09"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142,552</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84,652</w:t>
            </w:r>
          </w:p>
        </w:tc>
      </w:tr>
      <w:tr>
        <w:trPr>
          <w:trHeight w:val="32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11,976</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11,976</w:t>
            </w:r>
          </w:p>
        </w:tc>
      </w:tr>
      <w:tr>
        <w:trPr>
          <w:trHeight w:val="32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33,216</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33,216</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7,684</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7,684</w:t>
            </w:r>
          </w:p>
        </w:tc>
      </w:tr>
      <w:tr>
        <w:trPr>
          <w:trHeight w:val="32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24,647</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24,647</w:t>
            </w:r>
          </w:p>
        </w:tc>
      </w:tr>
      <w:tr>
        <w:trPr>
          <w:trHeight w:val="32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5,537</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5,537</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58,026</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126</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1,466</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1,466</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52,789</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44,104</w:t>
            </w:r>
          </w:p>
        </w:tc>
      </w:tr>
      <w:tr>
        <w:trPr>
          <w:trHeight w:val="32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41,271</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41,271</w:t>
            </w:r>
          </w:p>
        </w:tc>
      </w:tr>
      <w:tr>
        <w:trPr>
          <w:trHeight w:val="32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8,685</w:t>
            </w:r>
          </w:p>
        </w:tc>
        <w:tc>
          <w:tcPr>
            <w:tcW w:w="27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20" w:bottom="1400" w:left="1060" w:right="1560"/>
        </w:sectPr>
      </w:pP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3937"/>
        <w:gridCol w:w="2410"/>
        <w:gridCol w:w="2703"/>
      </w:tblGrid>
      <w:tr>
        <w:trPr>
          <w:trHeight w:val="284" w:hRule="exact"/>
        </w:trPr>
        <w:tc>
          <w:tcPr>
            <w:tcW w:w="3937" w:type="dxa"/>
            <w:vMerge w:val="restart"/>
            <w:tcBorders>
              <w:top w:val="single" w:sz="4" w:space="0" w:color="000000"/>
              <w:left w:val="single" w:sz="4" w:space="0" w:color="000000"/>
              <w:right w:val="single" w:sz="4" w:space="0" w:color="000000"/>
            </w:tcBorders>
          </w:tcPr>
          <w:p>
            <w:pPr/>
          </w:p>
        </w:tc>
        <w:tc>
          <w:tcPr>
            <w:tcW w:w="5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4" w:right="0"/>
              <w:jc w:val="left"/>
              <w:rPr>
                <w:rFonts w:ascii="宋体" w:hAnsi="宋体" w:cs="宋体" w:eastAsia="宋体" w:hint="default"/>
                <w:sz w:val="21"/>
                <w:szCs w:val="21"/>
              </w:rPr>
            </w:pPr>
            <w:r>
              <w:rPr>
                <w:rFonts w:ascii="宋体" w:hAnsi="宋体" w:cs="宋体" w:eastAsia="宋体" w:hint="default"/>
                <w:sz w:val="21"/>
                <w:szCs w:val="21"/>
              </w:rPr>
              <w:t>深圳市蜂联科技有限公司</w:t>
            </w:r>
          </w:p>
        </w:tc>
      </w:tr>
      <w:tr>
        <w:trPr>
          <w:trHeight w:val="290" w:hRule="exact"/>
        </w:trPr>
        <w:tc>
          <w:tcPr>
            <w:tcW w:w="3937"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63"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09"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2,833</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2,833</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89,763</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40,548</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减：少数股东权益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48,749</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22,331</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41,014</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18,217</w:t>
            </w:r>
          </w:p>
        </w:tc>
      </w:tr>
    </w:tbl>
    <w:p>
      <w:pPr>
        <w:spacing w:line="240" w:lineRule="auto" w:before="12"/>
        <w:rPr>
          <w:rFonts w:ascii="宋体" w:hAnsi="宋体" w:cs="宋体" w:eastAsia="宋体" w:hint="default"/>
          <w:sz w:val="19"/>
          <w:szCs w:val="19"/>
        </w:rPr>
      </w:pPr>
    </w:p>
    <w:p>
      <w:pPr>
        <w:pStyle w:val="BodyText"/>
        <w:spacing w:line="290" w:lineRule="auto" w:before="36"/>
        <w:ind w:left="637" w:right="234" w:hanging="420"/>
        <w:jc w:val="left"/>
      </w:pPr>
      <w:r>
        <w:rPr/>
        <w:t>可辨认资产、负债公允价值的确定方法：</w:t>
      </w:r>
      <w:r>
        <w:rPr>
          <w:w w:val="100"/>
        </w:rPr>
        <w:t> </w:t>
      </w:r>
      <w:r>
        <w:rPr>
          <w:spacing w:val="-2"/>
        </w:rPr>
        <w:t>本次交易以收益法评估值作为购买日可辨认资产、负债公允价值。</w:t>
      </w:r>
    </w:p>
    <w:p>
      <w:pPr>
        <w:pStyle w:val="BodyText"/>
        <w:spacing w:line="290" w:lineRule="auto" w:before="149"/>
        <w:ind w:left="217" w:right="5090"/>
        <w:jc w:val="left"/>
      </w:pPr>
      <w:r>
        <w:rPr>
          <w:spacing w:val="-2"/>
        </w:rPr>
        <w:t>企业合并中承担的被购买方的或有负债：</w:t>
      </w:r>
      <w:r>
        <w:rPr>
          <w:spacing w:val="-69"/>
        </w:rPr>
        <w:t> </w:t>
      </w:r>
      <w:r>
        <w:rPr>
          <w:spacing w:val="-69"/>
        </w:rPr>
      </w:r>
      <w:r>
        <w:rPr/>
        <w:t>无。</w:t>
      </w:r>
    </w:p>
    <w:p>
      <w:pPr>
        <w:pStyle w:val="BodyText"/>
        <w:spacing w:line="290" w:lineRule="auto" w:before="15"/>
        <w:ind w:left="217" w:right="7999"/>
        <w:jc w:val="left"/>
      </w:pPr>
      <w:r>
        <w:rPr/>
        <w:t>其他说明：</w:t>
      </w:r>
      <w:r>
        <w:rPr>
          <w:spacing w:val="-102"/>
        </w:rPr>
        <w:t> </w:t>
      </w:r>
      <w:r>
        <w:rPr>
          <w:spacing w:val="-102"/>
        </w:rPr>
      </w:r>
      <w:r>
        <w:rPr/>
        <w:t>无。</w:t>
      </w:r>
    </w:p>
    <w:p>
      <w:pPr>
        <w:spacing w:line="240" w:lineRule="auto" w:before="10"/>
        <w:rPr>
          <w:rFonts w:ascii="宋体" w:hAnsi="宋体" w:cs="宋体" w:eastAsia="宋体" w:hint="default"/>
          <w:sz w:val="24"/>
          <w:szCs w:val="24"/>
        </w:rPr>
      </w:pPr>
    </w:p>
    <w:p>
      <w:pPr>
        <w:spacing w:line="290" w:lineRule="auto" w:before="0"/>
        <w:ind w:left="217" w:right="23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27" w:lineRule="exact"/>
        <w:ind w:left="217" w:right="234"/>
        <w:jc w:val="left"/>
      </w:pPr>
      <w:r>
        <w:rPr/>
        <w:t>√适用 □不适用</w:t>
      </w:r>
    </w:p>
    <w:p>
      <w:pPr>
        <w:pStyle w:val="BodyText"/>
        <w:tabs>
          <w:tab w:pos="1262" w:val="left" w:leader="none"/>
        </w:tabs>
        <w:spacing w:line="274" w:lineRule="exact"/>
        <w:ind w:left="0" w:right="233"/>
        <w:jc w:val="right"/>
      </w:pPr>
      <w:r>
        <w:rPr>
          <w:spacing w:val="-1"/>
        </w:rPr>
        <w:t>单位：千元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68"/>
        <w:gridCol w:w="1136"/>
        <w:gridCol w:w="1558"/>
        <w:gridCol w:w="1558"/>
        <w:gridCol w:w="1356"/>
        <w:gridCol w:w="1774"/>
      </w:tblGrid>
      <w:tr>
        <w:trPr>
          <w:trHeight w:val="164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被购买方名称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1" w:right="140"/>
              <w:jc w:val="both"/>
              <w:rPr>
                <w:rFonts w:ascii="宋体" w:hAnsi="宋体" w:cs="宋体" w:eastAsia="宋体" w:hint="default"/>
                <w:sz w:val="21"/>
                <w:szCs w:val="21"/>
              </w:rPr>
            </w:pPr>
            <w:r>
              <w:rPr>
                <w:rFonts w:ascii="宋体" w:hAnsi="宋体" w:cs="宋体" w:eastAsia="宋体" w:hint="default"/>
                <w:sz w:val="21"/>
                <w:szCs w:val="21"/>
              </w:rPr>
              <w:t>购买日之</w:t>
            </w:r>
            <w:r>
              <w:rPr>
                <w:rFonts w:ascii="宋体" w:hAnsi="宋体" w:cs="宋体" w:eastAsia="宋体" w:hint="default"/>
                <w:w w:val="100"/>
                <w:sz w:val="21"/>
                <w:szCs w:val="21"/>
              </w:rPr>
              <w:t> </w:t>
            </w:r>
            <w:r>
              <w:rPr>
                <w:rFonts w:ascii="宋体" w:hAnsi="宋体" w:cs="宋体" w:eastAsia="宋体" w:hint="default"/>
                <w:sz w:val="21"/>
                <w:szCs w:val="21"/>
              </w:rPr>
              <w:t>前原持有</w:t>
            </w:r>
            <w:r>
              <w:rPr>
                <w:rFonts w:ascii="宋体" w:hAnsi="宋体" w:cs="宋体" w:eastAsia="宋体" w:hint="default"/>
                <w:w w:val="100"/>
                <w:sz w:val="21"/>
                <w:szCs w:val="21"/>
              </w:rPr>
              <w:t> </w:t>
            </w:r>
            <w:r>
              <w:rPr>
                <w:rFonts w:ascii="宋体" w:hAnsi="宋体" w:cs="宋体" w:eastAsia="宋体" w:hint="default"/>
                <w:sz w:val="21"/>
                <w:szCs w:val="21"/>
              </w:rPr>
              <w:t>股权在购</w:t>
            </w:r>
            <w:r>
              <w:rPr>
                <w:rFonts w:ascii="宋体" w:hAnsi="宋体" w:cs="宋体" w:eastAsia="宋体" w:hint="default"/>
                <w:w w:val="100"/>
                <w:sz w:val="21"/>
                <w:szCs w:val="21"/>
              </w:rPr>
              <w:t> </w:t>
            </w:r>
            <w:r>
              <w:rPr>
                <w:rFonts w:ascii="宋体" w:hAnsi="宋体" w:cs="宋体" w:eastAsia="宋体" w:hint="default"/>
                <w:sz w:val="21"/>
                <w:szCs w:val="21"/>
              </w:rPr>
              <w:t>买日的账</w:t>
            </w:r>
            <w:r>
              <w:rPr>
                <w:rFonts w:ascii="宋体" w:hAnsi="宋体" w:cs="宋体" w:eastAsia="宋体" w:hint="default"/>
                <w:w w:val="100"/>
                <w:sz w:val="21"/>
                <w:szCs w:val="21"/>
              </w:rPr>
              <w:t> </w:t>
            </w:r>
            <w:r>
              <w:rPr>
                <w:rFonts w:ascii="宋体" w:hAnsi="宋体" w:cs="宋体" w:eastAsia="宋体" w:hint="default"/>
                <w:sz w:val="21"/>
                <w:szCs w:val="21"/>
              </w:rPr>
              <w:t>面价值</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43" w:right="139"/>
              <w:jc w:val="center"/>
              <w:rPr>
                <w:rFonts w:ascii="宋体" w:hAnsi="宋体" w:cs="宋体" w:eastAsia="宋体" w:hint="default"/>
                <w:sz w:val="21"/>
                <w:szCs w:val="21"/>
              </w:rPr>
            </w:pPr>
            <w:r>
              <w:rPr>
                <w:rFonts w:ascii="宋体" w:hAnsi="宋体" w:cs="宋体" w:eastAsia="宋体" w:hint="default"/>
                <w:spacing w:val="-1"/>
                <w:sz w:val="21"/>
                <w:szCs w:val="21"/>
              </w:rPr>
              <w:t>购买日之前原</w:t>
            </w:r>
            <w:r>
              <w:rPr>
                <w:rFonts w:ascii="宋体" w:hAnsi="宋体" w:cs="宋体" w:eastAsia="宋体" w:hint="default"/>
                <w:w w:val="100"/>
                <w:sz w:val="21"/>
                <w:szCs w:val="21"/>
              </w:rPr>
              <w:t> </w:t>
            </w:r>
            <w:r>
              <w:rPr>
                <w:rFonts w:ascii="宋体" w:hAnsi="宋体" w:cs="宋体" w:eastAsia="宋体" w:hint="default"/>
                <w:spacing w:val="-1"/>
                <w:sz w:val="21"/>
                <w:szCs w:val="21"/>
              </w:rPr>
              <w:t>持有股权在购</w:t>
            </w:r>
            <w:r>
              <w:rPr>
                <w:rFonts w:ascii="宋体" w:hAnsi="宋体" w:cs="宋体" w:eastAsia="宋体" w:hint="default"/>
                <w:w w:val="100"/>
                <w:sz w:val="21"/>
                <w:szCs w:val="21"/>
              </w:rPr>
              <w:t> </w:t>
            </w:r>
            <w:r>
              <w:rPr>
                <w:rFonts w:ascii="宋体" w:hAnsi="宋体" w:cs="宋体" w:eastAsia="宋体" w:hint="default"/>
                <w:spacing w:val="-1"/>
                <w:sz w:val="21"/>
                <w:szCs w:val="21"/>
              </w:rPr>
              <w:t>买日的公允价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3" w:right="139"/>
              <w:jc w:val="center"/>
              <w:rPr>
                <w:rFonts w:ascii="宋体" w:hAnsi="宋体" w:cs="宋体" w:eastAsia="宋体" w:hint="default"/>
                <w:sz w:val="21"/>
                <w:szCs w:val="21"/>
              </w:rPr>
            </w:pPr>
            <w:r>
              <w:rPr>
                <w:rFonts w:ascii="宋体" w:hAnsi="宋体" w:cs="宋体" w:eastAsia="宋体" w:hint="default"/>
                <w:spacing w:val="-1"/>
                <w:sz w:val="21"/>
                <w:szCs w:val="21"/>
              </w:rPr>
              <w:t>购买日之前原</w:t>
            </w:r>
            <w:r>
              <w:rPr>
                <w:rFonts w:ascii="宋体" w:hAnsi="宋体" w:cs="宋体" w:eastAsia="宋体" w:hint="default"/>
                <w:w w:val="100"/>
                <w:sz w:val="21"/>
                <w:szCs w:val="21"/>
              </w:rPr>
              <w:t> </w:t>
            </w:r>
            <w:r>
              <w:rPr>
                <w:rFonts w:ascii="宋体" w:hAnsi="宋体" w:cs="宋体" w:eastAsia="宋体" w:hint="default"/>
                <w:spacing w:val="-1"/>
                <w:sz w:val="21"/>
                <w:szCs w:val="21"/>
              </w:rPr>
              <w:t>持有股权按照</w:t>
            </w:r>
            <w:r>
              <w:rPr>
                <w:rFonts w:ascii="宋体" w:hAnsi="宋体" w:cs="宋体" w:eastAsia="宋体" w:hint="default"/>
                <w:w w:val="100"/>
                <w:sz w:val="21"/>
                <w:szCs w:val="21"/>
              </w:rPr>
              <w:t> </w:t>
            </w:r>
            <w:r>
              <w:rPr>
                <w:rFonts w:ascii="宋体" w:hAnsi="宋体" w:cs="宋体" w:eastAsia="宋体" w:hint="default"/>
                <w:spacing w:val="-1"/>
                <w:sz w:val="21"/>
                <w:szCs w:val="21"/>
              </w:rPr>
              <w:t>公允价值重新</w:t>
            </w:r>
            <w:r>
              <w:rPr>
                <w:rFonts w:ascii="宋体" w:hAnsi="宋体" w:cs="宋体" w:eastAsia="宋体" w:hint="default"/>
                <w:w w:val="100"/>
                <w:sz w:val="21"/>
                <w:szCs w:val="21"/>
              </w:rPr>
              <w:t> </w:t>
            </w:r>
            <w:r>
              <w:rPr>
                <w:rFonts w:ascii="宋体" w:hAnsi="宋体" w:cs="宋体" w:eastAsia="宋体" w:hint="default"/>
                <w:spacing w:val="-1"/>
                <w:sz w:val="21"/>
                <w:szCs w:val="21"/>
              </w:rPr>
              <w:t>计量产生的利</w:t>
            </w:r>
            <w:r>
              <w:rPr>
                <w:rFonts w:ascii="宋体" w:hAnsi="宋体" w:cs="宋体" w:eastAsia="宋体" w:hint="default"/>
                <w:w w:val="100"/>
                <w:sz w:val="21"/>
                <w:szCs w:val="21"/>
              </w:rPr>
              <w:t> </w:t>
            </w:r>
            <w:r>
              <w:rPr>
                <w:rFonts w:ascii="宋体" w:hAnsi="宋体" w:cs="宋体" w:eastAsia="宋体" w:hint="default"/>
                <w:sz w:val="21"/>
                <w:szCs w:val="21"/>
              </w:rPr>
              <w:t>得或损失</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both"/>
              <w:rPr>
                <w:rFonts w:ascii="宋体" w:hAnsi="宋体" w:cs="宋体" w:eastAsia="宋体" w:hint="default"/>
                <w:sz w:val="21"/>
                <w:szCs w:val="21"/>
              </w:rPr>
            </w:pPr>
            <w:r>
              <w:rPr>
                <w:rFonts w:ascii="宋体" w:hAnsi="宋体" w:cs="宋体" w:eastAsia="宋体" w:hint="default"/>
                <w:sz w:val="21"/>
                <w:szCs w:val="21"/>
              </w:rPr>
              <w:t>购买日之前</w:t>
            </w:r>
          </w:p>
          <w:p>
            <w:pPr>
              <w:pStyle w:val="TableParagraph"/>
              <w:spacing w:line="237" w:lineRule="auto" w:before="2"/>
              <w:ind w:left="146" w:right="144"/>
              <w:jc w:val="both"/>
              <w:rPr>
                <w:rFonts w:ascii="宋体" w:hAnsi="宋体" w:cs="宋体" w:eastAsia="宋体" w:hint="default"/>
                <w:sz w:val="21"/>
                <w:szCs w:val="21"/>
              </w:rPr>
            </w:pPr>
            <w:r>
              <w:rPr>
                <w:rFonts w:ascii="宋体" w:hAnsi="宋体" w:cs="宋体" w:eastAsia="宋体" w:hint="default"/>
                <w:sz w:val="21"/>
                <w:szCs w:val="21"/>
              </w:rPr>
              <w:t>原持有股权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在购买日的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公允价值的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确定方法及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主要假设</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6" w:right="142"/>
              <w:jc w:val="center"/>
              <w:rPr>
                <w:rFonts w:ascii="宋体" w:hAnsi="宋体" w:cs="宋体" w:eastAsia="宋体" w:hint="default"/>
                <w:sz w:val="21"/>
                <w:szCs w:val="21"/>
              </w:rPr>
            </w:pPr>
            <w:r>
              <w:rPr>
                <w:rFonts w:ascii="宋体" w:hAnsi="宋体" w:cs="宋体" w:eastAsia="宋体" w:hint="default"/>
                <w:spacing w:val="-1"/>
                <w:sz w:val="21"/>
                <w:szCs w:val="21"/>
              </w:rPr>
              <w:t>购买日之前与原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持有股权相关的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其他综合收益转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入投资收益的金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r>
      <w:tr>
        <w:trPr>
          <w:trHeight w:val="110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深圳市蜂联科</w:t>
            </w:r>
          </w:p>
          <w:p>
            <w:pPr>
              <w:pStyle w:val="TableParagraph"/>
              <w:spacing w:line="237" w:lineRule="auto" w:before="2"/>
              <w:ind w:left="103" w:right="290"/>
              <w:jc w:val="both"/>
              <w:rPr>
                <w:rFonts w:ascii="宋体" w:hAnsi="宋体" w:cs="宋体" w:eastAsia="宋体" w:hint="default"/>
                <w:sz w:val="21"/>
                <w:szCs w:val="21"/>
              </w:rPr>
            </w:pPr>
            <w:r>
              <w:rPr>
                <w:rFonts w:ascii="宋体" w:hAnsi="宋体" w:cs="宋体" w:eastAsia="宋体" w:hint="default"/>
                <w:sz w:val="21"/>
                <w:szCs w:val="21"/>
              </w:rPr>
              <w:t>技有限公司及</w:t>
            </w:r>
            <w:r>
              <w:rPr>
                <w:rFonts w:ascii="宋体" w:hAnsi="宋体" w:cs="宋体" w:eastAsia="宋体" w:hint="default"/>
                <w:w w:val="100"/>
                <w:sz w:val="21"/>
                <w:szCs w:val="21"/>
              </w:rPr>
              <w:t> </w:t>
            </w:r>
            <w:r>
              <w:rPr>
                <w:rFonts w:ascii="宋体" w:hAnsi="宋体" w:cs="宋体" w:eastAsia="宋体" w:hint="default"/>
                <w:sz w:val="21"/>
                <w:szCs w:val="21"/>
              </w:rPr>
              <w:t>其控制的子公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87" w:right="0"/>
              <w:jc w:val="left"/>
              <w:rPr>
                <w:rFonts w:ascii="宋体" w:hAnsi="宋体" w:cs="宋体" w:eastAsia="宋体" w:hint="default"/>
                <w:sz w:val="21"/>
                <w:szCs w:val="21"/>
              </w:rPr>
            </w:pPr>
            <w:r>
              <w:rPr>
                <w:rFonts w:ascii="宋体"/>
                <w:sz w:val="21"/>
              </w:rPr>
              <w:t>100,834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710" w:right="0"/>
              <w:jc w:val="left"/>
              <w:rPr>
                <w:rFonts w:ascii="宋体" w:hAnsi="宋体" w:cs="宋体" w:eastAsia="宋体" w:hint="default"/>
                <w:sz w:val="21"/>
                <w:szCs w:val="21"/>
              </w:rPr>
            </w:pPr>
            <w:r>
              <w:rPr>
                <w:rFonts w:ascii="宋体"/>
                <w:sz w:val="21"/>
              </w:rPr>
              <w:t>156,792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813" w:right="0"/>
              <w:jc w:val="left"/>
              <w:rPr>
                <w:rFonts w:ascii="宋体" w:hAnsi="宋体" w:cs="宋体" w:eastAsia="宋体" w:hint="default"/>
                <w:sz w:val="21"/>
                <w:szCs w:val="21"/>
              </w:rPr>
            </w:pPr>
            <w:r>
              <w:rPr>
                <w:rFonts w:ascii="宋体"/>
                <w:sz w:val="21"/>
              </w:rPr>
              <w:t>55,958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收益法</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0" w:right="0"/>
              <w:jc w:val="left"/>
              <w:rPr>
                <w:rFonts w:ascii="宋体" w:hAnsi="宋体" w:cs="宋体" w:eastAsia="宋体" w:hint="default"/>
                <w:sz w:val="21"/>
                <w:szCs w:val="21"/>
              </w:rPr>
            </w:pPr>
            <w:r>
              <w:rPr>
                <w:rFonts w:ascii="宋体"/>
                <w:sz w:val="21"/>
              </w:rPr>
              <w:t>17,603</w:t>
            </w:r>
          </w:p>
        </w:tc>
      </w:tr>
    </w:tbl>
    <w:p>
      <w:pPr>
        <w:spacing w:line="240" w:lineRule="auto" w:before="12"/>
        <w:rPr>
          <w:rFonts w:ascii="宋体" w:hAnsi="宋体" w:cs="宋体" w:eastAsia="宋体" w:hint="default"/>
          <w:sz w:val="19"/>
          <w:szCs w:val="19"/>
        </w:rPr>
      </w:pPr>
    </w:p>
    <w:p>
      <w:pPr>
        <w:pStyle w:val="BodyText"/>
        <w:spacing w:line="290" w:lineRule="auto" w:before="36"/>
        <w:ind w:left="217" w:right="7999"/>
        <w:jc w:val="left"/>
      </w:pPr>
      <w:r>
        <w:rPr/>
        <w:t>其他说明：</w:t>
      </w:r>
      <w:r>
        <w:rPr>
          <w:spacing w:val="-102"/>
        </w:rPr>
        <w:t> </w:t>
      </w:r>
      <w:r>
        <w:rPr>
          <w:spacing w:val="-102"/>
        </w:rPr>
      </w:r>
      <w:r>
        <w:rPr/>
        <w:t>无。</w:t>
      </w:r>
    </w:p>
    <w:p>
      <w:pPr>
        <w:spacing w:line="240" w:lineRule="auto" w:before="12"/>
        <w:rPr>
          <w:rFonts w:ascii="宋体" w:hAnsi="宋体" w:cs="宋体" w:eastAsia="宋体" w:hint="default"/>
          <w:sz w:val="26"/>
          <w:szCs w:val="26"/>
        </w:rPr>
      </w:pPr>
    </w:p>
    <w:p>
      <w:pPr>
        <w:pStyle w:val="Heading5"/>
        <w:spacing w:line="272" w:lineRule="exact"/>
        <w:ind w:left="644" w:right="124" w:hanging="428"/>
        <w:jc w:val="left"/>
        <w:rPr>
          <w:b w:val="0"/>
          <w:bCs w:val="0"/>
        </w:rPr>
      </w:pPr>
      <w:r>
        <w:rPr>
          <w:rFonts w:ascii="宋体" w:hAnsi="宋体" w:cs="宋体" w:eastAsia="宋体" w:hint="default"/>
          <w:spacing w:val="-1"/>
        </w:rPr>
        <w:t>(5).</w:t>
      </w:r>
      <w:r>
        <w:rPr>
          <w:spacing w:val="-1"/>
        </w:rPr>
        <w:t>购买日或合并当期期末无法合理确定合并对价或被购买方可辨认资产、负债公允价值的相关</w:t>
      </w:r>
      <w:r>
        <w:rPr>
          <w:spacing w:val="-86"/>
        </w:rPr>
        <w:t> </w:t>
      </w:r>
      <w:r>
        <w:rPr>
          <w:spacing w:val="-86"/>
        </w:rPr>
      </w:r>
      <w:r>
        <w:rPr/>
        <w:t>说明</w:t>
      </w:r>
      <w:r>
        <w:rPr>
          <w:b w:val="0"/>
          <w:bCs w:val="0"/>
        </w:rPr>
      </w:r>
    </w:p>
    <w:p>
      <w:pPr>
        <w:pStyle w:val="BodyText"/>
        <w:tabs>
          <w:tab w:pos="1059" w:val="left" w:leader="none"/>
        </w:tabs>
        <w:spacing w:line="240" w:lineRule="auto" w:before="34"/>
        <w:ind w:left="217" w:right="234"/>
        <w:jc w:val="left"/>
      </w:pPr>
      <w:r>
        <w:rPr/>
        <w:t>□适用</w:t>
        <w:tab/>
        <w:t>√不适用</w:t>
      </w:r>
    </w:p>
    <w:p>
      <w:pPr>
        <w:spacing w:line="240" w:lineRule="auto" w:before="2"/>
        <w:rPr>
          <w:rFonts w:ascii="宋体" w:hAnsi="宋体" w:cs="宋体" w:eastAsia="宋体" w:hint="default"/>
          <w:sz w:val="28"/>
          <w:szCs w:val="28"/>
        </w:rPr>
      </w:pPr>
    </w:p>
    <w:p>
      <w:pPr>
        <w:pStyle w:val="Heading5"/>
        <w:spacing w:line="240" w:lineRule="auto"/>
        <w:ind w:left="217" w:right="234"/>
        <w:jc w:val="left"/>
        <w:rPr>
          <w:b w:val="0"/>
          <w:bCs w:val="0"/>
        </w:rPr>
      </w:pPr>
      <w:r>
        <w:rPr>
          <w:rFonts w:ascii="宋体" w:hAnsi="宋体" w:cs="宋体" w:eastAsia="宋体" w:hint="default"/>
        </w:rPr>
        <w:t>(6).</w:t>
      </w:r>
      <w:r>
        <w:rPr/>
        <w:t>其他说明</w:t>
      </w:r>
      <w:r>
        <w:rPr>
          <w:b w:val="0"/>
          <w:bCs w:val="0"/>
        </w:rPr>
      </w:r>
    </w:p>
    <w:p>
      <w:pPr>
        <w:pStyle w:val="BodyText"/>
        <w:tabs>
          <w:tab w:pos="1059" w:val="left" w:leader="none"/>
        </w:tabs>
        <w:spacing w:line="240" w:lineRule="auto" w:before="56"/>
        <w:ind w:left="217" w:right="234"/>
        <w:jc w:val="left"/>
      </w:pPr>
      <w:r>
        <w:rPr/>
        <w:t>□适用</w:t>
        <w:tab/>
        <w:t>√不适用</w:t>
      </w:r>
    </w:p>
    <w:p>
      <w:pPr>
        <w:spacing w:line="240" w:lineRule="auto" w:before="2"/>
        <w:rPr>
          <w:rFonts w:ascii="宋体" w:hAnsi="宋体" w:cs="宋体" w:eastAsia="宋体" w:hint="default"/>
          <w:sz w:val="28"/>
          <w:szCs w:val="28"/>
        </w:rPr>
      </w:pPr>
    </w:p>
    <w:p>
      <w:pPr>
        <w:pStyle w:val="Heading5"/>
        <w:spacing w:line="240" w:lineRule="auto"/>
        <w:ind w:left="217" w:right="234"/>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8"/>
        <w:ind w:left="217" w:right="234"/>
        <w:jc w:val="left"/>
      </w:pPr>
      <w:r>
        <w:rPr/>
        <w:t>□适用 √不适用</w:t>
      </w:r>
    </w:p>
    <w:p>
      <w:pPr>
        <w:spacing w:line="240" w:lineRule="auto" w:before="2"/>
        <w:rPr>
          <w:rFonts w:ascii="宋体" w:hAnsi="宋体" w:cs="宋体" w:eastAsia="宋体" w:hint="default"/>
          <w:sz w:val="28"/>
          <w:szCs w:val="28"/>
        </w:rPr>
      </w:pPr>
    </w:p>
    <w:p>
      <w:pPr>
        <w:pStyle w:val="Heading5"/>
        <w:spacing w:line="240" w:lineRule="auto"/>
        <w:ind w:left="217" w:right="234"/>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9"/>
        <w:ind w:left="217" w:right="234"/>
        <w:jc w:val="left"/>
      </w:pPr>
      <w:r>
        <w:rPr/>
        <w:t>√适用 □不适用</w:t>
      </w:r>
    </w:p>
    <w:p>
      <w:pPr>
        <w:spacing w:after="0" w:line="240" w:lineRule="auto"/>
        <w:jc w:val="left"/>
        <w:sectPr>
          <w:pgSz w:w="11910" w:h="16840"/>
          <w:pgMar w:header="0" w:footer="1217" w:top="1320" w:bottom="1400" w:left="1060" w:right="1560"/>
        </w:sectPr>
      </w:pPr>
    </w:p>
    <w:p>
      <w:pPr>
        <w:pStyle w:val="BodyText"/>
        <w:spacing w:line="272" w:lineRule="exact" w:before="99"/>
        <w:ind w:left="217" w:right="234"/>
        <w:jc w:val="left"/>
      </w:pPr>
      <w:r>
        <w:rPr>
          <w:spacing w:val="-2"/>
        </w:rPr>
        <w:t>交易基本信息、交易构成反向购买的依据、上市公司保留的资产、负债是否构成业务及其依据、</w:t>
      </w:r>
      <w:r>
        <w:rPr>
          <w:spacing w:val="-25"/>
        </w:rPr>
        <w:t> </w:t>
      </w:r>
      <w:r>
        <w:rPr>
          <w:spacing w:val="-25"/>
        </w:rPr>
      </w:r>
      <w:r>
        <w:rPr/>
        <w:t>合并成本的确定、按照权益性交易处理时调整权益的金额及其计算：</w:t>
      </w:r>
    </w:p>
    <w:p>
      <w:pPr>
        <w:pStyle w:val="BodyText"/>
        <w:spacing w:line="249" w:lineRule="exact"/>
        <w:ind w:left="637" w:right="124"/>
        <w:jc w:val="left"/>
      </w:pPr>
      <w:r>
        <w:rPr>
          <w:w w:val="100"/>
        </w:rPr>
        <w:t>如附</w:t>
      </w:r>
      <w:r>
        <w:rPr>
          <w:spacing w:val="-3"/>
          <w:w w:val="100"/>
        </w:rPr>
        <w:t>注</w:t>
      </w:r>
      <w:r>
        <w:rPr>
          <w:w w:val="100"/>
        </w:rPr>
        <w:t>四</w:t>
      </w:r>
      <w:r>
        <w:rPr>
          <w:spacing w:val="-3"/>
          <w:w w:val="100"/>
        </w:rPr>
        <w:t>所述</w:t>
      </w:r>
      <w:r>
        <w:rPr>
          <w:spacing w:val="-92"/>
          <w:w w:val="100"/>
        </w:rPr>
        <w:t>，</w:t>
      </w:r>
      <w:r>
        <w:rPr>
          <w:spacing w:val="-3"/>
          <w:w w:val="100"/>
        </w:rPr>
        <w:t>本</w:t>
      </w:r>
      <w:r>
        <w:rPr>
          <w:w w:val="100"/>
        </w:rPr>
        <w:t>公</w:t>
      </w:r>
      <w:r>
        <w:rPr>
          <w:spacing w:val="-3"/>
          <w:w w:val="100"/>
        </w:rPr>
        <w:t>司</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2</w:t>
      </w:r>
      <w:r>
        <w:rPr>
          <w:rFonts w:ascii="宋体" w:hAnsi="宋体" w:cs="宋体" w:eastAsia="宋体" w:hint="default"/>
          <w:spacing w:val="-53"/>
        </w:rPr>
        <w:t> </w:t>
      </w:r>
      <w:r>
        <w:rPr>
          <w:spacing w:val="-3"/>
          <w:w w:val="100"/>
        </w:rPr>
        <w:t>月</w:t>
      </w:r>
      <w:r>
        <w:rPr>
          <w:w w:val="100"/>
        </w:rPr>
        <w:t>完</w:t>
      </w:r>
      <w:r>
        <w:rPr>
          <w:spacing w:val="-3"/>
          <w:w w:val="100"/>
        </w:rPr>
        <w:t>成</w:t>
      </w:r>
      <w:r>
        <w:rPr>
          <w:w w:val="100"/>
        </w:rPr>
        <w:t>的</w:t>
      </w:r>
      <w:r>
        <w:rPr>
          <w:spacing w:val="-3"/>
          <w:w w:val="100"/>
        </w:rPr>
        <w:t>发</w:t>
      </w:r>
      <w:r>
        <w:rPr>
          <w:w w:val="100"/>
        </w:rPr>
        <w:t>行</w:t>
      </w:r>
      <w:r>
        <w:rPr>
          <w:spacing w:val="-3"/>
          <w:w w:val="100"/>
        </w:rPr>
        <w:t>股</w:t>
      </w:r>
      <w:r>
        <w:rPr>
          <w:w w:val="100"/>
        </w:rPr>
        <w:t>份购</w:t>
      </w:r>
      <w:r>
        <w:rPr>
          <w:spacing w:val="-3"/>
          <w:w w:val="100"/>
        </w:rPr>
        <w:t>买</w:t>
      </w:r>
      <w:r>
        <w:rPr>
          <w:w w:val="100"/>
        </w:rPr>
        <w:t>资</w:t>
      </w:r>
      <w:r>
        <w:rPr>
          <w:spacing w:val="-3"/>
          <w:w w:val="100"/>
        </w:rPr>
        <w:t>产</w:t>
      </w:r>
      <w:r>
        <w:rPr>
          <w:w w:val="100"/>
        </w:rPr>
        <w:t>的</w:t>
      </w:r>
      <w:r>
        <w:rPr>
          <w:spacing w:val="-3"/>
          <w:w w:val="100"/>
        </w:rPr>
        <w:t>交</w:t>
      </w:r>
      <w:r>
        <w:rPr>
          <w:w w:val="100"/>
        </w:rPr>
        <w:t>易</w:t>
      </w:r>
      <w:r>
        <w:rPr>
          <w:spacing w:val="-3"/>
          <w:w w:val="100"/>
        </w:rPr>
        <w:t>构</w:t>
      </w:r>
      <w:r>
        <w:rPr>
          <w:w w:val="100"/>
        </w:rPr>
        <w:t>成</w:t>
      </w:r>
      <w:r>
        <w:rPr>
          <w:spacing w:val="-3"/>
          <w:w w:val="100"/>
        </w:rPr>
        <w:t>非</w:t>
      </w:r>
      <w:r>
        <w:rPr>
          <w:w w:val="100"/>
        </w:rPr>
        <w:t>业务</w:t>
      </w:r>
      <w:r>
        <w:rPr>
          <w:spacing w:val="-3"/>
          <w:w w:val="100"/>
        </w:rPr>
        <w:t>类</w:t>
      </w:r>
      <w:r>
        <w:rPr>
          <w:w w:val="100"/>
        </w:rPr>
        <w:t>型</w:t>
      </w:r>
      <w:r>
        <w:rPr>
          <w:spacing w:val="-3"/>
          <w:w w:val="100"/>
        </w:rPr>
        <w:t>的反</w:t>
      </w:r>
      <w:r>
        <w:rPr>
          <w:w w:val="100"/>
        </w:rPr>
        <w:t>向</w:t>
      </w:r>
    </w:p>
    <w:p>
      <w:pPr>
        <w:pStyle w:val="BodyText"/>
        <w:spacing w:line="240" w:lineRule="auto" w:before="133"/>
        <w:ind w:left="217" w:right="234"/>
        <w:jc w:val="left"/>
      </w:pPr>
      <w:r>
        <w:rPr/>
        <w:t>购买，按照权益性交易的原则进行处理。</w:t>
      </w:r>
    </w:p>
    <w:p>
      <w:pPr>
        <w:pStyle w:val="BodyText"/>
        <w:tabs>
          <w:tab w:pos="1162" w:val="left" w:leader="none"/>
        </w:tabs>
        <w:spacing w:line="240" w:lineRule="auto" w:before="133"/>
        <w:ind w:left="637" w:right="234"/>
        <w:jc w:val="left"/>
      </w:pPr>
      <w:r>
        <w:rPr>
          <w:rFonts w:ascii="宋体" w:hAnsi="宋体" w:cs="宋体" w:eastAsia="宋体" w:hint="default"/>
        </w:rPr>
        <w:t>(a)</w:t>
        <w:tab/>
      </w:r>
      <w:r>
        <w:rPr/>
        <w:t>合并成本及资本公积的确认情况如下：</w:t>
      </w:r>
    </w:p>
    <w:p>
      <w:pPr>
        <w:pStyle w:val="BodyText"/>
        <w:spacing w:line="240" w:lineRule="auto" w:before="135"/>
        <w:ind w:left="0" w:right="231"/>
        <w:jc w:val="right"/>
      </w:pPr>
      <w:r>
        <w:rPr/>
        <w:t>单位</w:t>
      </w:r>
      <w:r>
        <w:rPr>
          <w:rFonts w:ascii="宋体" w:hAnsi="宋体" w:cs="宋体" w:eastAsia="宋体" w:hint="default"/>
        </w:rPr>
        <w:t>:</w:t>
      </w:r>
      <w:r>
        <w:rPr/>
        <w:t>千元</w:t>
      </w:r>
      <w:r>
        <w:rPr>
          <w:spacing w:val="1"/>
        </w:rPr>
        <w:t> </w:t>
      </w:r>
      <w:r>
        <w:rPr/>
        <w:t>币种</w:t>
      </w:r>
      <w:r>
        <w:rPr>
          <w:rFonts w:ascii="宋体" w:hAnsi="宋体" w:cs="宋体" w:eastAsia="宋体" w:hint="default"/>
        </w:rPr>
        <w:t>:</w:t>
      </w:r>
      <w:r>
        <w:rPr/>
        <w:t>人民币</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6347"/>
        <w:gridCol w:w="2552"/>
      </w:tblGrid>
      <w:tr>
        <w:trPr>
          <w:trHeight w:val="281"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3,145,110</w:t>
            </w:r>
          </w:p>
        </w:tc>
      </w:tr>
      <w:tr>
        <w:trPr>
          <w:trHeight w:val="283"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1,690,000</w:t>
            </w:r>
          </w:p>
        </w:tc>
      </w:tr>
      <w:tr>
        <w:trPr>
          <w:trHeight w:val="283"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反向购买导致资本公积减少</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1,455,110</w:t>
            </w:r>
          </w:p>
        </w:tc>
      </w:tr>
    </w:tbl>
    <w:p>
      <w:pPr>
        <w:spacing w:line="240" w:lineRule="auto" w:before="11"/>
        <w:rPr>
          <w:rFonts w:ascii="宋体" w:hAnsi="宋体" w:cs="宋体" w:eastAsia="宋体" w:hint="default"/>
          <w:sz w:val="25"/>
          <w:szCs w:val="25"/>
        </w:rPr>
      </w:pPr>
    </w:p>
    <w:p>
      <w:pPr>
        <w:pStyle w:val="BodyText"/>
        <w:spacing w:line="355" w:lineRule="auto" w:before="36"/>
        <w:ind w:left="217" w:right="231" w:firstLine="420"/>
        <w:jc w:val="both"/>
      </w:pPr>
      <w:r>
        <w:rPr/>
        <w:t>注</w:t>
      </w:r>
      <w:r>
        <w:rPr>
          <w:spacing w:val="-56"/>
        </w:rPr>
        <w:t> </w:t>
      </w:r>
      <w:r>
        <w:rPr>
          <w:rFonts w:ascii="宋体" w:hAnsi="宋体" w:cs="宋体" w:eastAsia="宋体" w:hint="default"/>
        </w:rPr>
        <w:t>1</w:t>
      </w:r>
      <w:r>
        <w:rPr/>
        <w:t>：三六零科技原股东持有本公司重组后总股份比例为</w:t>
      </w:r>
      <w:r>
        <w:rPr>
          <w:spacing w:val="-56"/>
        </w:rPr>
        <w:t> </w:t>
      </w:r>
      <w:r>
        <w:rPr>
          <w:rFonts w:ascii="宋体" w:hAnsi="宋体" w:cs="宋体" w:eastAsia="宋体" w:hint="default"/>
        </w:rPr>
        <w:t>94.13%</w:t>
      </w:r>
      <w:r>
        <w:rPr/>
        <w:t>，本公司原股东持有本公司</w:t>
      </w:r>
      <w:r>
        <w:rPr>
          <w:w w:val="100"/>
        </w:rPr>
        <w:t> </w:t>
      </w:r>
      <w:r>
        <w:rPr/>
        <w:t>重组后总股份的比例为</w:t>
      </w:r>
      <w:r>
        <w:rPr>
          <w:spacing w:val="-57"/>
        </w:rPr>
        <w:t> </w:t>
      </w:r>
      <w:r>
        <w:rPr>
          <w:rFonts w:ascii="宋体" w:hAnsi="宋体" w:cs="宋体" w:eastAsia="宋体" w:hint="default"/>
        </w:rPr>
        <w:t>5.87%</w:t>
      </w:r>
      <w:r>
        <w:rPr/>
        <w:t>。参照三六零科技净资产于购买日的评估价值及三六零科技股东为</w:t>
      </w:r>
      <w:r>
        <w:rPr>
          <w:w w:val="100"/>
        </w:rPr>
        <w:t> </w:t>
      </w:r>
      <w:r>
        <w:rPr/>
        <w:t>取得重组后本集团 </w:t>
      </w:r>
      <w:r>
        <w:rPr>
          <w:rFonts w:ascii="宋体" w:hAnsi="宋体" w:cs="宋体" w:eastAsia="宋体" w:hint="default"/>
          <w:spacing w:val="-3"/>
        </w:rPr>
        <w:t>94.13%</w:t>
      </w:r>
      <w:r>
        <w:rPr>
          <w:spacing w:val="-3"/>
        </w:rPr>
        <w:t>的股权，需要向本公司原股东模拟发行股份的数量，计算确定合并成本</w:t>
      </w:r>
      <w:r>
        <w:rPr>
          <w:spacing w:val="-99"/>
        </w:rPr>
        <w:t> </w:t>
      </w:r>
      <w:r>
        <w:rPr>
          <w:spacing w:val="-99"/>
        </w:rPr>
      </w:r>
      <w:r>
        <w:rPr/>
        <w:t>为人民币</w:t>
      </w:r>
      <w:r>
        <w:rPr>
          <w:spacing w:val="-53"/>
        </w:rPr>
        <w:t> </w:t>
      </w:r>
      <w:r>
        <w:rPr>
          <w:rFonts w:ascii="宋体" w:hAnsi="宋体" w:cs="宋体" w:eastAsia="宋体" w:hint="default"/>
        </w:rPr>
        <w:t>3,145,110</w:t>
      </w:r>
      <w:r>
        <w:rPr>
          <w:rFonts w:ascii="宋体" w:hAnsi="宋体" w:cs="宋体" w:eastAsia="宋体" w:hint="default"/>
          <w:spacing w:val="-55"/>
        </w:rPr>
        <w:t> </w:t>
      </w:r>
      <w:r>
        <w:rPr/>
        <w:t>千元。</w:t>
      </w:r>
    </w:p>
    <w:p>
      <w:pPr>
        <w:pStyle w:val="BodyText"/>
        <w:spacing w:line="355" w:lineRule="auto" w:before="34"/>
        <w:ind w:left="217" w:right="238" w:firstLine="420"/>
        <w:jc w:val="both"/>
      </w:pPr>
      <w:r>
        <w:rPr/>
        <w:t>注</w:t>
      </w:r>
      <w:r>
        <w:rPr>
          <w:spacing w:val="-55"/>
        </w:rPr>
        <w:t> </w:t>
      </w:r>
      <w:r>
        <w:rPr>
          <w:rFonts w:ascii="宋体" w:hAnsi="宋体" w:cs="宋体" w:eastAsia="宋体" w:hint="default"/>
        </w:rPr>
        <w:t>2</w:t>
      </w:r>
      <w:r>
        <w:rPr/>
        <w:t>：上述发行股份增加资本公积人民币</w:t>
      </w:r>
      <w:r>
        <w:rPr>
          <w:spacing w:val="-55"/>
        </w:rPr>
        <w:t> </w:t>
      </w:r>
      <w:r>
        <w:rPr>
          <w:rFonts w:ascii="宋体" w:hAnsi="宋体" w:cs="宋体" w:eastAsia="宋体" w:hint="default"/>
        </w:rPr>
        <w:t>3,145,110</w:t>
      </w:r>
      <w:r>
        <w:rPr>
          <w:rFonts w:ascii="宋体" w:hAnsi="宋体" w:cs="宋体" w:eastAsia="宋体" w:hint="default"/>
          <w:spacing w:val="-55"/>
        </w:rPr>
        <w:t> </w:t>
      </w:r>
      <w:r>
        <w:rPr/>
        <w:t>千元与反向购买导致资本公积减少人民</w:t>
      </w:r>
      <w:r>
        <w:rPr>
          <w:w w:val="100"/>
        </w:rPr>
        <w:t> </w:t>
      </w:r>
      <w:r>
        <w:rPr/>
        <w:t>币</w:t>
      </w:r>
      <w:r>
        <w:rPr>
          <w:spacing w:val="-55"/>
        </w:rPr>
        <w:t> </w:t>
      </w:r>
      <w:r>
        <w:rPr>
          <w:rFonts w:ascii="宋体" w:hAnsi="宋体" w:cs="宋体" w:eastAsia="宋体" w:hint="default"/>
        </w:rPr>
        <w:t>1,455,110</w:t>
      </w:r>
      <w:r>
        <w:rPr>
          <w:rFonts w:ascii="宋体" w:hAnsi="宋体" w:cs="宋体" w:eastAsia="宋体" w:hint="default"/>
          <w:spacing w:val="-55"/>
        </w:rPr>
        <w:t> </w:t>
      </w:r>
      <w:r>
        <w:rPr/>
        <w:t>千元的差额扣除购买日原江南嘉捷股本面值人民币</w:t>
      </w:r>
      <w:r>
        <w:rPr>
          <w:spacing w:val="-54"/>
        </w:rPr>
        <w:t> </w:t>
      </w:r>
      <w:r>
        <w:rPr>
          <w:rFonts w:ascii="宋体" w:hAnsi="宋体" w:cs="宋体" w:eastAsia="宋体" w:hint="default"/>
        </w:rPr>
        <w:t>397,182</w:t>
      </w:r>
      <w:r>
        <w:rPr>
          <w:rFonts w:ascii="宋体" w:hAnsi="宋体" w:cs="宋体" w:eastAsia="宋体" w:hint="default"/>
          <w:spacing w:val="-55"/>
        </w:rPr>
        <w:t> </w:t>
      </w:r>
      <w:r>
        <w:rPr/>
        <w:t>千元后，对资本公积净</w:t>
      </w:r>
    </w:p>
    <w:p>
      <w:pPr>
        <w:pStyle w:val="BodyText"/>
        <w:spacing w:line="240" w:lineRule="auto" w:before="32"/>
        <w:ind w:left="217" w:right="234"/>
        <w:jc w:val="left"/>
      </w:pPr>
      <w:r>
        <w:rPr/>
        <w:t>影响金额为人民币</w:t>
      </w:r>
      <w:r>
        <w:rPr>
          <w:spacing w:val="-55"/>
        </w:rPr>
        <w:t> </w:t>
      </w:r>
      <w:r>
        <w:rPr>
          <w:rFonts w:ascii="宋体" w:hAnsi="宋体" w:cs="宋体" w:eastAsia="宋体" w:hint="default"/>
        </w:rPr>
        <w:t>1,292,818</w:t>
      </w:r>
      <w:r>
        <w:rPr>
          <w:rFonts w:ascii="宋体" w:hAnsi="宋体" w:cs="宋体" w:eastAsia="宋体" w:hint="default"/>
          <w:spacing w:val="-54"/>
        </w:rPr>
        <w:t> </w:t>
      </w:r>
      <w:r>
        <w:rPr/>
        <w:t>千元。</w:t>
      </w:r>
    </w:p>
    <w:p>
      <w:pPr>
        <w:pStyle w:val="BodyText"/>
        <w:tabs>
          <w:tab w:pos="1162" w:val="left" w:leader="none"/>
        </w:tabs>
        <w:spacing w:line="240" w:lineRule="auto" w:before="133"/>
        <w:ind w:left="637" w:right="234"/>
        <w:jc w:val="left"/>
      </w:pPr>
      <w:r>
        <w:rPr>
          <w:rFonts w:ascii="宋体" w:hAnsi="宋体" w:cs="宋体" w:eastAsia="宋体" w:hint="default"/>
        </w:rPr>
        <w:t>(b)</w:t>
        <w:tab/>
      </w:r>
      <w:r>
        <w:rPr/>
        <w:t>被购买方于购买日的资产和负债情况列示如下：</w:t>
      </w:r>
    </w:p>
    <w:p>
      <w:pPr>
        <w:pStyle w:val="BodyText"/>
        <w:spacing w:line="240" w:lineRule="auto" w:before="133"/>
        <w:ind w:left="0" w:right="231"/>
        <w:jc w:val="right"/>
      </w:pPr>
      <w:r>
        <w:rPr/>
        <w:t>单位</w:t>
      </w:r>
      <w:r>
        <w:rPr>
          <w:rFonts w:ascii="宋体" w:hAnsi="宋体" w:cs="宋体" w:eastAsia="宋体" w:hint="default"/>
        </w:rPr>
        <w:t>:</w:t>
      </w:r>
      <w:r>
        <w:rPr/>
        <w:t>千元</w:t>
      </w:r>
      <w:r>
        <w:rPr>
          <w:spacing w:val="1"/>
        </w:rPr>
        <w:t> </w:t>
      </w:r>
      <w:r>
        <w:rPr/>
        <w:t>币种</w:t>
      </w:r>
      <w:r>
        <w:rPr>
          <w:rFonts w:ascii="宋体" w:hAnsi="宋体" w:cs="宋体" w:eastAsia="宋体" w:hint="default"/>
        </w:rPr>
        <w:t>:</w:t>
      </w:r>
      <w:r>
        <w:rPr/>
        <w:t>人民币</w:t>
      </w: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528"/>
        <w:gridCol w:w="1769"/>
        <w:gridCol w:w="1769"/>
        <w:gridCol w:w="2984"/>
      </w:tblGrid>
      <w:tr>
        <w:trPr>
          <w:trHeight w:val="281" w:hRule="exact"/>
        </w:trPr>
        <w:tc>
          <w:tcPr>
            <w:tcW w:w="252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日账面价值</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1,132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1,132</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196,707</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应收票据及应收款项</w:t>
            </w:r>
          </w:p>
        </w:tc>
        <w:tc>
          <w:tcPr>
            <w:tcW w:w="17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869,992</w:t>
            </w:r>
          </w:p>
        </w:tc>
      </w:tr>
      <w:tr>
        <w:trPr>
          <w:trHeight w:val="28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7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43,595</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1,690,000</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55,854</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7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152,598</w:t>
            </w:r>
          </w:p>
        </w:tc>
      </w:tr>
      <w:tr>
        <w:trPr>
          <w:trHeight w:val="28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7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35,686</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230,323</w:t>
            </w:r>
          </w:p>
        </w:tc>
      </w:tr>
      <w:tr>
        <w:trPr>
          <w:trHeight w:val="28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7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129,576</w:t>
            </w:r>
          </w:p>
        </w:tc>
      </w:tr>
      <w:tr>
        <w:trPr>
          <w:trHeight w:val="28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452,722</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7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61,559</w:t>
            </w:r>
          </w:p>
        </w:tc>
      </w:tr>
      <w:tr>
        <w:trPr>
          <w:trHeight w:val="28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7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39,768</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7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2,286</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减：应付票据及应付账款</w:t>
            </w:r>
          </w:p>
        </w:tc>
        <w:tc>
          <w:tcPr>
            <w:tcW w:w="17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568,357</w:t>
            </w:r>
          </w:p>
        </w:tc>
      </w:tr>
      <w:tr>
        <w:trPr>
          <w:trHeight w:val="28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7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225,771</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7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22,950</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700</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5,014</w:t>
            </w:r>
          </w:p>
        </w:tc>
      </w:tr>
      <w:tr>
        <w:trPr>
          <w:trHeight w:val="28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7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432</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39,359</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7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1,956</w:t>
            </w:r>
          </w:p>
        </w:tc>
      </w:tr>
      <w:tr>
        <w:trPr>
          <w:trHeight w:val="28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1,690,000</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1,407,179</w:t>
            </w:r>
          </w:p>
        </w:tc>
      </w:tr>
    </w:tbl>
    <w:p>
      <w:pPr>
        <w:spacing w:after="0" w:line="241" w:lineRule="exact"/>
        <w:jc w:val="right"/>
        <w:rPr>
          <w:rFonts w:ascii="宋体" w:hAnsi="宋体" w:cs="宋体" w:eastAsia="宋体" w:hint="default"/>
          <w:sz w:val="21"/>
          <w:szCs w:val="21"/>
        </w:rPr>
        <w:sectPr>
          <w:pgSz w:w="11910" w:h="16840"/>
          <w:pgMar w:header="0" w:footer="1217" w:top="1320" w:bottom="1400" w:left="1060" w:right="1560"/>
        </w:sectPr>
      </w:pPr>
    </w:p>
    <w:p>
      <w:pPr>
        <w:spacing w:line="240" w:lineRule="auto" w:before="6"/>
        <w:rPr>
          <w:rFonts w:ascii="宋体" w:hAnsi="宋体" w:cs="宋体" w:eastAsia="宋体" w:hint="default"/>
          <w:sz w:val="16"/>
          <w:szCs w:val="16"/>
        </w:rPr>
      </w:pPr>
    </w:p>
    <w:p>
      <w:pPr>
        <w:spacing w:before="44"/>
        <w:ind w:left="0" w:right="500" w:firstLine="0"/>
        <w:jc w:val="center"/>
        <w:rPr>
          <w:rFonts w:ascii="宋体" w:hAnsi="宋体" w:cs="宋体" w:eastAsia="宋体" w:hint="default"/>
          <w:sz w:val="18"/>
          <w:szCs w:val="18"/>
        </w:rPr>
      </w:pPr>
      <w:r>
        <w:rPr/>
        <w:pict>
          <v:shape style="position:absolute;margin-left:89.849998pt;margin-top:-6.848262pt;width:69.361pt;height:19.52pt;mso-position-horizontal-relative:page;mso-position-vertical-relative:paragraph;z-index:1552" type="#_x0000_t75" stroked="false">
            <v:imagedata r:id="rId21" o:title=""/>
          </v:shape>
        </w:pic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7"/>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1pt;height:.75pt;mso-position-horizontal-relative:char;mso-position-vertical-relative:line" coordorigin="0,0" coordsize="8882,15">
            <v:group style="position:absolute;left:7;top:7;width:8867;height:2" coordorigin="7,7" coordsize="8867,2">
              <v:shape style="position:absolute;left:7;top:7;width:8867;height:2" coordorigin="7,7" coordsize="8867,0" path="m7,7l8874,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3"/>
          <w:szCs w:val="13"/>
        </w:rPr>
      </w:pPr>
    </w:p>
    <w:p>
      <w:pPr>
        <w:spacing w:line="290" w:lineRule="auto" w:before="36"/>
        <w:ind w:left="138" w:right="3447"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6" w:lineRule="exact"/>
        <w:ind w:right="0"/>
        <w:jc w:val="left"/>
      </w:pPr>
      <w:r>
        <w:rPr/>
        <w:t>□适用</w:t>
      </w:r>
      <w:r>
        <w:rPr>
          <w:spacing w:val="-1"/>
        </w:rPr>
        <w:t> </w:t>
      </w:r>
      <w:r>
        <w:rPr/>
        <w:t>√不适用</w:t>
      </w:r>
    </w:p>
    <w:p>
      <w:pPr>
        <w:pStyle w:val="BodyText"/>
        <w:spacing w:line="272" w:lineRule="exact"/>
        <w:ind w:right="0"/>
        <w:jc w:val="left"/>
      </w:pPr>
      <w:r>
        <w:rPr/>
        <w:t>其他说明：</w:t>
      </w:r>
    </w:p>
    <w:p>
      <w:pPr>
        <w:pStyle w:val="BodyText"/>
        <w:spacing w:line="273" w:lineRule="exact"/>
        <w:ind w:right="0"/>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BodyText"/>
        <w:spacing w:line="274" w:lineRule="exact"/>
        <w:ind w:right="0"/>
        <w:jc w:val="left"/>
      </w:pPr>
      <w:r>
        <w:rPr/>
        <w:t>是否存在通过多次交易分步处置对子公司投资且在本期丧失控制权的情形</w:t>
      </w:r>
    </w:p>
    <w:p>
      <w:pPr>
        <w:pStyle w:val="BodyText"/>
        <w:spacing w:line="274" w:lineRule="exact"/>
        <w:ind w:right="0"/>
        <w:jc w:val="left"/>
      </w:pPr>
      <w:r>
        <w:rPr/>
        <w:t>□适用 √不适用</w:t>
      </w:r>
    </w:p>
    <w:p>
      <w:pPr>
        <w:spacing w:line="240" w:lineRule="auto" w:before="12"/>
        <w:rPr>
          <w:rFonts w:ascii="宋体" w:hAnsi="宋体" w:cs="宋体" w:eastAsia="宋体" w:hint="default"/>
          <w:sz w:val="23"/>
          <w:szCs w:val="23"/>
        </w:rPr>
      </w:pPr>
    </w:p>
    <w:p>
      <w:pPr>
        <w:spacing w:line="285" w:lineRule="auto"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r>
        <w:rPr>
          <w:rFonts w:ascii="宋体" w:hAnsi="宋体" w:cs="宋体" w:eastAsia="宋体" w:hint="default"/>
          <w:spacing w:val="-2"/>
          <w:sz w:val="24"/>
          <w:szCs w:val="24"/>
        </w:rPr>
        <w:t>：</w:t>
      </w:r>
    </w:p>
    <w:p>
      <w:pPr>
        <w:pStyle w:val="BodyText"/>
        <w:spacing w:line="231" w:lineRule="exact"/>
        <w:ind w:right="0"/>
        <w:jc w:val="left"/>
      </w:pPr>
      <w:r>
        <w:rPr/>
        <w:t>√适用</w:t>
      </w:r>
      <w:r>
        <w:rPr>
          <w:spacing w:val="-1"/>
        </w:rPr>
        <w:t> </w:t>
      </w:r>
      <w:r>
        <w:rPr/>
        <w:t>□不适用</w:t>
      </w:r>
    </w:p>
    <w:p>
      <w:pPr>
        <w:pStyle w:val="BodyText"/>
        <w:spacing w:line="274" w:lineRule="exact"/>
        <w:ind w:right="0"/>
        <w:jc w:val="left"/>
        <w:rPr>
          <w:rFonts w:ascii="宋体" w:hAnsi="宋体" w:cs="宋体" w:eastAsia="宋体" w:hint="default"/>
        </w:rPr>
      </w:pPr>
      <w:r>
        <w:rPr>
          <w:rFonts w:ascii="宋体" w:hAnsi="宋体" w:cs="宋体" w:eastAsia="宋体" w:hint="default"/>
        </w:rPr>
        <w:t>1</w:t>
      </w:r>
      <w:r>
        <w:rPr/>
        <w:t>、</w:t>
      </w:r>
      <w:r>
        <w:rPr>
          <w:spacing w:val="56"/>
        </w:rPr>
        <w:t> </w:t>
      </w:r>
      <w:r>
        <w:rPr/>
        <w:t>北京鑫富天恒科技有限公司系本集团之子公司北京鑫富恒通科技有限公司于</w:t>
      </w:r>
      <w:r>
        <w:rPr>
          <w:spacing w:val="-72"/>
        </w:rPr>
        <w:t> </w:t>
      </w:r>
      <w:r>
        <w:rPr>
          <w:rFonts w:ascii="宋体" w:hAnsi="宋体" w:cs="宋体" w:eastAsia="宋体" w:hint="default"/>
        </w:rPr>
        <w:t>2018</w:t>
      </w:r>
      <w:r>
        <w:rPr>
          <w:rFonts w:ascii="宋体" w:hAnsi="宋体" w:cs="宋体" w:eastAsia="宋体" w:hint="default"/>
          <w:spacing w:val="-75"/>
        </w:rPr>
        <w:t> </w:t>
      </w:r>
      <w:r>
        <w:rPr/>
        <w:t>年</w:t>
      </w:r>
      <w:r>
        <w:rPr>
          <w:spacing w:val="-73"/>
        </w:rPr>
        <w:t> </w:t>
      </w:r>
      <w:r>
        <w:rPr>
          <w:rFonts w:ascii="宋体" w:hAnsi="宋体" w:cs="宋体" w:eastAsia="宋体" w:hint="default"/>
        </w:rPr>
        <w:t>11</w:t>
      </w:r>
      <w:r>
        <w:rPr>
          <w:rFonts w:ascii="宋体" w:hAnsi="宋体" w:cs="宋体" w:eastAsia="宋体" w:hint="default"/>
          <w:spacing w:val="-75"/>
        </w:rPr>
        <w:t> </w:t>
      </w:r>
      <w:r>
        <w:rPr/>
        <w:t>月</w:t>
      </w:r>
      <w:r>
        <w:rPr>
          <w:spacing w:val="-73"/>
        </w:rPr>
        <w:t> </w:t>
      </w:r>
      <w:r>
        <w:rPr>
          <w:rFonts w:ascii="宋体" w:hAnsi="宋体" w:cs="宋体" w:eastAsia="宋体" w:hint="default"/>
          <w:spacing w:val="-3"/>
        </w:rPr>
        <w:t>23</w:t>
      </w:r>
      <w:r>
        <w:rPr>
          <w:rFonts w:ascii="宋体" w:hAnsi="宋体" w:cs="宋体" w:eastAsia="宋体" w:hint="default"/>
        </w:rPr>
      </w:r>
    </w:p>
    <w:p>
      <w:pPr>
        <w:pStyle w:val="BodyText"/>
        <w:spacing w:line="240" w:lineRule="auto" w:before="133"/>
        <w:ind w:left="618" w:right="0"/>
        <w:jc w:val="left"/>
      </w:pPr>
      <w:r>
        <w:rPr/>
        <w:t>日新设的全资子公司，注册资本为人民币</w:t>
      </w:r>
      <w:r>
        <w:rPr>
          <w:spacing w:val="-54"/>
        </w:rPr>
        <w:t> </w:t>
      </w:r>
      <w:r>
        <w:rPr>
          <w:rFonts w:ascii="宋体" w:hAnsi="宋体" w:cs="宋体" w:eastAsia="宋体" w:hint="default"/>
        </w:rPr>
        <w:t>1,000</w:t>
      </w:r>
      <w:r>
        <w:rPr>
          <w:rFonts w:ascii="宋体" w:hAnsi="宋体" w:cs="宋体" w:eastAsia="宋体" w:hint="default"/>
          <w:spacing w:val="-53"/>
        </w:rPr>
        <w:t> </w:t>
      </w:r>
      <w:r>
        <w:rPr/>
        <w:t>千元。</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5"/>
        <w:spacing w:line="240" w:lineRule="auto"/>
        <w:ind w:left="138" w:right="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980" w:val="left" w:leader="none"/>
        </w:tabs>
        <w:spacing w:line="240" w:lineRule="auto" w:before="58"/>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spacing w:before="44"/>
        <w:ind w:left="31" w:right="8" w:firstLine="0"/>
        <w:jc w:val="center"/>
        <w:rPr>
          <w:rFonts w:ascii="宋体" w:hAnsi="宋体" w:cs="宋体" w:eastAsia="宋体" w:hint="default"/>
          <w:sz w:val="18"/>
          <w:szCs w:val="18"/>
        </w:rPr>
      </w:pPr>
      <w:r>
        <w:rPr>
          <w:rFonts w:ascii="宋体"/>
          <w:b/>
          <w:sz w:val="18"/>
        </w:rPr>
        <w:t>188 </w:t>
      </w:r>
      <w:r>
        <w:rPr>
          <w:rFonts w:ascii="宋体"/>
          <w:sz w:val="18"/>
        </w:rPr>
        <w:t>/</w:t>
      </w:r>
      <w:r>
        <w:rPr>
          <w:rFonts w:ascii="宋体"/>
          <w:spacing w:val="-1"/>
          <w:sz w:val="18"/>
        </w:rPr>
        <w:t> </w:t>
      </w:r>
      <w:r>
        <w:rPr>
          <w:rFonts w:ascii="宋体"/>
          <w:b/>
          <w:sz w:val="18"/>
        </w:rPr>
        <w:t>220</w:t>
      </w:r>
      <w:r>
        <w:rPr>
          <w:rFonts w:ascii="宋体"/>
          <w:sz w:val="18"/>
        </w:rPr>
      </w:r>
    </w:p>
    <w:p>
      <w:pPr>
        <w:spacing w:after="0"/>
        <w:jc w:val="center"/>
        <w:rPr>
          <w:rFonts w:ascii="宋体" w:hAnsi="宋体" w:cs="宋体" w:eastAsia="宋体" w:hint="default"/>
          <w:sz w:val="18"/>
          <w:szCs w:val="18"/>
        </w:rPr>
        <w:sectPr>
          <w:headerReference w:type="default" r:id="rId83"/>
          <w:footerReference w:type="default" r:id="rId84"/>
          <w:pgSz w:w="11910" w:h="16840"/>
          <w:pgMar w:header="0" w:footer="0" w:top="760" w:bottom="280" w:left="1660" w:right="116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pStyle w:val="Heading5"/>
        <w:spacing w:line="290" w:lineRule="auto" w:before="36"/>
        <w:ind w:left="220" w:right="11759"/>
        <w:jc w:val="left"/>
        <w:rPr>
          <w:b w:val="0"/>
          <w:bCs w:val="0"/>
        </w:rPr>
      </w:pPr>
      <w:r>
        <w:rPr/>
        <w:t>九、在其他主体中的权益</w:t>
      </w:r>
      <w:r>
        <w:rPr>
          <w:spacing w:val="-101"/>
        </w:rPr>
        <w:t> </w:t>
      </w:r>
      <w:r>
        <w:rPr>
          <w:spacing w:val="-101"/>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rPr>
        <w:t>(1).</w:t>
      </w:r>
      <w:r>
        <w:rPr>
          <w:rFonts w:ascii="宋体" w:hAnsi="宋体" w:cs="宋体" w:eastAsia="宋体" w:hint="default"/>
          <w:spacing w:val="-42"/>
        </w:rPr>
        <w:t> </w:t>
      </w:r>
      <w:r>
        <w:rPr/>
        <w:t>企业集团的构成</w:t>
      </w:r>
      <w:r>
        <w:rPr>
          <w:b w:val="0"/>
          <w:bCs w:val="0"/>
        </w:rPr>
      </w:r>
    </w:p>
    <w:p>
      <w:pPr>
        <w:pStyle w:val="BodyText"/>
        <w:spacing w:line="240" w:lineRule="auto" w:before="12"/>
        <w:ind w:left="220"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362"/>
        <w:gridCol w:w="1133"/>
        <w:gridCol w:w="1138"/>
        <w:gridCol w:w="3546"/>
        <w:gridCol w:w="850"/>
        <w:gridCol w:w="862"/>
        <w:gridCol w:w="2201"/>
      </w:tblGrid>
      <w:tr>
        <w:trPr>
          <w:trHeight w:val="281" w:hRule="exact"/>
        </w:trPr>
        <w:tc>
          <w:tcPr>
            <w:tcW w:w="4362" w:type="dxa"/>
            <w:vMerge w:val="restart"/>
            <w:tcBorders>
              <w:top w:val="single" w:sz="4" w:space="0" w:color="000000"/>
              <w:left w:val="single" w:sz="4" w:space="0" w:color="000000"/>
              <w:right w:val="single" w:sz="4" w:space="0" w:color="000000"/>
            </w:tcBorders>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133" w:type="dxa"/>
            <w:vMerge w:val="restart"/>
            <w:tcBorders>
              <w:top w:val="single" w:sz="4" w:space="0" w:color="000000"/>
              <w:left w:val="single" w:sz="4" w:space="0" w:color="000000"/>
              <w:right w:val="single" w:sz="4" w:space="0" w:color="000000"/>
            </w:tcBorders>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主要经营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地</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10"/>
              <w:ind w:left="247"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3546" w:type="dxa"/>
            <w:vMerge w:val="restart"/>
            <w:tcBorders>
              <w:top w:val="single" w:sz="4" w:space="0" w:color="000000"/>
              <w:left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7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2201" w:type="dxa"/>
            <w:vMerge w:val="restart"/>
            <w:tcBorders>
              <w:top w:val="single" w:sz="4" w:space="0" w:color="000000"/>
              <w:left w:val="single" w:sz="4" w:space="0" w:color="000000"/>
              <w:right w:val="single" w:sz="4" w:space="0" w:color="000000"/>
            </w:tcBorders>
          </w:tcPr>
          <w:p>
            <w:pPr>
              <w:pStyle w:val="TableParagraph"/>
              <w:spacing w:line="247" w:lineRule="exact"/>
              <w:ind w:left="1" w:right="0"/>
              <w:jc w:val="center"/>
              <w:rPr>
                <w:rFonts w:ascii="宋体" w:hAnsi="宋体" w:cs="宋体" w:eastAsia="宋体" w:hint="default"/>
                <w:sz w:val="21"/>
                <w:szCs w:val="21"/>
              </w:rPr>
            </w:pPr>
            <w:r>
              <w:rPr>
                <w:rFonts w:ascii="宋体" w:hAnsi="宋体" w:cs="宋体" w:eastAsia="宋体" w:hint="default"/>
                <w:sz w:val="21"/>
                <w:szCs w:val="21"/>
              </w:rPr>
              <w:t>取得</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方式</w:t>
            </w:r>
          </w:p>
        </w:tc>
      </w:tr>
      <w:tr>
        <w:trPr>
          <w:trHeight w:val="288" w:hRule="exact"/>
        </w:trPr>
        <w:tc>
          <w:tcPr>
            <w:tcW w:w="436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3546"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6"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2201" w:type="dxa"/>
            <w:vMerge/>
            <w:tcBorders>
              <w:left w:val="single" w:sz="4" w:space="0" w:color="000000"/>
              <w:bottom w:val="single" w:sz="4" w:space="0" w:color="000000"/>
              <w:right w:val="single" w:sz="4" w:space="0" w:color="000000"/>
            </w:tcBorders>
          </w:tcPr>
          <w:p>
            <w:pPr/>
          </w:p>
        </w:tc>
      </w:tr>
      <w:tr>
        <w:trPr>
          <w:trHeight w:val="28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三六零科技有限公司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互联网广告及服务、技术开发及服务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sz w:val="21"/>
              </w:rPr>
              <w:t>100.00</w:t>
            </w:r>
          </w:p>
        </w:tc>
        <w:tc>
          <w:tcPr>
            <w:tcW w:w="862"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反向购买</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北京奇虎科技有限公司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互联网广告及服务、技术开发及服务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p>
        </w:tc>
      </w:tr>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北京世界星辉科技有限责任公司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互联网增值服务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北京远图科技有限公司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技术开发及服务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北京奇虎测腾科技有限公司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技术开发及服务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p>
        </w:tc>
      </w:tr>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深圳市奇虎智能科技有限公司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智能硬件研发及销售</w:t>
            </w:r>
          </w:p>
        </w:tc>
        <w:tc>
          <w:tcPr>
            <w:tcW w:w="85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北京鑫富恒通科技有限公司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技术开发及服务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p>
        </w:tc>
      </w:tr>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北京奇虎</w:t>
            </w:r>
            <w:r>
              <w:rPr>
                <w:rFonts w:ascii="宋体" w:hAnsi="宋体" w:cs="宋体" w:eastAsia="宋体" w:hint="default"/>
                <w:spacing w:val="-53"/>
                <w:sz w:val="21"/>
                <w:szCs w:val="21"/>
              </w:rPr>
              <w:t> </w:t>
            </w:r>
            <w:r>
              <w:rPr>
                <w:rFonts w:ascii="宋体" w:hAnsi="宋体" w:cs="宋体" w:eastAsia="宋体" w:hint="default"/>
                <w:sz w:val="21"/>
                <w:szCs w:val="21"/>
              </w:rPr>
              <w:t>360</w:t>
            </w:r>
            <w:r>
              <w:rPr>
                <w:rFonts w:ascii="宋体" w:hAnsi="宋体" w:cs="宋体" w:eastAsia="宋体" w:hint="default"/>
                <w:spacing w:val="-54"/>
                <w:sz w:val="21"/>
                <w:szCs w:val="21"/>
              </w:rPr>
              <w:t> </w:t>
            </w:r>
            <w:r>
              <w:rPr>
                <w:rFonts w:ascii="宋体" w:hAnsi="宋体" w:cs="宋体" w:eastAsia="宋体" w:hint="default"/>
                <w:sz w:val="21"/>
                <w:szCs w:val="21"/>
              </w:rPr>
              <w:t>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技术开发及服务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奇逸软件</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互联网增值服务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p>
        </w:tc>
      </w:tr>
      <w:tr>
        <w:trPr>
          <w:trHeight w:val="28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Qisi (HK) Technology Co.</w:t>
            </w:r>
            <w:r>
              <w:rPr>
                <w:rFonts w:ascii="宋体"/>
                <w:spacing w:val="-4"/>
                <w:sz w:val="21"/>
              </w:rPr>
              <w:t> </w:t>
            </w:r>
            <w:r>
              <w:rPr>
                <w:rFonts w:ascii="宋体"/>
                <w:sz w:val="21"/>
              </w:rPr>
              <w:t>Limited</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85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p>
        </w:tc>
      </w:tr>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True Thrive</w:t>
            </w:r>
            <w:r>
              <w:rPr>
                <w:rFonts w:ascii="宋体"/>
                <w:spacing w:val="-2"/>
                <w:sz w:val="21"/>
              </w:rPr>
              <w:t> </w:t>
            </w:r>
            <w:r>
              <w:rPr>
                <w:rFonts w:ascii="宋体"/>
                <w:sz w:val="21"/>
              </w:rPr>
              <w:t>Limited</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开曼</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开曼</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85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资产收购</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Qifei International Development</w:t>
            </w:r>
            <w:r>
              <w:rPr>
                <w:rFonts w:ascii="宋体"/>
                <w:spacing w:val="-4"/>
                <w:sz w:val="21"/>
              </w:rPr>
              <w:t> </w:t>
            </w:r>
            <w:r>
              <w:rPr>
                <w:rFonts w:ascii="宋体"/>
                <w:sz w:val="21"/>
              </w:rPr>
              <w:t>Co.</w:t>
            </w:r>
          </w:p>
          <w:p>
            <w:pPr>
              <w:pStyle w:val="TableParagraph"/>
              <w:spacing w:line="273" w:lineRule="exact"/>
              <w:ind w:left="103" w:right="0"/>
              <w:jc w:val="left"/>
              <w:rPr>
                <w:rFonts w:ascii="宋体" w:hAnsi="宋体" w:cs="宋体" w:eastAsia="宋体" w:hint="default"/>
                <w:sz w:val="21"/>
                <w:szCs w:val="21"/>
              </w:rPr>
            </w:pPr>
            <w:r>
              <w:rPr>
                <w:rFonts w:ascii="宋体"/>
                <w:sz w:val="21"/>
              </w:rPr>
              <w:t>Limited</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85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深圳市奇付通科技有限公司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技术开发及服务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深圳奇虎健安智能科技有限公司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智能硬件研发及销售</w:t>
            </w:r>
          </w:p>
        </w:tc>
        <w:tc>
          <w:tcPr>
            <w:tcW w:w="85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p>
        </w:tc>
      </w:tr>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摩比神奇</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信息技术有限公司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移动安全软件研发及运营管理</w:t>
            </w:r>
          </w:p>
        </w:tc>
        <w:tc>
          <w:tcPr>
            <w:tcW w:w="85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63.35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北京奇宝科技有限公司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智能硬件研发及销售</w:t>
            </w:r>
          </w:p>
        </w:tc>
        <w:tc>
          <w:tcPr>
            <w:tcW w:w="85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88.93</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天津奇睿天成股权投资中心</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85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p>
        </w:tc>
      </w:tr>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Ample Choice</w:t>
            </w:r>
            <w:r>
              <w:rPr>
                <w:rFonts w:ascii="宋体"/>
                <w:spacing w:val="-1"/>
                <w:sz w:val="21"/>
              </w:rPr>
              <w:t> </w:t>
            </w:r>
            <w:r>
              <w:rPr>
                <w:rFonts w:ascii="宋体"/>
                <w:sz w:val="21"/>
              </w:rPr>
              <w:t>Limited</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开曼</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开曼</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85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Power Linkage Holdings</w:t>
            </w:r>
            <w:r>
              <w:rPr>
                <w:rFonts w:ascii="宋体"/>
                <w:spacing w:val="-2"/>
                <w:sz w:val="21"/>
              </w:rPr>
              <w:t> </w:t>
            </w:r>
            <w:r>
              <w:rPr>
                <w:rFonts w:ascii="宋体"/>
                <w:sz w:val="21"/>
              </w:rPr>
              <w:t>Limited</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维京群岛</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维京群岛</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85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GameWave Group</w:t>
            </w:r>
            <w:r>
              <w:rPr>
                <w:rFonts w:ascii="宋体"/>
                <w:spacing w:val="1"/>
                <w:sz w:val="21"/>
              </w:rPr>
              <w:t> </w:t>
            </w:r>
            <w:r>
              <w:rPr>
                <w:rFonts w:ascii="宋体"/>
                <w:sz w:val="21"/>
              </w:rPr>
              <w:t>Limited</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开曼</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开曼</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85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p>
        </w:tc>
      </w:tr>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MV Holding Company</w:t>
            </w:r>
            <w:r>
              <w:rPr>
                <w:rFonts w:ascii="宋体"/>
                <w:spacing w:val="-3"/>
                <w:sz w:val="21"/>
              </w:rPr>
              <w:t> </w:t>
            </w:r>
            <w:r>
              <w:rPr>
                <w:rFonts w:ascii="宋体"/>
                <w:sz w:val="21"/>
              </w:rPr>
              <w:t>Limited</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开曼</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开曼</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85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p>
        </w:tc>
      </w:tr>
    </w:tbl>
    <w:p>
      <w:pPr>
        <w:spacing w:after="0" w:line="241" w:lineRule="exact"/>
        <w:jc w:val="left"/>
        <w:rPr>
          <w:rFonts w:ascii="宋体" w:hAnsi="宋体" w:cs="宋体" w:eastAsia="宋体" w:hint="default"/>
          <w:sz w:val="21"/>
          <w:szCs w:val="21"/>
        </w:rPr>
        <w:sectPr>
          <w:headerReference w:type="default" r:id="rId85"/>
          <w:footerReference w:type="default" r:id="rId86"/>
          <w:pgSz w:w="16840" w:h="11910" w:orient="landscape"/>
          <w:pgMar w:header="857" w:footer="1218" w:top="1320" w:bottom="1400" w:left="1220" w:right="1300"/>
          <w:pgNumType w:start="189"/>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72" w:lineRule="exact"/>
        <w:ind w:left="220" w:right="9330"/>
        <w:jc w:val="left"/>
      </w:pPr>
      <w:r>
        <w:rPr>
          <w:spacing w:val="-2"/>
        </w:rPr>
        <w:t>在子公司的持股比例不同于表决权比例的说明：</w:t>
      </w:r>
      <w:r>
        <w:rPr>
          <w:spacing w:val="-65"/>
        </w:rPr>
        <w:t> </w:t>
      </w:r>
      <w:r>
        <w:rPr>
          <w:spacing w:val="-65"/>
        </w:rPr>
      </w:r>
      <w:r>
        <w:rPr/>
        <w:t>无。</w:t>
      </w:r>
    </w:p>
    <w:p>
      <w:pPr>
        <w:spacing w:line="240" w:lineRule="auto" w:before="10"/>
        <w:rPr>
          <w:rFonts w:ascii="宋体" w:hAnsi="宋体" w:cs="宋体" w:eastAsia="宋体" w:hint="default"/>
          <w:sz w:val="18"/>
          <w:szCs w:val="18"/>
        </w:rPr>
      </w:pPr>
    </w:p>
    <w:p>
      <w:pPr>
        <w:pStyle w:val="BodyText"/>
        <w:spacing w:line="240" w:lineRule="auto"/>
        <w:ind w:left="640" w:right="4166" w:hanging="421"/>
        <w:jc w:val="left"/>
      </w:pPr>
      <w:r>
        <w:rPr/>
        <w:t>持有半数或以下表决权但仍控制被投资单位、以及持有半数以上表决权但不控制被投资单位的依据：</w:t>
      </w:r>
      <w:r>
        <w:rPr>
          <w:w w:val="100"/>
        </w:rPr>
        <w:t> </w:t>
      </w:r>
      <w:r>
        <w:rPr>
          <w:spacing w:val="-2"/>
        </w:rPr>
        <w:t>本集团持有深圳蜂联</w:t>
      </w:r>
      <w:r>
        <w:rPr>
          <w:spacing w:val="33"/>
        </w:rPr>
        <w:t> </w:t>
      </w:r>
      <w:r>
        <w:rPr>
          <w:rFonts w:ascii="宋体" w:hAnsi="宋体" w:cs="宋体" w:eastAsia="宋体" w:hint="default"/>
          <w:spacing w:val="-2"/>
        </w:rPr>
        <w:t>46.32%</w:t>
      </w:r>
      <w:r>
        <w:rPr>
          <w:spacing w:val="-2"/>
        </w:rPr>
        <w:t>的股权，通过与少数股东签署《一致行动协议》取得对深圳蜂联的控制权。</w:t>
      </w:r>
    </w:p>
    <w:p>
      <w:pPr>
        <w:spacing w:line="240" w:lineRule="auto" w:before="10"/>
        <w:rPr>
          <w:rFonts w:ascii="宋体" w:hAnsi="宋体" w:cs="宋体" w:eastAsia="宋体" w:hint="default"/>
          <w:sz w:val="22"/>
          <w:szCs w:val="22"/>
        </w:rPr>
      </w:pPr>
    </w:p>
    <w:p>
      <w:pPr>
        <w:pStyle w:val="BodyText"/>
        <w:spacing w:line="272" w:lineRule="exact"/>
        <w:ind w:left="220" w:right="8706"/>
        <w:jc w:val="left"/>
      </w:pPr>
      <w:r>
        <w:rPr>
          <w:spacing w:val="-2"/>
        </w:rPr>
        <w:t>对于纳入合并范围的重要的结构化主体，控制的依据：</w:t>
      </w:r>
      <w:r>
        <w:rPr>
          <w:spacing w:val="-59"/>
        </w:rPr>
        <w:t> </w:t>
      </w:r>
      <w:r>
        <w:rPr>
          <w:spacing w:val="-59"/>
        </w:rPr>
      </w:r>
      <w:r>
        <w:rPr/>
        <w:t>无。</w:t>
      </w:r>
    </w:p>
    <w:p>
      <w:pPr>
        <w:spacing w:line="240" w:lineRule="auto" w:before="10"/>
        <w:rPr>
          <w:rFonts w:ascii="宋体" w:hAnsi="宋体" w:cs="宋体" w:eastAsia="宋体" w:hint="default"/>
          <w:sz w:val="18"/>
          <w:szCs w:val="18"/>
        </w:rPr>
      </w:pPr>
    </w:p>
    <w:p>
      <w:pPr>
        <w:pStyle w:val="BodyText"/>
        <w:spacing w:line="240" w:lineRule="auto"/>
        <w:ind w:left="220" w:right="10364"/>
        <w:jc w:val="left"/>
      </w:pPr>
      <w:r>
        <w:rPr>
          <w:spacing w:val="-2"/>
        </w:rPr>
        <w:t>确定公司是代理人还是委托人的依据：</w:t>
      </w:r>
      <w:r>
        <w:rPr>
          <w:spacing w:val="-72"/>
        </w:rPr>
        <w:t> </w:t>
      </w:r>
      <w:r>
        <w:rPr>
          <w:spacing w:val="-72"/>
        </w:rPr>
      </w:r>
      <w:r>
        <w:rPr/>
        <w:t>无。</w:t>
      </w:r>
    </w:p>
    <w:p>
      <w:pPr>
        <w:spacing w:line="240" w:lineRule="auto" w:before="6"/>
        <w:rPr>
          <w:rFonts w:ascii="宋体" w:hAnsi="宋体" w:cs="宋体" w:eastAsia="宋体" w:hint="default"/>
          <w:sz w:val="20"/>
          <w:szCs w:val="20"/>
        </w:rPr>
      </w:pPr>
    </w:p>
    <w:p>
      <w:pPr>
        <w:pStyle w:val="BodyText"/>
        <w:spacing w:line="240" w:lineRule="auto"/>
        <w:ind w:left="220" w:right="10364"/>
        <w:jc w:val="left"/>
      </w:pPr>
      <w:r>
        <w:rPr/>
        <w:t>其他说明：</w:t>
      </w:r>
      <w:r>
        <w:rPr>
          <w:spacing w:val="-102"/>
        </w:rPr>
        <w:t> </w:t>
      </w:r>
      <w:r>
        <w:rPr>
          <w:spacing w:val="-102"/>
        </w:rPr>
      </w:r>
      <w:r>
        <w:rPr>
          <w:spacing w:val="-2"/>
        </w:rPr>
        <w:t>以上为本集团的重要子公司。</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6840" w:h="11910" w:orient="landscape"/>
          <w:pgMar w:header="857" w:footer="1218" w:top="1320" w:bottom="1400" w:left="1220" w:right="1300"/>
        </w:sectPr>
      </w:pPr>
    </w:p>
    <w:p>
      <w:pPr>
        <w:pStyle w:val="Heading5"/>
        <w:spacing w:line="240" w:lineRule="auto" w:before="36"/>
        <w:ind w:left="220" w:right="-20"/>
        <w:jc w:val="left"/>
        <w:rPr>
          <w:b w:val="0"/>
          <w:bCs w:val="0"/>
        </w:rPr>
      </w:pPr>
      <w:r>
        <w:rPr>
          <w:rFonts w:ascii="宋体" w:hAnsi="宋体" w:cs="宋体" w:eastAsia="宋体" w:hint="default"/>
        </w:rPr>
        <w:t>(2).</w:t>
      </w:r>
      <w:r>
        <w:rPr>
          <w:rFonts w:ascii="宋体" w:hAnsi="宋体" w:cs="宋体" w:eastAsia="宋体" w:hint="default"/>
          <w:spacing w:val="-41"/>
        </w:rPr>
        <w:t> </w:t>
      </w:r>
      <w:r>
        <w:rPr/>
        <w:t>重要的非全资子公司</w:t>
      </w:r>
      <w:r>
        <w:rPr>
          <w:b w:val="0"/>
          <w:bCs w:val="0"/>
        </w:rPr>
      </w:r>
    </w:p>
    <w:p>
      <w:pPr>
        <w:pStyle w:val="BodyText"/>
        <w:spacing w:line="240" w:lineRule="auto" w:before="56"/>
        <w:ind w:left="220"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376" w:val="left" w:leader="none"/>
        </w:tabs>
        <w:spacing w:line="240" w:lineRule="auto"/>
        <w:ind w:left="220" w:right="0"/>
        <w:jc w:val="left"/>
      </w:pPr>
      <w:r>
        <w:rPr>
          <w:spacing w:val="-1"/>
        </w:rPr>
        <w:t>单位</w:t>
      </w:r>
      <w:r>
        <w:rPr>
          <w:rFonts w:ascii="宋体" w:hAnsi="宋体" w:cs="宋体" w:eastAsia="宋体" w:hint="default"/>
          <w:spacing w:val="-1"/>
        </w:rPr>
        <w:t>:</w:t>
      </w:r>
      <w:r>
        <w:rPr>
          <w:spacing w:val="-1"/>
        </w:rPr>
        <w:t>千元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320" w:bottom="1400" w:left="1220" w:right="1300"/>
          <w:cols w:num="2" w:equalWidth="0">
            <w:col w:w="2607" w:space="8956"/>
            <w:col w:w="2757"/>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806"/>
        <w:gridCol w:w="2208"/>
        <w:gridCol w:w="1987"/>
        <w:gridCol w:w="2379"/>
        <w:gridCol w:w="2710"/>
      </w:tblGrid>
      <w:tr>
        <w:trPr>
          <w:trHeight w:val="554" w:hRule="exact"/>
        </w:trPr>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本期向少数股东宣告分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派的股利</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7" w:right="0"/>
              <w:jc w:val="left"/>
              <w:rPr>
                <w:rFonts w:ascii="宋体" w:hAnsi="宋体" w:cs="宋体" w:eastAsia="宋体" w:hint="default"/>
                <w:sz w:val="21"/>
                <w:szCs w:val="21"/>
              </w:rPr>
            </w:pPr>
            <w:r>
              <w:rPr>
                <w:rFonts w:ascii="宋体" w:hAnsi="宋体" w:cs="宋体" w:eastAsia="宋体" w:hint="default"/>
                <w:sz w:val="21"/>
                <w:szCs w:val="21"/>
              </w:rPr>
              <w:t>期末少数股东权益余额</w:t>
            </w:r>
          </w:p>
        </w:tc>
      </w:tr>
      <w:tr>
        <w:trPr>
          <w:trHeight w:val="283" w:hRule="exact"/>
        </w:trPr>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摩比神奇</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信息技术有限公司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36.65</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w:t>
            </w:r>
          </w:p>
        </w:tc>
        <w:tc>
          <w:tcPr>
            <w:tcW w:w="2379" w:type="dxa"/>
            <w:tcBorders>
              <w:top w:val="single" w:sz="4" w:space="0" w:color="000000"/>
              <w:left w:val="single" w:sz="4" w:space="0" w:color="000000"/>
              <w:bottom w:val="single" w:sz="4" w:space="0" w:color="000000"/>
              <w:right w:val="single" w:sz="4" w:space="0" w:color="000000"/>
            </w:tcBorders>
          </w:tcPr>
          <w:p>
            <w:pP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84,059</w:t>
            </w:r>
          </w:p>
        </w:tc>
      </w:tr>
      <w:tr>
        <w:trPr>
          <w:trHeight w:val="283" w:hRule="exact"/>
        </w:trPr>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北京时间股份有限公司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40.00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(2,766)</w:t>
            </w:r>
          </w:p>
        </w:tc>
        <w:tc>
          <w:tcPr>
            <w:tcW w:w="2379" w:type="dxa"/>
            <w:tcBorders>
              <w:top w:val="single" w:sz="4" w:space="0" w:color="000000"/>
              <w:left w:val="single" w:sz="4" w:space="0" w:color="000000"/>
              <w:bottom w:val="single" w:sz="4" w:space="0" w:color="000000"/>
              <w:right w:val="single" w:sz="4" w:space="0" w:color="000000"/>
            </w:tcBorders>
          </w:tcPr>
          <w:p>
            <w:pP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146,582</w:t>
            </w:r>
          </w:p>
        </w:tc>
      </w:tr>
      <w:tr>
        <w:trPr>
          <w:trHeight w:val="283" w:hRule="exact"/>
        </w:trPr>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北京奇宝科技有限公司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11.07</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(10,050)</w:t>
            </w:r>
          </w:p>
        </w:tc>
        <w:tc>
          <w:tcPr>
            <w:tcW w:w="2379" w:type="dxa"/>
            <w:tcBorders>
              <w:top w:val="single" w:sz="4" w:space="0" w:color="000000"/>
              <w:left w:val="single" w:sz="4" w:space="0" w:color="000000"/>
              <w:bottom w:val="single" w:sz="4" w:space="0" w:color="000000"/>
              <w:right w:val="single" w:sz="4" w:space="0" w:color="000000"/>
            </w:tcBorders>
          </w:tcPr>
          <w:p>
            <w:pP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19,778</w:t>
            </w:r>
          </w:p>
        </w:tc>
      </w:tr>
    </w:tbl>
    <w:p>
      <w:pPr>
        <w:spacing w:line="240" w:lineRule="auto" w:before="5"/>
        <w:rPr>
          <w:rFonts w:ascii="宋体" w:hAnsi="宋体" w:cs="宋体" w:eastAsia="宋体" w:hint="default"/>
          <w:sz w:val="15"/>
          <w:szCs w:val="15"/>
        </w:rPr>
      </w:pPr>
    </w:p>
    <w:p>
      <w:pPr>
        <w:pStyle w:val="BodyText"/>
        <w:spacing w:line="273" w:lineRule="exact" w:before="36"/>
        <w:ind w:left="220" w:right="0"/>
        <w:jc w:val="left"/>
      </w:pPr>
      <w:r>
        <w:rPr/>
        <w:t>子公司少数股东的持股比例不同于表决权比例的说明：</w:t>
      </w:r>
    </w:p>
    <w:p>
      <w:pPr>
        <w:pStyle w:val="BodyText"/>
        <w:spacing w:line="273" w:lineRule="exact"/>
        <w:ind w:left="220" w:right="0"/>
        <w:jc w:val="left"/>
      </w:pPr>
      <w:r>
        <w:rPr/>
        <w:t>□适用 √不适用</w:t>
      </w:r>
    </w:p>
    <w:p>
      <w:pPr>
        <w:spacing w:line="240" w:lineRule="auto" w:before="10"/>
        <w:rPr>
          <w:rFonts w:ascii="宋体" w:hAnsi="宋体" w:cs="宋体" w:eastAsia="宋体" w:hint="default"/>
          <w:sz w:val="23"/>
          <w:szCs w:val="23"/>
        </w:rPr>
      </w:pPr>
    </w:p>
    <w:p>
      <w:pPr>
        <w:pStyle w:val="BodyText"/>
        <w:spacing w:line="273" w:lineRule="exact"/>
        <w:ind w:left="220" w:right="0"/>
        <w:jc w:val="left"/>
      </w:pPr>
      <w:r>
        <w:rPr/>
        <w:t>其他说明：</w:t>
      </w:r>
    </w:p>
    <w:p>
      <w:pPr>
        <w:pStyle w:val="BodyText"/>
        <w:spacing w:line="273" w:lineRule="exact"/>
        <w:ind w:left="220" w:right="0"/>
        <w:jc w:val="left"/>
      </w:pPr>
      <w:r>
        <w:rPr/>
        <w:t>□适用 √不适用</w:t>
      </w:r>
    </w:p>
    <w:p>
      <w:pPr>
        <w:spacing w:after="0" w:line="273" w:lineRule="exact"/>
        <w:jc w:val="left"/>
        <w:sectPr>
          <w:type w:val="continuous"/>
          <w:pgSz w:w="16840" w:h="11910" w:orient="landscape"/>
          <w:pgMar w:top="1320" w:bottom="1400" w:left="1220" w:right="130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57" w:footer="1218" w:top="1320" w:bottom="1400" w:left="1220" w:right="1300"/>
        </w:sectPr>
      </w:pPr>
    </w:p>
    <w:p>
      <w:pPr>
        <w:pStyle w:val="Heading5"/>
        <w:spacing w:line="240" w:lineRule="auto" w:before="167"/>
        <w:ind w:left="220" w:right="-18"/>
        <w:jc w:val="left"/>
        <w:rPr>
          <w:b w:val="0"/>
          <w:bCs w:val="0"/>
        </w:rPr>
      </w:pPr>
      <w:r>
        <w:rPr>
          <w:rFonts w:ascii="宋体" w:hAnsi="宋体" w:cs="宋体" w:eastAsia="宋体" w:hint="default"/>
        </w:rPr>
        <w:t>(3).</w:t>
      </w:r>
      <w:r>
        <w:rPr>
          <w:rFonts w:ascii="宋体" w:hAnsi="宋体" w:cs="宋体" w:eastAsia="宋体" w:hint="default"/>
          <w:spacing w:val="-45"/>
        </w:rPr>
        <w:t> </w:t>
      </w:r>
      <w:r>
        <w:rPr/>
        <w:t>重要非全资子公司的主要财务信息</w:t>
      </w:r>
      <w:r>
        <w:rPr>
          <w:b w:val="0"/>
          <w:bCs w:val="0"/>
        </w:rPr>
      </w:r>
    </w:p>
    <w:p>
      <w:pPr>
        <w:pStyle w:val="BodyText"/>
        <w:spacing w:line="240" w:lineRule="auto" w:before="56"/>
        <w:ind w:left="22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tabs>
          <w:tab w:pos="1376" w:val="left" w:leader="none"/>
        </w:tabs>
        <w:spacing w:line="240" w:lineRule="auto"/>
        <w:ind w:left="220" w:right="0"/>
        <w:jc w:val="left"/>
      </w:pPr>
      <w:r>
        <w:rPr>
          <w:spacing w:val="-1"/>
        </w:rPr>
        <w:t>单位</w:t>
      </w:r>
      <w:r>
        <w:rPr>
          <w:rFonts w:ascii="宋体" w:hAnsi="宋体" w:cs="宋体" w:eastAsia="宋体" w:hint="default"/>
          <w:spacing w:val="-1"/>
        </w:rPr>
        <w:t>:</w:t>
      </w:r>
      <w:r>
        <w:rPr>
          <w:spacing w:val="-1"/>
        </w:rPr>
        <w:t>千元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320" w:bottom="1400" w:left="1220" w:right="1300"/>
          <w:cols w:num="2" w:equalWidth="0">
            <w:col w:w="3869" w:space="7694"/>
            <w:col w:w="2757"/>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668"/>
        <w:gridCol w:w="984"/>
        <w:gridCol w:w="1136"/>
        <w:gridCol w:w="1133"/>
        <w:gridCol w:w="1135"/>
        <w:gridCol w:w="992"/>
        <w:gridCol w:w="1001"/>
        <w:gridCol w:w="991"/>
        <w:gridCol w:w="994"/>
        <w:gridCol w:w="992"/>
        <w:gridCol w:w="991"/>
        <w:gridCol w:w="996"/>
        <w:gridCol w:w="1078"/>
      </w:tblGrid>
      <w:tr>
        <w:trPr>
          <w:trHeight w:val="283"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638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04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1668" w:type="dxa"/>
            <w:vMerge/>
            <w:tcBorders>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流动资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产</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pacing w:val="-1"/>
                <w:sz w:val="21"/>
                <w:szCs w:val="21"/>
              </w:rPr>
              <w:t>非流动资产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pacing w:val="-1"/>
                <w:sz w:val="21"/>
                <w:szCs w:val="21"/>
              </w:rPr>
              <w:t>资产合计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pacing w:val="-1"/>
                <w:sz w:val="21"/>
                <w:szCs w:val="21"/>
              </w:rPr>
              <w:t>流动负债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7" w:right="0"/>
              <w:jc w:val="center"/>
              <w:rPr>
                <w:rFonts w:ascii="宋体" w:hAnsi="宋体" w:cs="宋体" w:eastAsia="宋体" w:hint="default"/>
                <w:sz w:val="21"/>
                <w:szCs w:val="21"/>
              </w:rPr>
            </w:pPr>
            <w:r>
              <w:rPr>
                <w:rFonts w:ascii="宋体" w:hAnsi="宋体" w:cs="宋体" w:eastAsia="宋体" w:hint="default"/>
                <w:sz w:val="21"/>
                <w:szCs w:val="21"/>
              </w:rPr>
              <w:t>非流动负</w:t>
            </w:r>
          </w:p>
          <w:p>
            <w:pPr>
              <w:pStyle w:val="TableParagraph"/>
              <w:spacing w:line="273" w:lineRule="exact"/>
              <w:ind w:left="54" w:right="0"/>
              <w:jc w:val="center"/>
              <w:rPr>
                <w:rFonts w:ascii="宋体" w:hAnsi="宋体" w:cs="宋体" w:eastAsia="宋体" w:hint="default"/>
                <w:sz w:val="21"/>
                <w:szCs w:val="21"/>
              </w:rPr>
            </w:pPr>
            <w:r>
              <w:rPr>
                <w:rFonts w:ascii="宋体" w:hAnsi="宋体" w:cs="宋体" w:eastAsia="宋体" w:hint="default"/>
                <w:w w:val="100"/>
                <w:sz w:val="21"/>
                <w:szCs w:val="21"/>
              </w:rPr>
              <w:t>债</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负债合</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流动资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5" w:right="0"/>
              <w:jc w:val="center"/>
              <w:rPr>
                <w:rFonts w:ascii="宋体" w:hAnsi="宋体" w:cs="宋体" w:eastAsia="宋体" w:hint="default"/>
                <w:sz w:val="21"/>
                <w:szCs w:val="21"/>
              </w:rPr>
            </w:pPr>
            <w:r>
              <w:rPr>
                <w:rFonts w:ascii="宋体" w:hAnsi="宋体" w:cs="宋体" w:eastAsia="宋体" w:hint="default"/>
                <w:sz w:val="21"/>
                <w:szCs w:val="21"/>
              </w:rPr>
              <w:t>非流动资</w:t>
            </w:r>
          </w:p>
          <w:p>
            <w:pPr>
              <w:pStyle w:val="TableParagraph"/>
              <w:spacing w:line="273" w:lineRule="exact"/>
              <w:ind w:left="52" w:right="0"/>
              <w:jc w:val="center"/>
              <w:rPr>
                <w:rFonts w:ascii="宋体" w:hAnsi="宋体" w:cs="宋体" w:eastAsia="宋体" w:hint="default"/>
                <w:sz w:val="21"/>
                <w:szCs w:val="21"/>
              </w:rPr>
            </w:pPr>
            <w:r>
              <w:rPr>
                <w:rFonts w:ascii="宋体" w:hAnsi="宋体" w:cs="宋体" w:eastAsia="宋体" w:hint="default"/>
                <w:w w:val="100"/>
                <w:sz w:val="21"/>
                <w:szCs w:val="21"/>
              </w:rPr>
              <w:t>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资产合</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流动负</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债</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7" w:right="0"/>
              <w:jc w:val="center"/>
              <w:rPr>
                <w:rFonts w:ascii="宋体" w:hAnsi="宋体" w:cs="宋体" w:eastAsia="宋体" w:hint="default"/>
                <w:sz w:val="21"/>
                <w:szCs w:val="21"/>
              </w:rPr>
            </w:pPr>
            <w:r>
              <w:rPr>
                <w:rFonts w:ascii="宋体" w:hAnsi="宋体" w:cs="宋体" w:eastAsia="宋体" w:hint="default"/>
                <w:sz w:val="21"/>
                <w:szCs w:val="21"/>
              </w:rPr>
              <w:t>非流动负</w:t>
            </w:r>
          </w:p>
          <w:p>
            <w:pPr>
              <w:pStyle w:val="TableParagraph"/>
              <w:spacing w:line="273" w:lineRule="exact"/>
              <w:ind w:left="55" w:right="0"/>
              <w:jc w:val="center"/>
              <w:rPr>
                <w:rFonts w:ascii="宋体" w:hAnsi="宋体" w:cs="宋体" w:eastAsia="宋体" w:hint="default"/>
                <w:sz w:val="21"/>
                <w:szCs w:val="21"/>
              </w:rPr>
            </w:pPr>
            <w:r>
              <w:rPr>
                <w:rFonts w:ascii="宋体" w:hAnsi="宋体" w:cs="宋体" w:eastAsia="宋体" w:hint="default"/>
                <w:w w:val="100"/>
                <w:sz w:val="21"/>
                <w:szCs w:val="21"/>
              </w:rPr>
              <w:t>债</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8"/>
              <w:jc w:val="right"/>
              <w:rPr>
                <w:rFonts w:ascii="宋体" w:hAnsi="宋体" w:cs="宋体" w:eastAsia="宋体" w:hint="default"/>
                <w:sz w:val="21"/>
                <w:szCs w:val="21"/>
              </w:rPr>
            </w:pPr>
            <w:r>
              <w:rPr>
                <w:rFonts w:ascii="宋体" w:hAnsi="宋体" w:cs="宋体" w:eastAsia="宋体" w:hint="default"/>
                <w:spacing w:val="-1"/>
                <w:sz w:val="21"/>
                <w:szCs w:val="21"/>
              </w:rPr>
              <w:t>负债合计</w:t>
            </w:r>
          </w:p>
        </w:tc>
      </w:tr>
      <w:tr>
        <w:trPr>
          <w:trHeight w:val="829"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摩比神奇</w:t>
            </w:r>
            <w:r>
              <w:rPr>
                <w:rFonts w:ascii="宋体" w:hAnsi="宋体" w:cs="宋体" w:eastAsia="宋体" w:hint="default"/>
                <w:sz w:val="21"/>
                <w:szCs w:val="21"/>
              </w:rPr>
              <w:t>(</w:t>
            </w:r>
            <w:r>
              <w:rPr>
                <w:rFonts w:ascii="宋体" w:hAnsi="宋体" w:cs="宋体" w:eastAsia="宋体" w:hint="default"/>
                <w:sz w:val="21"/>
                <w:szCs w:val="21"/>
              </w:rPr>
              <w:t>北</w:t>
            </w:r>
          </w:p>
          <w:p>
            <w:pPr>
              <w:pStyle w:val="TableParagraph"/>
              <w:spacing w:line="272" w:lineRule="exact" w:before="27"/>
              <w:ind w:left="103" w:right="184"/>
              <w:jc w:val="left"/>
              <w:rPr>
                <w:rFonts w:ascii="宋体" w:hAnsi="宋体" w:cs="宋体" w:eastAsia="宋体" w:hint="default"/>
                <w:sz w:val="21"/>
                <w:szCs w:val="21"/>
              </w:rPr>
            </w:pPr>
            <w:r>
              <w:rPr>
                <w:rFonts w:ascii="宋体" w:hAnsi="宋体" w:cs="宋体" w:eastAsia="宋体" w:hint="default"/>
                <w:sz w:val="21"/>
                <w:szCs w:val="21"/>
              </w:rPr>
              <w:t>京</w:t>
            </w:r>
            <w:r>
              <w:rPr>
                <w:rFonts w:ascii="宋体" w:hAnsi="宋体" w:cs="宋体" w:eastAsia="宋体" w:hint="default"/>
                <w:sz w:val="21"/>
                <w:szCs w:val="21"/>
              </w:rPr>
              <w:t>)</w:t>
            </w:r>
            <w:r>
              <w:rPr>
                <w:rFonts w:ascii="宋体" w:hAnsi="宋体" w:cs="宋体" w:eastAsia="宋体" w:hint="default"/>
                <w:sz w:val="21"/>
                <w:szCs w:val="21"/>
              </w:rPr>
              <w:t>信息技术有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0" w:right="0"/>
              <w:jc w:val="center"/>
              <w:rPr>
                <w:rFonts w:ascii="宋体" w:hAnsi="宋体" w:cs="宋体" w:eastAsia="宋体" w:hint="default"/>
                <w:sz w:val="21"/>
                <w:szCs w:val="21"/>
              </w:rPr>
            </w:pPr>
            <w:r>
              <w:rPr>
                <w:rFonts w:ascii="宋体"/>
                <w:sz w:val="21"/>
              </w:rPr>
              <w:t>270,908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21"/>
                <w:szCs w:val="21"/>
              </w:rPr>
            </w:pPr>
            <w:r>
              <w:rPr>
                <w:rFonts w:ascii="宋体"/>
                <w:sz w:val="21"/>
              </w:rPr>
              <w:t>187,985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458,893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119,538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43" w:right="0"/>
              <w:jc w:val="left"/>
              <w:rPr>
                <w:rFonts w:ascii="宋体" w:hAnsi="宋体" w:cs="宋体" w:eastAsia="宋体" w:hint="default"/>
                <w:sz w:val="21"/>
                <w:szCs w:val="21"/>
              </w:rPr>
            </w:pPr>
            <w:r>
              <w:rPr>
                <w:rFonts w:ascii="宋体"/>
                <w:sz w:val="21"/>
              </w:rPr>
              <w:t>110,000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229,538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3" w:right="0"/>
              <w:jc w:val="center"/>
              <w:rPr>
                <w:rFonts w:ascii="宋体" w:hAnsi="宋体" w:cs="宋体" w:eastAsia="宋体" w:hint="default"/>
                <w:sz w:val="21"/>
                <w:szCs w:val="21"/>
              </w:rPr>
            </w:pPr>
            <w:r>
              <w:rPr>
                <w:rFonts w:ascii="宋体"/>
                <w:sz w:val="21"/>
              </w:rPr>
              <w:t>351,699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293,953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645,652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123,327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48" w:right="0"/>
              <w:jc w:val="left"/>
              <w:rPr>
                <w:rFonts w:ascii="宋体" w:hAnsi="宋体" w:cs="宋体" w:eastAsia="宋体" w:hint="default"/>
                <w:sz w:val="21"/>
                <w:szCs w:val="21"/>
              </w:rPr>
            </w:pPr>
            <w:r>
              <w:rPr>
                <w:rFonts w:ascii="宋体"/>
                <w:sz w:val="21"/>
              </w:rPr>
              <w:t>317,149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440,476</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北京时间股份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0" w:right="0"/>
              <w:jc w:val="center"/>
              <w:rPr>
                <w:rFonts w:ascii="宋体" w:hAnsi="宋体" w:cs="宋体" w:eastAsia="宋体" w:hint="default"/>
                <w:sz w:val="21"/>
                <w:szCs w:val="21"/>
              </w:rPr>
            </w:pPr>
            <w:r>
              <w:rPr>
                <w:rFonts w:ascii="宋体"/>
                <w:sz w:val="21"/>
              </w:rPr>
              <w:t>416,187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10,941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427,128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60,674</w:t>
            </w:r>
          </w:p>
        </w:tc>
        <w:tc>
          <w:tcPr>
            <w:tcW w:w="99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60,674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3" w:right="0"/>
              <w:jc w:val="center"/>
              <w:rPr>
                <w:rFonts w:ascii="宋体" w:hAnsi="宋体" w:cs="宋体" w:eastAsia="宋体" w:hint="default"/>
                <w:sz w:val="21"/>
                <w:szCs w:val="21"/>
              </w:rPr>
            </w:pPr>
            <w:r>
              <w:rPr>
                <w:rFonts w:ascii="宋体"/>
                <w:sz w:val="21"/>
              </w:rPr>
              <w:t>453,467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19,316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472,783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102,948</w:t>
            </w:r>
          </w:p>
        </w:tc>
        <w:tc>
          <w:tcPr>
            <w:tcW w:w="99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宋体" w:hAnsi="宋体" w:cs="宋体" w:eastAsia="宋体" w:hint="default"/>
                <w:sz w:val="21"/>
                <w:szCs w:val="21"/>
              </w:rPr>
            </w:pPr>
            <w:r>
              <w:rPr>
                <w:rFonts w:ascii="宋体"/>
                <w:spacing w:val="-1"/>
                <w:sz w:val="21"/>
              </w:rPr>
              <w:t>102,948</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北京奇宝科技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 w:right="0"/>
              <w:jc w:val="center"/>
              <w:rPr>
                <w:rFonts w:ascii="宋体" w:hAnsi="宋体" w:cs="宋体" w:eastAsia="宋体" w:hint="default"/>
                <w:sz w:val="21"/>
                <w:szCs w:val="21"/>
              </w:rPr>
            </w:pPr>
            <w:r>
              <w:rPr>
                <w:rFonts w:ascii="宋体"/>
                <w:sz w:val="21"/>
              </w:rPr>
              <w:t>223,178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1,009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224,187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45,527</w:t>
            </w:r>
          </w:p>
        </w:tc>
        <w:tc>
          <w:tcPr>
            <w:tcW w:w="99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45,527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 w:right="0"/>
              <w:jc w:val="center"/>
              <w:rPr>
                <w:rFonts w:ascii="宋体" w:hAnsi="宋体" w:cs="宋体" w:eastAsia="宋体" w:hint="default"/>
                <w:sz w:val="21"/>
                <w:szCs w:val="21"/>
              </w:rPr>
            </w:pPr>
            <w:r>
              <w:rPr>
                <w:rFonts w:ascii="宋体"/>
                <w:sz w:val="21"/>
              </w:rPr>
              <w:t>304,154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6,006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310,160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40,712</w:t>
            </w:r>
          </w:p>
        </w:tc>
        <w:tc>
          <w:tcPr>
            <w:tcW w:w="99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40,712</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107" w:type="dxa"/>
        <w:tblLayout w:type="fixed"/>
        <w:tblCellMar>
          <w:top w:w="0" w:type="dxa"/>
          <w:left w:w="0" w:type="dxa"/>
          <w:bottom w:w="0" w:type="dxa"/>
          <w:right w:w="0" w:type="dxa"/>
        </w:tblCellMar>
        <w:tblLook w:val="01E0"/>
      </w:tblPr>
      <w:tblGrid>
        <w:gridCol w:w="2348"/>
        <w:gridCol w:w="1405"/>
        <w:gridCol w:w="1342"/>
        <w:gridCol w:w="1483"/>
        <w:gridCol w:w="1644"/>
        <w:gridCol w:w="1404"/>
        <w:gridCol w:w="1340"/>
        <w:gridCol w:w="1486"/>
        <w:gridCol w:w="1640"/>
      </w:tblGrid>
      <w:tr>
        <w:trPr>
          <w:trHeight w:val="324" w:hRule="exact"/>
        </w:trPr>
        <w:tc>
          <w:tcPr>
            <w:tcW w:w="234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650"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58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58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36" w:hRule="exact"/>
        </w:trPr>
        <w:tc>
          <w:tcPr>
            <w:tcW w:w="2348" w:type="dxa"/>
            <w:vMerge/>
            <w:tcBorders>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7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5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hAnsi="宋体" w:cs="宋体" w:eastAsia="宋体" w:hint="default"/>
                <w:spacing w:val="-1"/>
                <w:sz w:val="21"/>
                <w:szCs w:val="21"/>
              </w:rPr>
              <w:t>综合收益总额</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流量</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7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5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hAnsi="宋体" w:cs="宋体" w:eastAsia="宋体" w:hint="default"/>
                <w:spacing w:val="-1"/>
                <w:sz w:val="21"/>
                <w:szCs w:val="21"/>
              </w:rPr>
              <w:t>综合收益总额</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流量</w:t>
            </w:r>
          </w:p>
        </w:tc>
      </w:tr>
      <w:tr>
        <w:trPr>
          <w:trHeight w:val="636"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摩比神奇</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信息技</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宋体" w:hAnsi="宋体" w:cs="宋体" w:eastAsia="宋体" w:hint="default"/>
                <w:sz w:val="21"/>
                <w:szCs w:val="21"/>
              </w:rPr>
            </w:pPr>
            <w:r>
              <w:rPr>
                <w:rFonts w:ascii="宋体"/>
                <w:spacing w:val="-1"/>
                <w:sz w:val="21"/>
              </w:rPr>
              <w:t>154,678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spacing w:val="-1"/>
                <w:sz w:val="21"/>
              </w:rPr>
              <w:t>(1,005)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sz w:val="21"/>
              </w:rPr>
              <w:t>11,392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sz w:val="21"/>
              </w:rPr>
              <w:t>57,295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spacing w:val="-1"/>
                <w:sz w:val="21"/>
              </w:rPr>
              <w:t>494,688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spacing w:val="-1"/>
                <w:sz w:val="21"/>
              </w:rPr>
              <w:t>111,068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sz w:val="21"/>
              </w:rPr>
              <w:t>97,568</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宋体" w:hAnsi="宋体" w:cs="宋体" w:eastAsia="宋体" w:hint="default"/>
                <w:sz w:val="21"/>
                <w:szCs w:val="21"/>
              </w:rPr>
            </w:pPr>
            <w:r>
              <w:rPr>
                <w:rFonts w:ascii="宋体"/>
                <w:spacing w:val="-1"/>
                <w:sz w:val="21"/>
              </w:rPr>
              <w:t>342,102</w:t>
            </w:r>
          </w:p>
        </w:tc>
      </w:tr>
      <w:tr>
        <w:trPr>
          <w:trHeight w:val="324"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北京时间股份有限公司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117,880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(6,914)</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(3,381)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(15,921)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285,046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8,194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8,786</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36,029</w:t>
            </w:r>
          </w:p>
        </w:tc>
      </w:tr>
      <w:tr>
        <w:trPr>
          <w:trHeight w:val="322"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北京奇宝科技有限公司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196,526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(90,788)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(90,788)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(32,760)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374,304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(13,514)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(13,514)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(62,642)</w:t>
            </w:r>
          </w:p>
        </w:tc>
      </w:tr>
    </w:tbl>
    <w:p>
      <w:pPr>
        <w:spacing w:line="240" w:lineRule="auto" w:before="7"/>
        <w:rPr>
          <w:rFonts w:ascii="宋体" w:hAnsi="宋体" w:cs="宋体" w:eastAsia="宋体" w:hint="default"/>
          <w:sz w:val="15"/>
          <w:szCs w:val="15"/>
        </w:rPr>
      </w:pPr>
    </w:p>
    <w:p>
      <w:pPr>
        <w:pStyle w:val="BodyText"/>
        <w:spacing w:line="270" w:lineRule="exact" w:before="36"/>
        <w:ind w:left="220" w:right="0"/>
        <w:jc w:val="left"/>
      </w:pPr>
      <w:r>
        <w:rPr/>
        <w:t>其他说明：</w:t>
      </w:r>
    </w:p>
    <w:p>
      <w:pPr>
        <w:pStyle w:val="Heading3"/>
        <w:spacing w:line="309" w:lineRule="exact"/>
        <w:ind w:left="220" w:right="0"/>
        <w:jc w:val="left"/>
      </w:pPr>
      <w:r>
        <w:rPr/>
        <w:t>无。</w:t>
      </w:r>
    </w:p>
    <w:p>
      <w:pPr>
        <w:spacing w:line="240" w:lineRule="auto" w:before="10"/>
        <w:rPr>
          <w:rFonts w:ascii="宋体" w:hAnsi="宋体" w:cs="宋体" w:eastAsia="宋体" w:hint="default"/>
          <w:sz w:val="28"/>
          <w:szCs w:val="28"/>
        </w:rPr>
      </w:pPr>
    </w:p>
    <w:p>
      <w:pPr>
        <w:pStyle w:val="Heading5"/>
        <w:spacing w:line="240" w:lineRule="auto"/>
        <w:ind w:left="220" w:right="0"/>
        <w:jc w:val="left"/>
        <w:rPr>
          <w:b w:val="0"/>
          <w:bCs w:val="0"/>
        </w:rPr>
      </w:pPr>
      <w:r>
        <w:rPr>
          <w:rFonts w:ascii="宋体" w:hAnsi="宋体" w:cs="宋体" w:eastAsia="宋体" w:hint="default"/>
        </w:rPr>
        <w:t>(4).</w:t>
      </w:r>
      <w:r>
        <w:rPr>
          <w:rFonts w:ascii="宋体" w:hAnsi="宋体" w:cs="宋体" w:eastAsia="宋体" w:hint="default"/>
          <w:spacing w:val="-45"/>
        </w:rPr>
        <w:t> </w:t>
      </w:r>
      <w:r>
        <w:rPr/>
        <w:t>使用企业集团资产和清偿企业集团债务的重大限制</w:t>
      </w:r>
      <w:r>
        <w:rPr>
          <w:b w:val="0"/>
          <w:bCs w:val="0"/>
        </w:rPr>
      </w:r>
    </w:p>
    <w:p>
      <w:pPr>
        <w:pStyle w:val="BodyText"/>
        <w:spacing w:line="240" w:lineRule="auto" w:before="56"/>
        <w:ind w:left="220" w:right="0"/>
        <w:jc w:val="left"/>
      </w:pPr>
      <w:r>
        <w:rPr/>
        <w:t>□适用 √不适用</w:t>
      </w:r>
    </w:p>
    <w:p>
      <w:pPr>
        <w:spacing w:after="0" w:line="240" w:lineRule="auto"/>
        <w:jc w:val="left"/>
        <w:sectPr>
          <w:type w:val="continuous"/>
          <w:pgSz w:w="16840" w:h="11910" w:orient="landscape"/>
          <w:pgMar w:top="1320" w:bottom="1400" w:left="1220" w:right="1300"/>
        </w:sectPr>
      </w:pPr>
    </w:p>
    <w:p>
      <w:pPr>
        <w:spacing w:line="240" w:lineRule="auto" w:before="0"/>
        <w:rPr>
          <w:rFonts w:ascii="宋体" w:hAnsi="宋体" w:cs="宋体" w:eastAsia="宋体" w:hint="default"/>
          <w:sz w:val="20"/>
          <w:szCs w:val="20"/>
        </w:rPr>
      </w:pPr>
    </w:p>
    <w:p>
      <w:pPr>
        <w:pStyle w:val="Heading5"/>
        <w:spacing w:line="240" w:lineRule="auto" w:before="167"/>
        <w:ind w:left="140" w:right="0"/>
        <w:jc w:val="left"/>
        <w:rPr>
          <w:b w:val="0"/>
          <w:bCs w:val="0"/>
        </w:rPr>
      </w:pPr>
      <w:r>
        <w:rPr>
          <w:rFonts w:ascii="宋体" w:hAnsi="宋体" w:cs="宋体" w:eastAsia="宋体" w:hint="default"/>
        </w:rPr>
        <w:t>(5).</w:t>
      </w:r>
      <w:r>
        <w:rPr>
          <w:rFonts w:ascii="宋体" w:hAnsi="宋体" w:cs="宋体" w:eastAsia="宋体" w:hint="default"/>
          <w:spacing w:val="-45"/>
        </w:rPr>
        <w:t> </w:t>
      </w:r>
      <w:r>
        <w:rPr/>
        <w:t>向纳入合并财务报表范围的结构化主体提供的财务支持或其他支持</w:t>
      </w:r>
      <w:r>
        <w:rPr>
          <w:b w:val="0"/>
          <w:bCs w:val="0"/>
        </w:rPr>
      </w:r>
    </w:p>
    <w:p>
      <w:pPr>
        <w:pStyle w:val="BodyText"/>
        <w:tabs>
          <w:tab w:pos="982" w:val="left" w:leader="none"/>
        </w:tabs>
        <w:spacing w:line="240" w:lineRule="auto" w:before="56"/>
        <w:ind w:left="140" w:right="0"/>
        <w:jc w:val="left"/>
      </w:pPr>
      <w:r>
        <w:rPr/>
        <w:t>□适用</w:t>
        <w:tab/>
        <w:t>√不适用</w:t>
      </w:r>
    </w:p>
    <w:p>
      <w:pPr>
        <w:spacing w:line="240" w:lineRule="auto" w:before="8"/>
        <w:rPr>
          <w:rFonts w:ascii="宋体" w:hAnsi="宋体" w:cs="宋体" w:eastAsia="宋体" w:hint="default"/>
          <w:sz w:val="20"/>
          <w:szCs w:val="20"/>
        </w:rPr>
      </w:pPr>
    </w:p>
    <w:p>
      <w:pPr>
        <w:pStyle w:val="BodyText"/>
        <w:spacing w:line="274" w:lineRule="exact"/>
        <w:ind w:left="140" w:right="0"/>
        <w:jc w:val="left"/>
      </w:pPr>
      <w:r>
        <w:rPr/>
        <w:t>其他说明：</w:t>
      </w:r>
    </w:p>
    <w:p>
      <w:pPr>
        <w:pStyle w:val="BodyText"/>
        <w:spacing w:line="274" w:lineRule="exact"/>
        <w:ind w:left="140" w:right="0"/>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left="140" w:right="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spacing w:line="290" w:lineRule="auto" w:before="57"/>
        <w:ind w:left="140" w:right="964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sz w:val="21"/>
          <w:szCs w:val="21"/>
        </w:rPr>
      </w:r>
    </w:p>
    <w:p>
      <w:pPr>
        <w:pStyle w:val="BodyText"/>
        <w:tabs>
          <w:tab w:pos="982" w:val="left" w:leader="none"/>
        </w:tabs>
        <w:spacing w:line="274" w:lineRule="exact" w:before="12"/>
        <w:ind w:left="140" w:right="0"/>
        <w:jc w:val="left"/>
      </w:pPr>
      <w:r>
        <w:rPr/>
        <w:t>√适用</w:t>
        <w:tab/>
        <w:t>□不适用</w:t>
      </w:r>
    </w:p>
    <w:p>
      <w:pPr>
        <w:pStyle w:val="BodyText"/>
        <w:spacing w:line="274" w:lineRule="exact"/>
        <w:ind w:left="560" w:right="0"/>
        <w:jc w:val="left"/>
      </w:pPr>
      <w:r>
        <w:rPr/>
        <w:t>摩比神奇</w:t>
      </w:r>
      <w:r>
        <w:rPr>
          <w:rFonts w:ascii="宋体" w:hAnsi="宋体" w:cs="宋体" w:eastAsia="宋体" w:hint="default"/>
        </w:rPr>
        <w:t>(</w:t>
      </w:r>
      <w:r>
        <w:rPr/>
        <w:t>北京</w:t>
      </w:r>
      <w:r>
        <w:rPr>
          <w:rFonts w:ascii="宋体" w:hAnsi="宋体" w:cs="宋体" w:eastAsia="宋体" w:hint="default"/>
        </w:rPr>
        <w:t>)</w:t>
      </w:r>
      <w:r>
        <w:rPr/>
        <w:t>信息技术有限公司</w:t>
      </w:r>
      <w:r>
        <w:rPr>
          <w:rFonts w:ascii="宋体" w:hAnsi="宋体" w:cs="宋体" w:eastAsia="宋体" w:hint="default"/>
        </w:rPr>
        <w:t>(</w:t>
      </w:r>
      <w:r>
        <w:rPr/>
        <w:t>以下简称”摩比神奇”</w:t>
      </w:r>
      <w:r>
        <w:rPr>
          <w:rFonts w:ascii="宋体" w:hAnsi="宋体" w:cs="宋体" w:eastAsia="宋体" w:hint="default"/>
        </w:rPr>
        <w:t>)</w:t>
      </w:r>
      <w:r>
        <w:rPr/>
        <w:t>为本集团控股子公司，截止</w:t>
      </w:r>
      <w:r>
        <w:rPr>
          <w:spacing w:val="-55"/>
        </w:rPr>
        <w:t> </w:t>
      </w:r>
      <w:r>
        <w:rPr>
          <w:rFonts w:ascii="宋体" w:hAnsi="宋体" w:cs="宋体" w:eastAsia="宋体" w:hint="default"/>
        </w:rPr>
        <w:t>2017</w:t>
      </w:r>
      <w:r>
        <w:rPr>
          <w:rFonts w:ascii="宋体" w:hAnsi="宋体" w:cs="宋体" w:eastAsia="宋体" w:hint="default"/>
          <w:spacing w:val="-57"/>
        </w:rPr>
        <w:t> </w:t>
      </w:r>
      <w:r>
        <w:rPr/>
        <w:t>年</w:t>
      </w:r>
      <w:r>
        <w:rPr>
          <w:spacing w:val="-55"/>
        </w:rPr>
        <w:t> </w:t>
      </w:r>
      <w:r>
        <w:rPr>
          <w:rFonts w:ascii="宋体" w:hAnsi="宋体" w:cs="宋体" w:eastAsia="宋体" w:hint="default"/>
        </w:rPr>
        <w:t>12</w:t>
      </w:r>
      <w:r>
        <w:rPr>
          <w:rFonts w:ascii="宋体" w:hAnsi="宋体" w:cs="宋体" w:eastAsia="宋体" w:hint="default"/>
          <w:spacing w:val="-57"/>
        </w:rPr>
        <w:t> </w:t>
      </w:r>
      <w:r>
        <w:rPr/>
        <w:t>月</w:t>
      </w:r>
      <w:r>
        <w:rPr>
          <w:spacing w:val="-55"/>
        </w:rPr>
        <w:t> </w:t>
      </w:r>
      <w:r>
        <w:rPr>
          <w:rFonts w:ascii="宋体" w:hAnsi="宋体" w:cs="宋体" w:eastAsia="宋体" w:hint="default"/>
        </w:rPr>
        <w:t>31</w:t>
      </w:r>
      <w:r>
        <w:rPr>
          <w:rFonts w:ascii="宋体" w:hAnsi="宋体" w:cs="宋体" w:eastAsia="宋体" w:hint="default"/>
          <w:spacing w:val="-56"/>
        </w:rPr>
        <w:t> </w:t>
      </w:r>
      <w:r>
        <w:rPr/>
        <w:t>日，本集团持股比例为</w:t>
      </w:r>
      <w:r>
        <w:rPr>
          <w:spacing w:val="-55"/>
        </w:rPr>
        <w:t> </w:t>
      </w:r>
      <w:r>
        <w:rPr>
          <w:rFonts w:ascii="宋体" w:hAnsi="宋体" w:cs="宋体" w:eastAsia="宋体" w:hint="default"/>
        </w:rPr>
        <w:t>62.06%</w:t>
      </w:r>
      <w:r>
        <w:rPr/>
        <w:t>。</w:t>
      </w:r>
    </w:p>
    <w:p>
      <w:pPr>
        <w:pStyle w:val="BodyText"/>
        <w:spacing w:line="240" w:lineRule="auto" w:before="133"/>
        <w:ind w:left="560" w:right="0"/>
        <w:jc w:val="left"/>
      </w:pPr>
      <w:r>
        <w:rPr>
          <w:rFonts w:ascii="宋体" w:hAnsi="宋体" w:cs="宋体" w:eastAsia="宋体" w:hint="default"/>
        </w:rPr>
        <w:t>2017 </w:t>
      </w:r>
      <w:r>
        <w:rPr/>
        <w:t>年 </w:t>
      </w:r>
      <w:r>
        <w:rPr>
          <w:rFonts w:ascii="宋体" w:hAnsi="宋体" w:cs="宋体" w:eastAsia="宋体" w:hint="default"/>
        </w:rPr>
        <w:t>3</w:t>
      </w:r>
      <w:r>
        <w:rPr>
          <w:rFonts w:ascii="宋体" w:hAnsi="宋体" w:cs="宋体" w:eastAsia="宋体" w:hint="default"/>
          <w:spacing w:val="-36"/>
        </w:rPr>
        <w:t> </w:t>
      </w:r>
      <w:r>
        <w:rPr>
          <w:spacing w:val="-3"/>
        </w:rPr>
        <w:t>月，就摩比神奇收到的预付增资款，本集团、摩比神奇其他股东与上海辰欷投资中心</w:t>
      </w:r>
      <w:r>
        <w:rPr>
          <w:rFonts w:ascii="宋体" w:hAnsi="宋体" w:cs="宋体" w:eastAsia="宋体" w:hint="default"/>
          <w:spacing w:val="-3"/>
        </w:rPr>
        <w:t>(</w:t>
      </w:r>
      <w:r>
        <w:rPr>
          <w:spacing w:val="-3"/>
        </w:rPr>
        <w:t>有限合伙</w:t>
      </w:r>
      <w:r>
        <w:rPr>
          <w:rFonts w:ascii="宋体" w:hAnsi="宋体" w:cs="宋体" w:eastAsia="宋体" w:hint="default"/>
          <w:spacing w:val="-3"/>
        </w:rPr>
        <w:t>)</w:t>
      </w:r>
      <w:r>
        <w:rPr>
          <w:spacing w:val="-3"/>
        </w:rPr>
        <w:t>等签署了《关于摩比神奇</w:t>
      </w:r>
      <w:r>
        <w:rPr>
          <w:rFonts w:ascii="宋体" w:hAnsi="宋体" w:cs="宋体" w:eastAsia="宋体" w:hint="default"/>
          <w:spacing w:val="-3"/>
        </w:rPr>
        <w:t>(</w:t>
      </w:r>
      <w:r>
        <w:rPr>
          <w:spacing w:val="-3"/>
        </w:rPr>
        <w:t>北京</w:t>
      </w:r>
      <w:r>
        <w:rPr>
          <w:rFonts w:ascii="宋体" w:hAnsi="宋体" w:cs="宋体" w:eastAsia="宋体" w:hint="default"/>
          <w:spacing w:val="-3"/>
        </w:rPr>
        <w:t>)</w:t>
      </w:r>
      <w:r>
        <w:rPr>
          <w:spacing w:val="-3"/>
        </w:rPr>
        <w:t>信息技术</w:t>
      </w:r>
    </w:p>
    <w:p>
      <w:pPr>
        <w:pStyle w:val="BodyText"/>
        <w:spacing w:line="357" w:lineRule="auto" w:before="133"/>
        <w:ind w:left="140" w:right="0"/>
        <w:jc w:val="left"/>
      </w:pPr>
      <w:r>
        <w:rPr>
          <w:spacing w:val="-5"/>
        </w:rPr>
        <w:t>有限公司的投资协议》。协议约定，如果摩比神奇在</w:t>
      </w:r>
      <w:r>
        <w:rPr>
          <w:spacing w:val="-37"/>
        </w:rPr>
        <w:t> </w:t>
      </w:r>
      <w:r>
        <w:rPr>
          <w:rFonts w:ascii="宋体" w:hAnsi="宋体" w:cs="宋体" w:eastAsia="宋体" w:hint="default"/>
        </w:rPr>
        <w:t>2020</w:t>
      </w:r>
      <w:r>
        <w:rPr>
          <w:rFonts w:ascii="宋体" w:hAnsi="宋体" w:cs="宋体" w:eastAsia="宋体" w:hint="default"/>
          <w:spacing w:val="-39"/>
        </w:rPr>
        <w:t> </w:t>
      </w:r>
      <w:r>
        <w:rPr/>
        <w:t>年</w:t>
      </w:r>
      <w:r>
        <w:rPr>
          <w:spacing w:val="-41"/>
        </w:rPr>
        <w:t> </w:t>
      </w:r>
      <w:r>
        <w:rPr>
          <w:rFonts w:ascii="宋体" w:hAnsi="宋体" w:cs="宋体" w:eastAsia="宋体" w:hint="default"/>
        </w:rPr>
        <w:t>12</w:t>
      </w:r>
      <w:r>
        <w:rPr>
          <w:rFonts w:ascii="宋体" w:hAnsi="宋体" w:cs="宋体" w:eastAsia="宋体" w:hint="default"/>
          <w:spacing w:val="-41"/>
        </w:rPr>
        <w:t> </w:t>
      </w:r>
      <w:r>
        <w:rPr/>
        <w:t>月</w:t>
      </w:r>
      <w:r>
        <w:rPr>
          <w:spacing w:val="-39"/>
        </w:rPr>
        <w:t> </w:t>
      </w:r>
      <w:r>
        <w:rPr>
          <w:rFonts w:ascii="宋体" w:hAnsi="宋体" w:cs="宋体" w:eastAsia="宋体" w:hint="default"/>
        </w:rPr>
        <w:t>31</w:t>
      </w:r>
      <w:r>
        <w:rPr>
          <w:rFonts w:ascii="宋体" w:hAnsi="宋体" w:cs="宋体" w:eastAsia="宋体" w:hint="default"/>
          <w:spacing w:val="-41"/>
        </w:rPr>
        <w:t> </w:t>
      </w:r>
      <w:r>
        <w:rPr>
          <w:spacing w:val="-3"/>
        </w:rPr>
        <w:t>日之前未完成首次公开发行并上市，或协议规定的重大违约行为使得摩比神奇无法</w:t>
      </w:r>
      <w:r>
        <w:rPr>
          <w:spacing w:val="-71"/>
        </w:rPr>
        <w:t> </w:t>
      </w:r>
      <w:r>
        <w:rPr>
          <w:spacing w:val="-71"/>
        </w:rPr>
      </w:r>
      <w:r>
        <w:rPr/>
        <w:t>继续经营，则本集团及其他</w:t>
      </w:r>
      <w:r>
        <w:rPr>
          <w:spacing w:val="-39"/>
        </w:rPr>
        <w:t> </w:t>
      </w:r>
      <w:r>
        <w:rPr>
          <w:rFonts w:ascii="宋体" w:hAnsi="宋体" w:cs="宋体" w:eastAsia="宋体" w:hint="default"/>
        </w:rPr>
        <w:t>4</w:t>
      </w:r>
      <w:r>
        <w:rPr>
          <w:rFonts w:ascii="宋体" w:hAnsi="宋体" w:cs="宋体" w:eastAsia="宋体" w:hint="default"/>
          <w:spacing w:val="-39"/>
        </w:rPr>
        <w:t> </w:t>
      </w:r>
      <w:r>
        <w:rPr/>
        <w:t>家投资人有权要求摩比神奇以该轮投资本金加年化单利</w:t>
      </w:r>
      <w:r>
        <w:rPr>
          <w:spacing w:val="-39"/>
        </w:rPr>
        <w:t> </w:t>
      </w:r>
      <w:r>
        <w:rPr>
          <w:rFonts w:ascii="宋体" w:hAnsi="宋体" w:cs="宋体" w:eastAsia="宋体" w:hint="default"/>
        </w:rPr>
        <w:t>6%</w:t>
      </w:r>
      <w:r>
        <w:rPr/>
        <w:t>的利息作为现金对价回购其所持有的全部或部分摩比神奇股权。</w:t>
      </w:r>
      <w:r>
        <w:rPr>
          <w:spacing w:val="-100"/>
        </w:rPr>
        <w:t> </w:t>
      </w:r>
      <w:r>
        <w:rPr>
          <w:spacing w:val="-100"/>
        </w:rPr>
      </w:r>
      <w:r>
        <w:rPr/>
        <w:t>鉴于上述条款，本集团将相关增资款及应支付的利息作为其他非流动负债列报，于</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日的余额为</w:t>
      </w:r>
      <w:r>
        <w:rPr>
          <w:spacing w:val="-53"/>
        </w:rPr>
        <w:t> </w:t>
      </w:r>
      <w:r>
        <w:rPr>
          <w:rFonts w:ascii="宋体" w:hAnsi="宋体" w:cs="宋体" w:eastAsia="宋体" w:hint="default"/>
        </w:rPr>
        <w:t>207,149</w:t>
      </w:r>
      <w:r>
        <w:rPr>
          <w:rFonts w:ascii="宋体" w:hAnsi="宋体" w:cs="宋体" w:eastAsia="宋体" w:hint="default"/>
          <w:spacing w:val="-54"/>
        </w:rPr>
        <w:t> </w:t>
      </w:r>
      <w:r>
        <w:rPr/>
        <w:t>千元。</w:t>
      </w:r>
    </w:p>
    <w:p>
      <w:pPr>
        <w:pStyle w:val="BodyText"/>
        <w:spacing w:line="240" w:lineRule="auto" w:before="32"/>
        <w:ind w:left="560" w:right="0"/>
        <w:jc w:val="left"/>
      </w:pPr>
      <w:r>
        <w:rPr>
          <w:rFonts w:ascii="宋体" w:hAnsi="宋体" w:cs="宋体" w:eastAsia="宋体" w:hint="default"/>
        </w:rPr>
        <w:t>2018</w:t>
      </w:r>
      <w:r>
        <w:rPr>
          <w:rFonts w:ascii="宋体" w:hAnsi="宋体" w:cs="宋体" w:eastAsia="宋体" w:hint="default"/>
          <w:spacing w:val="-38"/>
        </w:rPr>
        <w:t> </w:t>
      </w:r>
      <w:r>
        <w:rPr/>
        <w:t>年上半年，摩比神奇按照协议约定，回购上海辰欷投资中心</w:t>
      </w:r>
      <w:r>
        <w:rPr>
          <w:rFonts w:ascii="宋体" w:hAnsi="宋体" w:cs="宋体" w:eastAsia="宋体" w:hint="default"/>
        </w:rPr>
        <w:t>(</w:t>
      </w:r>
      <w:r>
        <w:rPr/>
        <w:t>有限合伙</w:t>
      </w:r>
      <w:r>
        <w:rPr>
          <w:rFonts w:ascii="宋体" w:hAnsi="宋体" w:cs="宋体" w:eastAsia="宋体" w:hint="default"/>
        </w:rPr>
        <w:t>)</w:t>
      </w:r>
      <w:r>
        <w:rPr/>
        <w:t>等</w:t>
      </w:r>
      <w:r>
        <w:rPr>
          <w:spacing w:val="-35"/>
        </w:rPr>
        <w:t> </w:t>
      </w:r>
      <w:r>
        <w:rPr>
          <w:rFonts w:ascii="宋体" w:hAnsi="宋体" w:cs="宋体" w:eastAsia="宋体" w:hint="default"/>
        </w:rPr>
        <w:t>4</w:t>
      </w:r>
      <w:r>
        <w:rPr>
          <w:rFonts w:ascii="宋体" w:hAnsi="宋体" w:cs="宋体" w:eastAsia="宋体" w:hint="default"/>
          <w:spacing w:val="-35"/>
        </w:rPr>
        <w:t> </w:t>
      </w:r>
      <w:r>
        <w:rPr/>
        <w:t>家投资人的增资款并支付利息，相应调减其他非流动负债等科目。</w:t>
      </w:r>
    </w:p>
    <w:p>
      <w:pPr>
        <w:pStyle w:val="BodyText"/>
        <w:spacing w:line="240" w:lineRule="auto" w:before="133"/>
        <w:ind w:left="140" w:right="0"/>
        <w:jc w:val="left"/>
      </w:pPr>
      <w:r>
        <w:rPr/>
        <w:t>股权回购工商变更登记于</w:t>
      </w:r>
      <w:r>
        <w:rPr>
          <w:spacing w:val="-56"/>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6"/>
        </w:rPr>
        <w:t> </w:t>
      </w:r>
      <w:r>
        <w:rPr/>
        <w:t>月</w:t>
      </w:r>
      <w:r>
        <w:rPr>
          <w:spacing w:val="-53"/>
        </w:rPr>
        <w:t> </w:t>
      </w:r>
      <w:r>
        <w:rPr>
          <w:rFonts w:ascii="宋体" w:hAnsi="宋体" w:cs="宋体" w:eastAsia="宋体" w:hint="default"/>
        </w:rPr>
        <w:t>18</w:t>
      </w:r>
      <w:r>
        <w:rPr>
          <w:rFonts w:ascii="宋体" w:hAnsi="宋体" w:cs="宋体" w:eastAsia="宋体" w:hint="default"/>
          <w:spacing w:val="-56"/>
        </w:rPr>
        <w:t> </w:t>
      </w:r>
      <w:r>
        <w:rPr/>
        <w:t>日完成，本集团持股比例由</w:t>
      </w:r>
      <w:r>
        <w:rPr>
          <w:spacing w:val="-54"/>
        </w:rPr>
        <w:t> </w:t>
      </w:r>
      <w:r>
        <w:rPr>
          <w:rFonts w:ascii="宋体" w:hAnsi="宋体" w:cs="宋体" w:eastAsia="宋体" w:hint="default"/>
        </w:rPr>
        <w:t>62.06%</w:t>
      </w:r>
      <w:r>
        <w:rPr/>
        <w:t>变为</w:t>
      </w:r>
      <w:r>
        <w:rPr>
          <w:spacing w:val="-54"/>
        </w:rPr>
        <w:t> </w:t>
      </w:r>
      <w:r>
        <w:rPr>
          <w:rFonts w:ascii="宋体" w:hAnsi="宋体" w:cs="宋体" w:eastAsia="宋体" w:hint="default"/>
        </w:rPr>
        <w:t>63.35%</w:t>
      </w:r>
      <w:r>
        <w:rPr/>
        <w:t>，仍能控制摩比神奇。</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5"/>
        <w:spacing w:line="240" w:lineRule="auto"/>
        <w:ind w:left="140" w:right="0"/>
        <w:jc w:val="left"/>
        <w:rPr>
          <w:b w:val="0"/>
          <w:bCs w:val="0"/>
        </w:rPr>
      </w:pPr>
      <w:r>
        <w:rPr>
          <w:rFonts w:ascii="宋体" w:hAnsi="宋体" w:cs="宋体" w:eastAsia="宋体" w:hint="default"/>
        </w:rPr>
        <w:t>(2).</w:t>
      </w:r>
      <w:r>
        <w:rPr/>
        <w:t>交易对于少数股东权益及归属于母公司所有者权益的影响</w:t>
      </w:r>
      <w:r>
        <w:rPr>
          <w:b w:val="0"/>
          <w:bCs w:val="0"/>
        </w:rPr>
      </w:r>
    </w:p>
    <w:p>
      <w:pPr>
        <w:pStyle w:val="BodyText"/>
        <w:tabs>
          <w:tab w:pos="982" w:val="left" w:leader="none"/>
        </w:tabs>
        <w:spacing w:line="240" w:lineRule="auto" w:before="56"/>
        <w:ind w:left="140" w:right="0"/>
        <w:jc w:val="left"/>
      </w:pPr>
      <w:r>
        <w:rPr/>
        <w:t>□适用</w:t>
        <w:tab/>
        <w:t>√不适用</w:t>
      </w:r>
    </w:p>
    <w:p>
      <w:pPr>
        <w:spacing w:line="240" w:lineRule="auto" w:before="3"/>
        <w:rPr>
          <w:rFonts w:ascii="宋体" w:hAnsi="宋体" w:cs="宋体" w:eastAsia="宋体" w:hint="default"/>
          <w:sz w:val="25"/>
          <w:szCs w:val="25"/>
        </w:rPr>
      </w:pPr>
    </w:p>
    <w:p>
      <w:pPr>
        <w:pStyle w:val="Heading5"/>
        <w:spacing w:line="240" w:lineRule="auto"/>
        <w:ind w:left="140" w:right="0"/>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8"/>
        <w:ind w:left="140" w:right="0"/>
        <w:jc w:val="left"/>
      </w:pPr>
      <w:r>
        <w:rPr/>
        <w:t>√适用 □不适用</w:t>
      </w:r>
    </w:p>
    <w:p>
      <w:pPr>
        <w:pStyle w:val="Heading5"/>
        <w:spacing w:line="240" w:lineRule="auto" w:before="56"/>
        <w:ind w:left="140" w:right="0"/>
        <w:jc w:val="left"/>
        <w:rPr>
          <w:b w:val="0"/>
          <w:bCs w:val="0"/>
        </w:rPr>
      </w:pPr>
      <w:r>
        <w:rPr>
          <w:rFonts w:ascii="宋体" w:hAnsi="宋体" w:cs="宋体" w:eastAsia="宋体" w:hint="default"/>
        </w:rPr>
        <w:t>(1).</w:t>
      </w:r>
      <w:r>
        <w:rPr>
          <w:rFonts w:ascii="宋体" w:hAnsi="宋体" w:cs="宋体" w:eastAsia="宋体" w:hint="default"/>
          <w:spacing w:val="-46"/>
        </w:rPr>
        <w:t> </w:t>
      </w:r>
      <w:r>
        <w:rPr/>
        <w:t>重要的合营企业或联营企业</w:t>
      </w:r>
      <w:r>
        <w:rPr>
          <w:b w:val="0"/>
          <w:bCs w:val="0"/>
        </w:rPr>
      </w:r>
    </w:p>
    <w:p>
      <w:pPr>
        <w:pStyle w:val="BodyText"/>
        <w:tabs>
          <w:tab w:pos="982" w:val="left" w:leader="none"/>
        </w:tabs>
        <w:spacing w:line="240" w:lineRule="auto" w:before="58"/>
        <w:ind w:left="140" w:right="0"/>
        <w:jc w:val="left"/>
      </w:pPr>
      <w:r>
        <w:rPr/>
        <w:t>√适用</w:t>
        <w:tab/>
        <w:t>□不适用</w:t>
      </w:r>
    </w:p>
    <w:p>
      <w:pPr>
        <w:spacing w:after="0" w:line="240" w:lineRule="auto"/>
        <w:jc w:val="left"/>
        <w:sectPr>
          <w:footerReference w:type="default" r:id="rId87"/>
          <w:pgSz w:w="16840" w:h="11910" w:orient="landscape"/>
          <w:pgMar w:footer="1218" w:header="857" w:top="1320" w:bottom="1400" w:left="1300" w:right="1300"/>
          <w:pgNumType w:start="192"/>
        </w:sectPr>
      </w:pPr>
    </w:p>
    <w:p>
      <w:pPr>
        <w:spacing w:line="240" w:lineRule="auto" w:before="0"/>
        <w:rPr>
          <w:rFonts w:ascii="宋体" w:hAnsi="宋体" w:cs="宋体" w:eastAsia="宋体" w:hint="default"/>
          <w:sz w:val="20"/>
          <w:szCs w:val="20"/>
        </w:rPr>
      </w:pPr>
    </w:p>
    <w:p>
      <w:pPr>
        <w:pStyle w:val="BodyText"/>
        <w:tabs>
          <w:tab w:pos="1156" w:val="left" w:leader="none"/>
        </w:tabs>
        <w:spacing w:line="240" w:lineRule="auto" w:before="167"/>
        <w:ind w:left="0" w:right="219"/>
        <w:jc w:val="right"/>
      </w:pPr>
      <w:r>
        <w:rPr>
          <w:spacing w:val="-1"/>
        </w:rPr>
        <w:t>单位</w:t>
      </w:r>
      <w:r>
        <w:rPr>
          <w:rFonts w:ascii="宋体" w:hAnsi="宋体" w:cs="宋体" w:eastAsia="宋体" w:hint="default"/>
          <w:spacing w:val="-1"/>
        </w:rPr>
        <w:t>:</w:t>
      </w:r>
      <w:r>
        <w:rPr>
          <w:spacing w:val="-1"/>
        </w:rPr>
        <w:t>千元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039"/>
        <w:gridCol w:w="1546"/>
        <w:gridCol w:w="1318"/>
        <w:gridCol w:w="2657"/>
        <w:gridCol w:w="1544"/>
        <w:gridCol w:w="1546"/>
        <w:gridCol w:w="2441"/>
      </w:tblGrid>
      <w:tr>
        <w:trPr>
          <w:trHeight w:val="461" w:hRule="exact"/>
        </w:trPr>
        <w:tc>
          <w:tcPr>
            <w:tcW w:w="303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54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65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30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2441" w:type="dxa"/>
            <w:vMerge w:val="restart"/>
            <w:tcBorders>
              <w:top w:val="single" w:sz="4" w:space="0" w:color="000000"/>
              <w:left w:val="single" w:sz="4" w:space="0" w:color="000000"/>
              <w:right w:val="single" w:sz="4" w:space="0" w:color="000000"/>
            </w:tcBorders>
          </w:tcPr>
          <w:p>
            <w:pPr>
              <w:pStyle w:val="TableParagraph"/>
              <w:spacing w:line="232" w:lineRule="exact" w:before="131"/>
              <w:ind w:left="583" w:right="135" w:hanging="449"/>
              <w:jc w:val="left"/>
              <w:rPr>
                <w:rFonts w:ascii="宋体" w:hAnsi="宋体" w:cs="宋体" w:eastAsia="宋体" w:hint="default"/>
                <w:sz w:val="18"/>
                <w:szCs w:val="18"/>
              </w:rPr>
            </w:pPr>
            <w:r>
              <w:rPr>
                <w:rFonts w:ascii="宋体" w:hAnsi="宋体" w:cs="宋体" w:eastAsia="宋体" w:hint="default"/>
                <w:sz w:val="18"/>
                <w:szCs w:val="18"/>
              </w:rPr>
              <w:t>对合营企业或联营企业投资 的会计处理方法</w:t>
            </w:r>
          </w:p>
        </w:tc>
      </w:tr>
      <w:tr>
        <w:trPr>
          <w:trHeight w:val="288" w:hRule="exact"/>
        </w:trPr>
        <w:tc>
          <w:tcPr>
            <w:tcW w:w="3039" w:type="dxa"/>
            <w:vMerge/>
            <w:tcBorders>
              <w:left w:val="single" w:sz="4" w:space="0" w:color="000000"/>
              <w:bottom w:val="single" w:sz="4" w:space="0" w:color="000000"/>
              <w:right w:val="single" w:sz="4" w:space="0" w:color="000000"/>
            </w:tcBorders>
          </w:tcPr>
          <w:p>
            <w:pPr/>
          </w:p>
        </w:tc>
        <w:tc>
          <w:tcPr>
            <w:tcW w:w="1546" w:type="dxa"/>
            <w:vMerge/>
            <w:tcBorders>
              <w:left w:val="single" w:sz="4" w:space="0" w:color="000000"/>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c>
          <w:tcPr>
            <w:tcW w:w="2657" w:type="dxa"/>
            <w:vMerge/>
            <w:tcBorders>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18"/>
                <w:szCs w:val="18"/>
              </w:rPr>
            </w:pPr>
            <w:r>
              <w:rPr>
                <w:rFonts w:ascii="宋体" w:hAnsi="宋体" w:cs="宋体" w:eastAsia="宋体" w:hint="default"/>
                <w:sz w:val="18"/>
                <w:szCs w:val="18"/>
              </w:rPr>
              <w:t>间接</w:t>
            </w:r>
          </w:p>
        </w:tc>
        <w:tc>
          <w:tcPr>
            <w:tcW w:w="2441" w:type="dxa"/>
            <w:vMerge/>
            <w:tcBorders>
              <w:left w:val="single" w:sz="4" w:space="0" w:color="000000"/>
              <w:bottom w:val="single" w:sz="4" w:space="0" w:color="000000"/>
              <w:right w:val="single" w:sz="4" w:space="0" w:color="000000"/>
            </w:tcBorders>
          </w:tcPr>
          <w:p>
            <w:pPr/>
          </w:p>
        </w:tc>
      </w:tr>
      <w:tr>
        <w:trPr>
          <w:trHeight w:val="245" w:hRule="exact"/>
        </w:trPr>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Opera</w:t>
            </w:r>
            <w:r>
              <w:rPr>
                <w:rFonts w:ascii="宋体"/>
                <w:spacing w:val="-3"/>
                <w:sz w:val="18"/>
              </w:rPr>
              <w:t> </w:t>
            </w:r>
            <w:r>
              <w:rPr>
                <w:rFonts w:ascii="宋体"/>
                <w:sz w:val="18"/>
              </w:rPr>
              <w:t>Limited</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挪威</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Cayman</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网络浏览器</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21.30</w:t>
            </w:r>
          </w:p>
        </w:tc>
        <w:tc>
          <w:tcPr>
            <w:tcW w:w="154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242" w:hRule="exact"/>
        </w:trPr>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北京奇安信科技有限公司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技术开发及服务</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22.59</w:t>
            </w:r>
          </w:p>
        </w:tc>
        <w:tc>
          <w:tcPr>
            <w:tcW w:w="154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245" w:hRule="exact"/>
        </w:trPr>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在线途游</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科技有限公司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互联网增值服务</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14.50</w:t>
            </w:r>
          </w:p>
        </w:tc>
        <w:tc>
          <w:tcPr>
            <w:tcW w:w="154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line="240" w:lineRule="auto" w:before="5"/>
        <w:rPr>
          <w:rFonts w:ascii="宋体" w:hAnsi="宋体" w:cs="宋体" w:eastAsia="宋体" w:hint="default"/>
          <w:sz w:val="15"/>
          <w:szCs w:val="15"/>
        </w:rPr>
      </w:pPr>
    </w:p>
    <w:p>
      <w:pPr>
        <w:pStyle w:val="BodyText"/>
        <w:spacing w:line="240" w:lineRule="auto" w:before="36"/>
        <w:ind w:left="220" w:right="8082"/>
        <w:jc w:val="left"/>
      </w:pPr>
      <w:r>
        <w:rPr>
          <w:spacing w:val="-2"/>
        </w:rPr>
        <w:t>在合营企业或联营企业的持股比例不同于表决权比例的说明：</w:t>
      </w:r>
      <w:r>
        <w:rPr>
          <w:spacing w:val="-52"/>
        </w:rPr>
        <w:t> </w:t>
      </w:r>
      <w:r>
        <w:rPr>
          <w:spacing w:val="-52"/>
        </w:rPr>
      </w:r>
      <w:r>
        <w:rPr/>
        <w:t>无。</w:t>
      </w:r>
    </w:p>
    <w:p>
      <w:pPr>
        <w:spacing w:line="240" w:lineRule="auto" w:before="10"/>
        <w:rPr>
          <w:rFonts w:ascii="宋体" w:hAnsi="宋体" w:cs="宋体" w:eastAsia="宋体" w:hint="default"/>
          <w:sz w:val="22"/>
          <w:szCs w:val="22"/>
        </w:rPr>
      </w:pPr>
    </w:p>
    <w:p>
      <w:pPr>
        <w:pStyle w:val="BodyText"/>
        <w:spacing w:line="272" w:lineRule="exact"/>
        <w:ind w:left="220" w:right="5583"/>
        <w:jc w:val="left"/>
      </w:pPr>
      <w:r>
        <w:rPr/>
        <w:t>持有</w:t>
      </w:r>
      <w:r>
        <w:rPr>
          <w:spacing w:val="-57"/>
        </w:rPr>
        <w:t> </w:t>
      </w:r>
      <w:r>
        <w:rPr>
          <w:rFonts w:ascii="宋体" w:hAnsi="宋体" w:cs="宋体" w:eastAsia="宋体" w:hint="default"/>
        </w:rPr>
        <w:t>20%</w:t>
      </w:r>
      <w:r>
        <w:rPr/>
        <w:t>以下表决权但具有重大影响，或者持有</w:t>
      </w:r>
      <w:r>
        <w:rPr>
          <w:spacing w:val="-58"/>
        </w:rPr>
        <w:t> </w:t>
      </w:r>
      <w:r>
        <w:rPr>
          <w:rFonts w:ascii="宋体" w:hAnsi="宋体" w:cs="宋体" w:eastAsia="宋体" w:hint="default"/>
        </w:rPr>
        <w:t>20%</w:t>
      </w:r>
      <w:r>
        <w:rPr/>
        <w:t>或以上表决权但不具有重大影响的依据：</w:t>
      </w:r>
      <w:r>
        <w:rPr>
          <w:w w:val="100"/>
        </w:rPr>
        <w:t> </w:t>
      </w:r>
      <w:r>
        <w:rPr/>
        <w:t>无。</w:t>
      </w:r>
    </w:p>
    <w:p>
      <w:pPr>
        <w:spacing w:line="240" w:lineRule="auto" w:before="3"/>
        <w:rPr>
          <w:rFonts w:ascii="宋体" w:hAnsi="宋体" w:cs="宋体" w:eastAsia="宋体" w:hint="default"/>
          <w:sz w:val="26"/>
          <w:szCs w:val="26"/>
        </w:rPr>
      </w:pPr>
    </w:p>
    <w:p>
      <w:pPr>
        <w:pStyle w:val="Heading5"/>
        <w:spacing w:line="240" w:lineRule="auto"/>
        <w:ind w:left="220" w:right="0"/>
        <w:jc w:val="left"/>
        <w:rPr>
          <w:b w:val="0"/>
          <w:bCs w:val="0"/>
        </w:rPr>
      </w:pPr>
      <w:r>
        <w:rPr>
          <w:rFonts w:ascii="宋体" w:hAnsi="宋体" w:cs="宋体" w:eastAsia="宋体" w:hint="default"/>
        </w:rPr>
        <w:t>(2).</w:t>
      </w:r>
      <w:r>
        <w:rPr/>
        <w:t>重要合营企业的主要财务信息</w:t>
      </w:r>
      <w:r>
        <w:rPr>
          <w:b w:val="0"/>
          <w:bCs w:val="0"/>
        </w:rPr>
      </w:r>
    </w:p>
    <w:p>
      <w:pPr>
        <w:pStyle w:val="BodyText"/>
        <w:tabs>
          <w:tab w:pos="1062" w:val="left" w:leader="none"/>
        </w:tabs>
        <w:spacing w:line="240" w:lineRule="auto" w:before="58"/>
        <w:ind w:left="220" w:right="0"/>
        <w:jc w:val="left"/>
      </w:pPr>
      <w:r>
        <w:rPr/>
        <w:t>□适用</w:t>
        <w:tab/>
        <w:t>√不适用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6840" w:h="11910" w:orient="landscape"/>
          <w:pgMar w:header="857" w:footer="1218" w:top="1320" w:bottom="1400" w:left="1220" w:right="1300"/>
        </w:sectPr>
      </w:pPr>
    </w:p>
    <w:p>
      <w:pPr>
        <w:pStyle w:val="Heading5"/>
        <w:spacing w:line="240" w:lineRule="auto" w:before="36"/>
        <w:ind w:left="220" w:right="-1"/>
        <w:jc w:val="left"/>
        <w:rPr>
          <w:b w:val="0"/>
          <w:bCs w:val="0"/>
        </w:rPr>
      </w:pPr>
      <w:r>
        <w:rPr>
          <w:rFonts w:ascii="宋体" w:hAnsi="宋体" w:cs="宋体" w:eastAsia="宋体" w:hint="default"/>
          <w:spacing w:val="-1"/>
        </w:rPr>
        <w:t>(3).</w:t>
      </w:r>
      <w:r>
        <w:rPr>
          <w:spacing w:val="-1"/>
        </w:rPr>
        <w:t>重要联营企业的主要财务信息</w:t>
      </w:r>
      <w:r>
        <w:rPr>
          <w:b w:val="0"/>
          <w:bCs w:val="0"/>
          <w:spacing w:val="-1"/>
        </w:rPr>
      </w:r>
    </w:p>
    <w:p>
      <w:pPr>
        <w:pStyle w:val="BodyText"/>
        <w:tabs>
          <w:tab w:pos="1062" w:val="left" w:leader="none"/>
        </w:tabs>
        <w:spacing w:line="240" w:lineRule="auto" w:before="56"/>
        <w:ind w:left="220" w:right="-1"/>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82" w:val="left" w:leader="none"/>
        </w:tabs>
        <w:spacing w:line="240" w:lineRule="auto"/>
        <w:ind w:left="220" w:right="0"/>
        <w:jc w:val="left"/>
      </w:pPr>
      <w:r>
        <w:rPr>
          <w:spacing w:val="-1"/>
        </w:rPr>
        <w:t>单位：千元</w:t>
        <w:tab/>
      </w:r>
      <w:r>
        <w:rPr>
          <w:spacing w:val="-2"/>
        </w:rPr>
        <w:t>币种：人民币</w:t>
      </w:r>
    </w:p>
    <w:p>
      <w:pPr>
        <w:spacing w:after="0" w:line="240" w:lineRule="auto"/>
        <w:jc w:val="left"/>
        <w:sectPr>
          <w:type w:val="continuous"/>
          <w:pgSz w:w="16840" w:h="11910" w:orient="landscape"/>
          <w:pgMar w:top="1320" w:bottom="1400" w:left="1220" w:right="1300"/>
          <w:cols w:num="2" w:equalWidth="0">
            <w:col w:w="3387" w:space="7965"/>
            <w:col w:w="2968"/>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364"/>
        <w:gridCol w:w="1702"/>
        <w:gridCol w:w="1702"/>
        <w:gridCol w:w="1702"/>
        <w:gridCol w:w="1417"/>
        <w:gridCol w:w="1421"/>
        <w:gridCol w:w="1784"/>
      </w:tblGrid>
      <w:tr>
        <w:trPr>
          <w:trHeight w:val="286" w:hRule="exact"/>
        </w:trPr>
        <w:tc>
          <w:tcPr>
            <w:tcW w:w="4364" w:type="dxa"/>
            <w:vMerge w:val="restart"/>
            <w:tcBorders>
              <w:top w:val="single" w:sz="4" w:space="0" w:color="000000"/>
              <w:left w:val="single" w:sz="4" w:space="0" w:color="000000"/>
              <w:right w:val="single" w:sz="6" w:space="0" w:color="000000"/>
            </w:tcBorders>
          </w:tcPr>
          <w:p>
            <w:pPr/>
          </w:p>
        </w:tc>
        <w:tc>
          <w:tcPr>
            <w:tcW w:w="5105" w:type="dxa"/>
            <w:gridSpan w:val="3"/>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149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4621" w:type="dxa"/>
            <w:gridSpan w:val="3"/>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125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上期发生额</w:t>
            </w:r>
          </w:p>
        </w:tc>
      </w:tr>
      <w:tr>
        <w:trPr>
          <w:trHeight w:val="833" w:hRule="exact"/>
        </w:trPr>
        <w:tc>
          <w:tcPr>
            <w:tcW w:w="4364" w:type="dxa"/>
            <w:vMerge/>
            <w:tcBorders>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sz w:val="21"/>
              </w:rPr>
              <w:t>Opera</w:t>
            </w:r>
            <w:r>
              <w:rPr>
                <w:rFonts w:ascii="宋体"/>
                <w:spacing w:val="2"/>
                <w:sz w:val="21"/>
              </w:rPr>
              <w:t> </w:t>
            </w:r>
            <w:r>
              <w:rPr>
                <w:rFonts w:ascii="宋体"/>
                <w:sz w:val="21"/>
              </w:rPr>
              <w:t>Limited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北京奇安信科技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在线途游</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科技有限公司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Opera</w:t>
            </w:r>
          </w:p>
          <w:p>
            <w:pPr>
              <w:pStyle w:val="TableParagraph"/>
              <w:spacing w:line="274" w:lineRule="exact"/>
              <w:ind w:left="1" w:right="0"/>
              <w:jc w:val="center"/>
              <w:rPr>
                <w:rFonts w:ascii="宋体" w:hAnsi="宋体" w:cs="宋体" w:eastAsia="宋体" w:hint="default"/>
                <w:sz w:val="21"/>
                <w:szCs w:val="21"/>
              </w:rPr>
            </w:pPr>
            <w:r>
              <w:rPr>
                <w:rFonts w:ascii="宋体"/>
                <w:sz w:val="21"/>
              </w:rPr>
              <w:t>Limited</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北京奇安信</w:t>
            </w:r>
          </w:p>
          <w:p>
            <w:pPr>
              <w:pStyle w:val="TableParagraph"/>
              <w:spacing w:line="272" w:lineRule="exact" w:before="27"/>
              <w:ind w:left="597" w:right="173" w:hanging="420"/>
              <w:jc w:val="left"/>
              <w:rPr>
                <w:rFonts w:ascii="宋体" w:hAnsi="宋体" w:cs="宋体" w:eastAsia="宋体" w:hint="default"/>
                <w:sz w:val="21"/>
                <w:szCs w:val="21"/>
              </w:rPr>
            </w:pPr>
            <w:r>
              <w:rPr>
                <w:rFonts w:ascii="宋体" w:hAnsi="宋体" w:cs="宋体" w:eastAsia="宋体" w:hint="default"/>
                <w:sz w:val="21"/>
                <w:szCs w:val="21"/>
              </w:rPr>
              <w:t>科技有限公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在线途游</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科技有限公司</w:t>
            </w:r>
          </w:p>
        </w:tc>
      </w:tr>
      <w:tr>
        <w:trPr>
          <w:trHeight w:val="286" w:hRule="exact"/>
        </w:trPr>
        <w:tc>
          <w:tcPr>
            <w:tcW w:w="436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1,634,071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4,987,845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505,755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479,159</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2,899,071</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305,798</w:t>
            </w:r>
          </w:p>
        </w:tc>
      </w:tr>
      <w:tr>
        <w:trPr>
          <w:trHeight w:val="289" w:hRule="exact"/>
        </w:trPr>
        <w:tc>
          <w:tcPr>
            <w:tcW w:w="4364"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4,019,306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2,944,652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130,380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3,582,480</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2,669,935</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169,342</w:t>
            </w:r>
          </w:p>
        </w:tc>
      </w:tr>
      <w:tr>
        <w:trPr>
          <w:trHeight w:val="288" w:hRule="exact"/>
        </w:trPr>
        <w:tc>
          <w:tcPr>
            <w:tcW w:w="436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5,653,377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7,932,497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636,135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4,061,639</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5,569,006</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475,140</w:t>
            </w:r>
          </w:p>
        </w:tc>
      </w:tr>
      <w:tr>
        <w:trPr>
          <w:trHeight w:val="288" w:hRule="exact"/>
        </w:trPr>
        <w:tc>
          <w:tcPr>
            <w:tcW w:w="4364"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6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233,362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2,368,711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125,670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252,167</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1,827,172</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109,710</w:t>
            </w:r>
          </w:p>
        </w:tc>
      </w:tr>
      <w:tr>
        <w:trPr>
          <w:trHeight w:val="288" w:hRule="exact"/>
        </w:trPr>
        <w:tc>
          <w:tcPr>
            <w:tcW w:w="436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702"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108,720</w:t>
            </w:r>
          </w:p>
        </w:tc>
        <w:tc>
          <w:tcPr>
            <w:tcW w:w="1702"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78,838</w:t>
            </w:r>
          </w:p>
        </w:tc>
        <w:tc>
          <w:tcPr>
            <w:tcW w:w="1702"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796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74,804</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35,902</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796</w:t>
            </w:r>
          </w:p>
        </w:tc>
      </w:tr>
    </w:tbl>
    <w:p>
      <w:pPr>
        <w:spacing w:after="0" w:line="243" w:lineRule="exact"/>
        <w:jc w:val="right"/>
        <w:rPr>
          <w:rFonts w:ascii="宋体" w:hAnsi="宋体" w:cs="宋体" w:eastAsia="宋体" w:hint="default"/>
          <w:sz w:val="21"/>
          <w:szCs w:val="21"/>
        </w:rPr>
        <w:sectPr>
          <w:type w:val="continuous"/>
          <w:pgSz w:w="16840" w:h="11910" w:orient="landscape"/>
          <w:pgMar w:top="1320" w:bottom="1400" w:left="1220" w:right="13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4364"/>
        <w:gridCol w:w="1702"/>
        <w:gridCol w:w="1702"/>
        <w:gridCol w:w="1702"/>
        <w:gridCol w:w="1417"/>
        <w:gridCol w:w="1421"/>
        <w:gridCol w:w="1784"/>
      </w:tblGrid>
      <w:tr>
        <w:trPr>
          <w:trHeight w:val="283" w:hRule="exact"/>
        </w:trPr>
        <w:tc>
          <w:tcPr>
            <w:tcW w:w="4364" w:type="dxa"/>
            <w:vMerge w:val="restart"/>
            <w:tcBorders>
              <w:top w:val="single" w:sz="4" w:space="0" w:color="000000"/>
              <w:left w:val="single" w:sz="4" w:space="0" w:color="000000"/>
              <w:right w:val="single" w:sz="6" w:space="0" w:color="000000"/>
            </w:tcBorders>
          </w:tcPr>
          <w:p>
            <w:pPr/>
          </w:p>
        </w:tc>
        <w:tc>
          <w:tcPr>
            <w:tcW w:w="5105" w:type="dxa"/>
            <w:gridSpan w:val="3"/>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49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4621" w:type="dxa"/>
            <w:gridSpan w:val="3"/>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25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上期发生额</w:t>
            </w:r>
          </w:p>
        </w:tc>
      </w:tr>
      <w:tr>
        <w:trPr>
          <w:trHeight w:val="833" w:hRule="exact"/>
        </w:trPr>
        <w:tc>
          <w:tcPr>
            <w:tcW w:w="4364" w:type="dxa"/>
            <w:vMerge/>
            <w:tcBorders>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60" w:right="0"/>
              <w:jc w:val="left"/>
              <w:rPr>
                <w:rFonts w:ascii="宋体" w:hAnsi="宋体" w:cs="宋体" w:eastAsia="宋体" w:hint="default"/>
                <w:sz w:val="21"/>
                <w:szCs w:val="21"/>
              </w:rPr>
            </w:pPr>
            <w:r>
              <w:rPr>
                <w:rFonts w:ascii="宋体"/>
                <w:sz w:val="21"/>
              </w:rPr>
              <w:t>Opera</w:t>
            </w:r>
            <w:r>
              <w:rPr>
                <w:rFonts w:ascii="宋体"/>
                <w:spacing w:val="2"/>
                <w:sz w:val="21"/>
              </w:rPr>
              <w:t> </w:t>
            </w:r>
            <w:r>
              <w:rPr>
                <w:rFonts w:ascii="宋体"/>
                <w:sz w:val="21"/>
              </w:rPr>
              <w:t>Limited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北京奇安信科技</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在线途游</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科技有限公司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Opera</w:t>
            </w:r>
          </w:p>
          <w:p>
            <w:pPr>
              <w:pStyle w:val="TableParagraph"/>
              <w:spacing w:line="273" w:lineRule="exact"/>
              <w:ind w:left="1" w:right="0"/>
              <w:jc w:val="center"/>
              <w:rPr>
                <w:rFonts w:ascii="宋体" w:hAnsi="宋体" w:cs="宋体" w:eastAsia="宋体" w:hint="default"/>
                <w:sz w:val="21"/>
                <w:szCs w:val="21"/>
              </w:rPr>
            </w:pPr>
            <w:r>
              <w:rPr>
                <w:rFonts w:ascii="宋体"/>
                <w:sz w:val="21"/>
              </w:rPr>
              <w:t>Limited</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北京奇安信</w:t>
            </w:r>
          </w:p>
          <w:p>
            <w:pPr>
              <w:pStyle w:val="TableParagraph"/>
              <w:spacing w:line="240" w:lineRule="auto"/>
              <w:ind w:left="597" w:right="173" w:hanging="420"/>
              <w:jc w:val="left"/>
              <w:rPr>
                <w:rFonts w:ascii="宋体" w:hAnsi="宋体" w:cs="宋体" w:eastAsia="宋体" w:hint="default"/>
                <w:sz w:val="21"/>
                <w:szCs w:val="21"/>
              </w:rPr>
            </w:pPr>
            <w:r>
              <w:rPr>
                <w:rFonts w:ascii="宋体" w:hAnsi="宋体" w:cs="宋体" w:eastAsia="宋体" w:hint="default"/>
                <w:sz w:val="21"/>
                <w:szCs w:val="21"/>
              </w:rPr>
              <w:t>科技有限公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在线途游</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科技有限公司</w:t>
            </w:r>
          </w:p>
        </w:tc>
      </w:tr>
      <w:tr>
        <w:trPr>
          <w:trHeight w:val="288" w:hRule="exact"/>
        </w:trPr>
        <w:tc>
          <w:tcPr>
            <w:tcW w:w="436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342,082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2,447,549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126,466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326,971</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1,863,074</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110,506</w:t>
            </w:r>
          </w:p>
        </w:tc>
      </w:tr>
      <w:tr>
        <w:trPr>
          <w:trHeight w:val="288" w:hRule="exact"/>
        </w:trPr>
        <w:tc>
          <w:tcPr>
            <w:tcW w:w="4364"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6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75,683</w:t>
            </w:r>
          </w:p>
        </w:tc>
        <w:tc>
          <w:tcPr>
            <w:tcW w:w="1702"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109,607</w:t>
            </w:r>
          </w:p>
        </w:tc>
        <w:tc>
          <w:tcPr>
            <w:tcW w:w="1784"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364"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5,311,295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5,409,265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509,669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3,734,668</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3,596,325</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364,634</w:t>
            </w:r>
          </w:p>
        </w:tc>
      </w:tr>
      <w:tr>
        <w:trPr>
          <w:trHeight w:val="288" w:hRule="exact"/>
        </w:trPr>
        <w:tc>
          <w:tcPr>
            <w:tcW w:w="4364"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6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1,131,306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1,221,953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73,902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1,027,034</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909,870</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180,494</w:t>
            </w:r>
          </w:p>
        </w:tc>
      </w:tr>
      <w:tr>
        <w:trPr>
          <w:trHeight w:val="288" w:hRule="exact"/>
        </w:trPr>
        <w:tc>
          <w:tcPr>
            <w:tcW w:w="436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281,487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100,722</w:t>
            </w:r>
          </w:p>
        </w:tc>
        <w:tc>
          <w:tcPr>
            <w:tcW w:w="1417"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327,797</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343,843</w:t>
            </w:r>
          </w:p>
        </w:tc>
      </w:tr>
      <w:tr>
        <w:trPr>
          <w:trHeight w:val="288" w:hRule="exact"/>
        </w:trPr>
        <w:tc>
          <w:tcPr>
            <w:tcW w:w="436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281,487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100,722</w:t>
            </w:r>
          </w:p>
        </w:tc>
        <w:tc>
          <w:tcPr>
            <w:tcW w:w="1417"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327,797</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343,843</w:t>
            </w:r>
          </w:p>
        </w:tc>
      </w:tr>
      <w:tr>
        <w:trPr>
          <w:trHeight w:val="288" w:hRule="exact"/>
        </w:trPr>
        <w:tc>
          <w:tcPr>
            <w:tcW w:w="436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6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对联营企业权益投资的账面价值</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1,131,306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1,503,440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174,624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1,027,034</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1,237,667</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524,337</w:t>
            </w:r>
          </w:p>
        </w:tc>
      </w:tr>
      <w:tr>
        <w:trPr>
          <w:trHeight w:val="560" w:hRule="exact"/>
        </w:trPr>
        <w:tc>
          <w:tcPr>
            <w:tcW w:w="436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存在公开报价的联营企业权益投资的公允价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4"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1,146,281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2,393,659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501,210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895,719</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1,457,955</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363,707</w:t>
            </w:r>
          </w:p>
        </w:tc>
      </w:tr>
      <w:tr>
        <w:trPr>
          <w:trHeight w:val="286" w:hRule="exact"/>
        </w:trPr>
        <w:tc>
          <w:tcPr>
            <w:tcW w:w="436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232,471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(157,713)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146,026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22,233</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(345,540)</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84,672</w:t>
            </w:r>
          </w:p>
        </w:tc>
      </w:tr>
      <w:tr>
        <w:trPr>
          <w:trHeight w:val="288" w:hRule="exact"/>
        </w:trPr>
        <w:tc>
          <w:tcPr>
            <w:tcW w:w="436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(8,523)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101</w:t>
            </w:r>
          </w:p>
        </w:tc>
        <w:tc>
          <w:tcPr>
            <w:tcW w:w="1702"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33,017</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(121)</w:t>
            </w:r>
          </w:p>
        </w:tc>
        <w:tc>
          <w:tcPr>
            <w:tcW w:w="17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223,948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(157,612)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146,026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55,250</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(345,661)</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84,672</w:t>
            </w:r>
          </w:p>
        </w:tc>
      </w:tr>
      <w:tr>
        <w:trPr>
          <w:trHeight w:val="286" w:hRule="exact"/>
        </w:trPr>
        <w:tc>
          <w:tcPr>
            <w:tcW w:w="4364"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64"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本年度收到的来自联营企业的股利</w:t>
            </w:r>
          </w:p>
        </w:tc>
        <w:tc>
          <w:tcPr>
            <w:tcW w:w="1702" w:type="dxa"/>
            <w:tcBorders>
              <w:top w:val="single" w:sz="6" w:space="0" w:color="000000"/>
              <w:left w:val="single" w:sz="6" w:space="0" w:color="000000"/>
              <w:bottom w:val="single" w:sz="4" w:space="0" w:color="000000"/>
              <w:right w:val="single" w:sz="6" w:space="0" w:color="000000"/>
            </w:tcBorders>
          </w:tcPr>
          <w:p>
            <w:pPr/>
          </w:p>
        </w:tc>
        <w:tc>
          <w:tcPr>
            <w:tcW w:w="1702" w:type="dxa"/>
            <w:tcBorders>
              <w:top w:val="single" w:sz="6" w:space="0" w:color="000000"/>
              <w:left w:val="single" w:sz="6" w:space="0" w:color="000000"/>
              <w:bottom w:val="single" w:sz="4" w:space="0" w:color="000000"/>
              <w:right w:val="single" w:sz="6" w:space="0" w:color="000000"/>
            </w:tcBorders>
          </w:tcPr>
          <w:p>
            <w:pPr/>
          </w:p>
        </w:tc>
        <w:tc>
          <w:tcPr>
            <w:tcW w:w="1702" w:type="dxa"/>
            <w:tcBorders>
              <w:top w:val="single" w:sz="6" w:space="0" w:color="000000"/>
              <w:left w:val="single" w:sz="6" w:space="0" w:color="000000"/>
              <w:bottom w:val="single" w:sz="4" w:space="0" w:color="000000"/>
              <w:right w:val="single" w:sz="6" w:space="0" w:color="000000"/>
            </w:tcBorders>
          </w:tcPr>
          <w:p>
            <w:pPr/>
          </w:p>
        </w:tc>
        <w:tc>
          <w:tcPr>
            <w:tcW w:w="1417" w:type="dxa"/>
            <w:tcBorders>
              <w:top w:val="single" w:sz="6" w:space="0" w:color="000000"/>
              <w:left w:val="single" w:sz="6" w:space="0" w:color="000000"/>
              <w:bottom w:val="single" w:sz="4" w:space="0" w:color="000000"/>
              <w:right w:val="single" w:sz="6" w:space="0" w:color="000000"/>
            </w:tcBorders>
          </w:tcPr>
          <w:p>
            <w:pPr/>
          </w:p>
        </w:tc>
        <w:tc>
          <w:tcPr>
            <w:tcW w:w="1421" w:type="dxa"/>
            <w:tcBorders>
              <w:top w:val="single" w:sz="6" w:space="0" w:color="000000"/>
              <w:left w:val="single" w:sz="6" w:space="0" w:color="000000"/>
              <w:bottom w:val="single" w:sz="4" w:space="0" w:color="000000"/>
              <w:right w:val="single" w:sz="6" w:space="0" w:color="000000"/>
            </w:tcBorders>
          </w:tcPr>
          <w:p>
            <w:pPr/>
          </w:p>
        </w:tc>
        <w:tc>
          <w:tcPr>
            <w:tcW w:w="1784"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6"/>
        <w:rPr>
          <w:rFonts w:ascii="宋体" w:hAnsi="宋体" w:cs="宋体" w:eastAsia="宋体" w:hint="default"/>
          <w:sz w:val="18"/>
          <w:szCs w:val="18"/>
        </w:rPr>
      </w:pPr>
    </w:p>
    <w:p>
      <w:pPr>
        <w:pStyle w:val="BodyText"/>
        <w:spacing w:line="273" w:lineRule="exact" w:before="36"/>
        <w:ind w:left="220" w:right="0"/>
        <w:jc w:val="left"/>
      </w:pPr>
      <w:r>
        <w:rPr/>
        <w:t>其他说明</w:t>
      </w:r>
    </w:p>
    <w:p>
      <w:pPr>
        <w:pStyle w:val="BodyText"/>
        <w:spacing w:line="357" w:lineRule="auto"/>
        <w:ind w:left="220" w:right="0" w:firstLine="420"/>
        <w:jc w:val="left"/>
      </w:pPr>
      <w:r>
        <w:rPr>
          <w:spacing w:val="-2"/>
        </w:rPr>
        <w:t>集团以联营企业及合营企业合并财务报表中归属于母公司的金额为基础，按持股比例计算应享有的份额。上述披露的联营企业合并财务报表中的金</w:t>
      </w:r>
      <w:r>
        <w:rPr>
          <w:w w:val="100"/>
        </w:rPr>
        <w:t> </w:t>
      </w:r>
      <w:r>
        <w:rPr/>
        <w:t>额考虑了取得投资时联营企业可辨认资产和负债的公允价值以及统一会计政策的影响。</w:t>
      </w:r>
    </w:p>
    <w:p>
      <w:pPr>
        <w:spacing w:after="0" w:line="357" w:lineRule="auto"/>
        <w:jc w:val="left"/>
        <w:sectPr>
          <w:pgSz w:w="16840" w:h="11910" w:orient="landscape"/>
          <w:pgMar w:header="857" w:footer="1218" w:top="1320" w:bottom="1400" w:left="1220" w:right="13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88"/>
          <w:footerReference w:type="default" r:id="rId89"/>
          <w:pgSz w:w="11910" w:h="16840"/>
          <w:pgMar w:header="857" w:footer="1217" w:top="1320" w:bottom="1400" w:left="1580" w:right="1040"/>
          <w:pgNumType w:start="195"/>
        </w:sectPr>
      </w:pPr>
    </w:p>
    <w:p>
      <w:pPr>
        <w:pStyle w:val="Heading5"/>
        <w:spacing w:line="240" w:lineRule="auto" w:before="36"/>
        <w:ind w:right="-18"/>
        <w:jc w:val="left"/>
        <w:rPr>
          <w:b w:val="0"/>
          <w:bCs w:val="0"/>
        </w:rPr>
      </w:pPr>
      <w:r>
        <w:rPr>
          <w:rFonts w:ascii="宋体" w:hAnsi="宋体" w:cs="宋体" w:eastAsia="宋体" w:hint="default"/>
        </w:rPr>
        <w:t>(4).</w:t>
      </w:r>
      <w:r>
        <w:rPr>
          <w:rFonts w:ascii="宋体" w:hAnsi="宋体" w:cs="宋体" w:eastAsia="宋体" w:hint="default"/>
          <w:spacing w:val="-44"/>
        </w:rPr>
        <w:t> </w:t>
      </w:r>
      <w:r>
        <w:rPr/>
        <w:t>不重要的合营企业和联营企业的汇总财务信息</w:t>
      </w:r>
      <w:r>
        <w:rPr>
          <w:b w:val="0"/>
          <w:bCs w:val="0"/>
        </w:rPr>
      </w:r>
    </w:p>
    <w:p>
      <w:pPr>
        <w:pStyle w:val="BodyText"/>
        <w:tabs>
          <w:tab w:pos="1060" w:val="left" w:leader="none"/>
        </w:tabs>
        <w:spacing w:line="240" w:lineRule="auto" w:before="56"/>
        <w:ind w:left="21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80" w:val="left" w:leader="none"/>
        </w:tabs>
        <w:spacing w:line="240" w:lineRule="auto"/>
        <w:ind w:left="218"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580" w:right="1040"/>
          <w:cols w:num="2" w:equalWidth="0">
            <w:col w:w="4923" w:space="1388"/>
            <w:col w:w="297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4,570</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15,770</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(6,819)</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(10,748)</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(6,819)</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(10,748)</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1,612,868</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1,626,214</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10,702</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(36,351)</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10,702</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(36,351)</w:t>
            </w:r>
          </w:p>
        </w:tc>
      </w:tr>
    </w:tbl>
    <w:p>
      <w:pPr>
        <w:pStyle w:val="BodyText"/>
        <w:spacing w:line="239" w:lineRule="exact"/>
        <w:ind w:left="218" w:right="234"/>
        <w:jc w:val="left"/>
      </w:pPr>
      <w:r>
        <w:rPr/>
        <w:t>其他说明</w:t>
      </w:r>
    </w:p>
    <w:p>
      <w:pPr>
        <w:pStyle w:val="BodyText"/>
        <w:spacing w:line="273" w:lineRule="exact"/>
        <w:ind w:left="218" w:right="234"/>
        <w:jc w:val="left"/>
      </w:pPr>
      <w:r>
        <w:rPr/>
        <w:t>无。</w:t>
      </w:r>
    </w:p>
    <w:p>
      <w:pPr>
        <w:spacing w:line="240" w:lineRule="auto" w:before="2"/>
        <w:rPr>
          <w:rFonts w:ascii="宋体" w:hAnsi="宋体" w:cs="宋体" w:eastAsia="宋体" w:hint="default"/>
          <w:sz w:val="28"/>
          <w:szCs w:val="28"/>
        </w:rPr>
      </w:pPr>
    </w:p>
    <w:p>
      <w:pPr>
        <w:pStyle w:val="Heading5"/>
        <w:spacing w:line="240" w:lineRule="auto"/>
        <w:ind w:right="234"/>
        <w:jc w:val="left"/>
        <w:rPr>
          <w:b w:val="0"/>
          <w:bCs w:val="0"/>
        </w:rPr>
      </w:pPr>
      <w:r>
        <w:rPr>
          <w:rFonts w:ascii="宋体" w:hAnsi="宋体" w:cs="宋体" w:eastAsia="宋体" w:hint="default"/>
        </w:rPr>
        <w:t>(5).</w:t>
      </w:r>
      <w:r>
        <w:rPr>
          <w:rFonts w:ascii="宋体" w:hAnsi="宋体" w:cs="宋体" w:eastAsia="宋体" w:hint="default"/>
          <w:spacing w:val="-46"/>
        </w:rPr>
        <w:t> </w:t>
      </w:r>
      <w:r>
        <w:rPr/>
        <w:t>合营企业或联营企业向本公司转移资金的能力存在重大限制的说明</w:t>
      </w:r>
      <w:r>
        <w:rPr>
          <w:b w:val="0"/>
          <w:bCs w:val="0"/>
        </w:rPr>
      </w:r>
    </w:p>
    <w:p>
      <w:pPr>
        <w:pStyle w:val="BodyText"/>
        <w:tabs>
          <w:tab w:pos="1060" w:val="left" w:leader="none"/>
        </w:tabs>
        <w:spacing w:line="240" w:lineRule="auto" w:before="58"/>
        <w:ind w:left="218" w:right="234"/>
        <w:jc w:val="left"/>
      </w:pPr>
      <w:r>
        <w:rPr>
          <w:spacing w:val="-1"/>
        </w:rPr>
        <w:t>□适用</w:t>
        <w:tab/>
      </w:r>
      <w:r>
        <w:rPr>
          <w:spacing w:val="-2"/>
        </w:rPr>
        <w:t>√不适用</w:t>
      </w:r>
    </w:p>
    <w:p>
      <w:pPr>
        <w:spacing w:line="240" w:lineRule="auto" w:before="2"/>
        <w:rPr>
          <w:rFonts w:ascii="宋体" w:hAnsi="宋体" w:cs="宋体" w:eastAsia="宋体" w:hint="default"/>
          <w:sz w:val="28"/>
          <w:szCs w:val="28"/>
        </w:rPr>
      </w:pPr>
    </w:p>
    <w:p>
      <w:pPr>
        <w:pStyle w:val="Heading5"/>
        <w:spacing w:line="240" w:lineRule="auto"/>
        <w:ind w:right="234"/>
        <w:jc w:val="left"/>
        <w:rPr>
          <w:b w:val="0"/>
          <w:bCs w:val="0"/>
        </w:rPr>
      </w:pPr>
      <w:r>
        <w:rPr>
          <w:rFonts w:ascii="宋体" w:hAnsi="宋体" w:cs="宋体" w:eastAsia="宋体" w:hint="default"/>
        </w:rPr>
        <w:t>(6).</w:t>
      </w:r>
      <w:r>
        <w:rPr>
          <w:rFonts w:ascii="宋体" w:hAnsi="宋体" w:cs="宋体" w:eastAsia="宋体" w:hint="default"/>
          <w:spacing w:val="-45"/>
        </w:rPr>
        <w:t> </w:t>
      </w:r>
      <w:r>
        <w:rPr/>
        <w:t>合营企业或联营企业发生的超额亏损</w:t>
      </w:r>
      <w:r>
        <w:rPr>
          <w:b w:val="0"/>
          <w:bCs w:val="0"/>
        </w:rPr>
      </w:r>
    </w:p>
    <w:p>
      <w:pPr>
        <w:pStyle w:val="BodyText"/>
        <w:tabs>
          <w:tab w:pos="1060" w:val="left" w:leader="none"/>
        </w:tabs>
        <w:spacing w:line="240" w:lineRule="auto" w:before="56"/>
        <w:ind w:left="218" w:right="234"/>
        <w:jc w:val="left"/>
      </w:pPr>
      <w:r>
        <w:rPr>
          <w:spacing w:val="-1"/>
        </w:rPr>
        <w:t>□适用</w:t>
        <w:tab/>
      </w:r>
      <w:r>
        <w:rPr>
          <w:spacing w:val="-2"/>
        </w:rPr>
        <w:t>√不适用</w:t>
      </w:r>
    </w:p>
    <w:p>
      <w:pPr>
        <w:spacing w:line="240" w:lineRule="auto" w:before="4"/>
        <w:rPr>
          <w:rFonts w:ascii="宋体" w:hAnsi="宋体" w:cs="宋体" w:eastAsia="宋体" w:hint="default"/>
          <w:sz w:val="28"/>
          <w:szCs w:val="28"/>
        </w:rPr>
      </w:pPr>
    </w:p>
    <w:p>
      <w:pPr>
        <w:pStyle w:val="Heading5"/>
        <w:spacing w:line="240" w:lineRule="auto"/>
        <w:ind w:right="234"/>
        <w:jc w:val="left"/>
        <w:rPr>
          <w:b w:val="0"/>
          <w:bCs w:val="0"/>
        </w:rPr>
      </w:pPr>
      <w:r>
        <w:rPr>
          <w:rFonts w:ascii="宋体" w:hAnsi="宋体" w:cs="宋体" w:eastAsia="宋体" w:hint="default"/>
        </w:rPr>
        <w:t>(7).</w:t>
      </w:r>
      <w:r>
        <w:rPr>
          <w:rFonts w:ascii="宋体" w:hAnsi="宋体" w:cs="宋体" w:eastAsia="宋体" w:hint="default"/>
          <w:spacing w:val="-46"/>
        </w:rPr>
        <w:t> </w:t>
      </w:r>
      <w:r>
        <w:rPr/>
        <w:t>与合营企业投资相关的未确认承诺</w:t>
      </w:r>
      <w:r>
        <w:rPr>
          <w:b w:val="0"/>
          <w:bCs w:val="0"/>
        </w:rPr>
      </w:r>
    </w:p>
    <w:p>
      <w:pPr>
        <w:pStyle w:val="BodyText"/>
        <w:tabs>
          <w:tab w:pos="1060" w:val="left" w:leader="none"/>
        </w:tabs>
        <w:spacing w:line="240" w:lineRule="auto" w:before="56"/>
        <w:ind w:left="218" w:right="234"/>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spacing w:line="240" w:lineRule="auto"/>
        <w:ind w:right="234"/>
        <w:jc w:val="left"/>
        <w:rPr>
          <w:b w:val="0"/>
          <w:bCs w:val="0"/>
        </w:rPr>
      </w:pPr>
      <w:r>
        <w:rPr>
          <w:rFonts w:ascii="宋体" w:hAnsi="宋体" w:cs="宋体" w:eastAsia="宋体" w:hint="default"/>
        </w:rPr>
        <w:t>(8).</w:t>
      </w:r>
      <w:r>
        <w:rPr>
          <w:rFonts w:ascii="宋体" w:hAnsi="宋体" w:cs="宋体" w:eastAsia="宋体" w:hint="default"/>
          <w:spacing w:val="-44"/>
        </w:rPr>
        <w:t> </w:t>
      </w:r>
      <w:r>
        <w:rPr/>
        <w:t>与合营企业或联营企业投资相关的或有负债</w:t>
      </w:r>
      <w:r>
        <w:rPr>
          <w:b w:val="0"/>
          <w:bCs w:val="0"/>
        </w:rPr>
      </w:r>
    </w:p>
    <w:p>
      <w:pPr>
        <w:pStyle w:val="BodyText"/>
        <w:tabs>
          <w:tab w:pos="1060" w:val="left" w:leader="none"/>
        </w:tabs>
        <w:spacing w:line="240" w:lineRule="auto" w:before="58"/>
        <w:ind w:left="218" w:right="234"/>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spacing w:line="240" w:lineRule="auto"/>
        <w:ind w:right="234"/>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6"/>
        <w:ind w:left="218" w:right="234"/>
        <w:jc w:val="left"/>
      </w:pPr>
      <w:r>
        <w:rPr/>
        <w:t>□适用</w:t>
      </w:r>
      <w:r>
        <w:rPr>
          <w:spacing w:val="-1"/>
        </w:rPr>
        <w:t> </w:t>
      </w:r>
      <w:r>
        <w:rPr/>
        <w:t>√不适用</w:t>
      </w:r>
    </w:p>
    <w:p>
      <w:pPr>
        <w:spacing w:line="240" w:lineRule="auto" w:before="2"/>
        <w:rPr>
          <w:rFonts w:ascii="宋体" w:hAnsi="宋体" w:cs="宋体" w:eastAsia="宋体" w:hint="default"/>
          <w:sz w:val="28"/>
          <w:szCs w:val="28"/>
        </w:rPr>
      </w:pPr>
    </w:p>
    <w:p>
      <w:pPr>
        <w:spacing w:line="290" w:lineRule="auto" w:before="0"/>
        <w:ind w:left="218" w:right="39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7" w:lineRule="exact"/>
        <w:ind w:left="218" w:right="23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right="234"/>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1060" w:val="left" w:leader="none"/>
        </w:tabs>
        <w:spacing w:line="240" w:lineRule="auto" w:before="58"/>
        <w:ind w:left="218" w:right="234"/>
        <w:jc w:val="left"/>
      </w:pPr>
      <w:r>
        <w:rPr>
          <w:spacing w:val="-1"/>
        </w:rPr>
        <w:t>□适用</w:t>
        <w:tab/>
      </w:r>
      <w:r>
        <w:rPr>
          <w:spacing w:val="-2"/>
        </w:rPr>
        <w:t>√不适用</w:t>
      </w:r>
    </w:p>
    <w:p>
      <w:pPr>
        <w:spacing w:after="0" w:line="240" w:lineRule="auto"/>
        <w:jc w:val="left"/>
        <w:sectPr>
          <w:type w:val="continuous"/>
          <w:pgSz w:w="11910" w:h="16840"/>
          <w:pgMar w:top="1320" w:bottom="140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5"/>
        <w:spacing w:line="240" w:lineRule="auto" w:before="36"/>
        <w:ind w:right="0"/>
        <w:jc w:val="both"/>
        <w:rPr>
          <w:b w:val="0"/>
          <w:bCs w:val="0"/>
        </w:rPr>
      </w:pPr>
      <w:r>
        <w:rPr/>
        <w:t>十、与金融工具相关的风险</w:t>
      </w:r>
      <w:r>
        <w:rPr>
          <w:b w:val="0"/>
          <w:bCs w:val="0"/>
        </w:rPr>
      </w:r>
    </w:p>
    <w:p>
      <w:pPr>
        <w:pStyle w:val="BodyText"/>
        <w:spacing w:line="272" w:lineRule="exact" w:before="86"/>
        <w:ind w:left="638" w:right="234" w:hanging="420"/>
        <w:jc w:val="left"/>
      </w:pPr>
      <w:r>
        <w:rPr/>
        <w:t>√适用</w:t>
      </w:r>
      <w:r>
        <w:rPr>
          <w:spacing w:val="-2"/>
        </w:rPr>
        <w:t> </w:t>
      </w:r>
      <w:r>
        <w:rPr/>
        <w:t>□不适用</w:t>
      </w:r>
      <w:r>
        <w:rPr>
          <w:w w:val="100"/>
        </w:rPr>
        <w:t> </w:t>
      </w:r>
      <w:r>
        <w:rPr>
          <w:spacing w:val="-2"/>
        </w:rPr>
        <w:t>本集团的主要金融工具包括货币资金、可供出售金融资产、应收款项以及应付款项等，与这</w:t>
      </w:r>
    </w:p>
    <w:p>
      <w:pPr>
        <w:pStyle w:val="BodyText"/>
        <w:spacing w:line="355" w:lineRule="auto" w:before="108"/>
        <w:ind w:left="218" w:right="237"/>
        <w:jc w:val="both"/>
      </w:pPr>
      <w:r>
        <w:rPr>
          <w:spacing w:val="-2"/>
        </w:rPr>
        <w:t>些金融工具有关的风险，以及本集团为降低这些风险所采取的风险管理政策如下所述。本集团管</w:t>
      </w:r>
      <w:r>
        <w:rPr>
          <w:spacing w:val="-25"/>
        </w:rPr>
        <w:t> </w:t>
      </w:r>
      <w:r>
        <w:rPr>
          <w:spacing w:val="-25"/>
        </w:rPr>
      </w:r>
      <w:r>
        <w:rPr/>
        <w:t>理层对这些风险敞口进行管理和监控以确保将这些风险控制在限定的范围之内。</w:t>
      </w:r>
    </w:p>
    <w:p>
      <w:pPr>
        <w:pStyle w:val="BodyText"/>
        <w:spacing w:line="357" w:lineRule="auto" w:before="34"/>
        <w:ind w:left="218" w:right="237" w:firstLine="419"/>
        <w:jc w:val="both"/>
      </w:pPr>
      <w:r>
        <w:rPr>
          <w:spacing w:val="-2"/>
        </w:rPr>
        <w:t>本集团采用敏感性分析技术分析风险变量的合理、可能变化对当期损益或所有者权益可能产</w:t>
      </w:r>
      <w:r>
        <w:rPr>
          <w:w w:val="100"/>
        </w:rPr>
        <w:t> </w:t>
      </w:r>
      <w:r>
        <w:rPr>
          <w:spacing w:val="-2"/>
        </w:rPr>
        <w:t>生的影响。由于任何风险变量很少孤立地发生变化，而变量之间存在的相关性对某一风险变量的</w:t>
      </w:r>
      <w:r>
        <w:rPr>
          <w:spacing w:val="-25"/>
        </w:rPr>
        <w:t> </w:t>
      </w:r>
      <w:r>
        <w:rPr>
          <w:spacing w:val="-25"/>
        </w:rPr>
      </w:r>
      <w:r>
        <w:rPr>
          <w:spacing w:val="-2"/>
        </w:rPr>
        <w:t>变化的最终影响金额将产生重大作用，因此下述内容是在假设每一变量的变化是在独立的情况下</w:t>
      </w:r>
      <w:r>
        <w:rPr>
          <w:spacing w:val="-25"/>
        </w:rPr>
        <w:t> </w:t>
      </w:r>
      <w:r>
        <w:rPr>
          <w:spacing w:val="-25"/>
        </w:rPr>
      </w:r>
      <w:r>
        <w:rPr/>
        <w:t>进行的。</w:t>
      </w:r>
    </w:p>
    <w:p>
      <w:pPr>
        <w:pStyle w:val="BodyText"/>
        <w:spacing w:line="355" w:lineRule="auto" w:before="32"/>
        <w:ind w:left="638" w:right="234"/>
        <w:jc w:val="left"/>
      </w:pPr>
      <w:r>
        <w:rPr>
          <w:rFonts w:ascii="宋体" w:hAnsi="宋体" w:cs="宋体" w:eastAsia="宋体" w:hint="default"/>
        </w:rPr>
        <w:t>(1)</w:t>
      </w:r>
      <w:r>
        <w:rPr/>
        <w:t>风险管理目标和政策</w:t>
      </w:r>
      <w:r>
        <w:rPr>
          <w:w w:val="100"/>
        </w:rPr>
        <w:t> </w:t>
      </w:r>
      <w:r>
        <w:rPr>
          <w:spacing w:val="-2"/>
        </w:rPr>
        <w:t>本集团从事风险管理的目标是在风险和收益之间取得适当的平衡，将风险对本集团经营业绩</w:t>
      </w:r>
    </w:p>
    <w:p>
      <w:pPr>
        <w:pStyle w:val="BodyText"/>
        <w:spacing w:line="355" w:lineRule="auto" w:before="32"/>
        <w:ind w:left="218" w:right="237"/>
        <w:jc w:val="both"/>
      </w:pPr>
      <w:r>
        <w:rPr>
          <w:spacing w:val="-2"/>
        </w:rPr>
        <w:t>的负面影响降低到最低水平，使股东的利益最大化。基于该风险管理目标，本集团风险管理的基</w:t>
      </w:r>
      <w:r>
        <w:rPr>
          <w:spacing w:val="-25"/>
        </w:rPr>
        <w:t> </w:t>
      </w:r>
      <w:r>
        <w:rPr>
          <w:spacing w:val="-25"/>
        </w:rPr>
      </w:r>
      <w:r>
        <w:rPr>
          <w:spacing w:val="-2"/>
        </w:rPr>
        <w:t>本策略是确定和分析所面临的各种风险，建立适当的风险承受底线和进行风险管理，并及时可靠</w:t>
      </w:r>
      <w:r>
        <w:rPr>
          <w:spacing w:val="-25"/>
        </w:rPr>
        <w:t> </w:t>
      </w:r>
      <w:r>
        <w:rPr>
          <w:spacing w:val="-25"/>
        </w:rPr>
      </w:r>
      <w:r>
        <w:rPr/>
        <w:t>地对各种风险进行监督，将风险控制在限定的范围之内。</w:t>
      </w:r>
    </w:p>
    <w:p>
      <w:pPr>
        <w:pStyle w:val="BodyText"/>
        <w:spacing w:line="240" w:lineRule="auto" w:before="34"/>
        <w:ind w:left="638" w:right="234"/>
        <w:jc w:val="left"/>
      </w:pPr>
      <w:r>
        <w:rPr>
          <w:rFonts w:ascii="宋体" w:hAnsi="宋体" w:cs="宋体" w:eastAsia="宋体" w:hint="default"/>
          <w:w w:val="100"/>
        </w:rPr>
      </w:r>
      <w:r>
        <w:rPr>
          <w:rFonts w:ascii="宋体" w:hAnsi="宋体" w:cs="宋体" w:eastAsia="宋体" w:hint="default"/>
          <w:u w:val="single" w:color="000000"/>
        </w:rPr>
        <w:t>1.1</w:t>
      </w:r>
      <w:r>
        <w:rPr>
          <w:rFonts w:ascii="宋体" w:hAnsi="宋体" w:cs="宋体" w:eastAsia="宋体" w:hint="default"/>
          <w:spacing w:val="-53"/>
          <w:u w:val="single" w:color="000000"/>
        </w:rPr>
        <w:t> </w:t>
      </w:r>
      <w:r>
        <w:rPr>
          <w:u w:val="single" w:color="000000"/>
        </w:rPr>
        <w:t>市场风险</w:t>
      </w:r>
      <w:r>
        <w:rPr/>
      </w:r>
    </w:p>
    <w:p>
      <w:pPr>
        <w:pStyle w:val="Heading4"/>
        <w:spacing w:line="240" w:lineRule="auto" w:before="121"/>
        <w:ind w:left="638" w:right="234"/>
        <w:jc w:val="left"/>
        <w:rPr>
          <w:i w:val="0"/>
        </w:rPr>
      </w:pPr>
      <w:r>
        <w:rPr>
          <w:rFonts w:ascii="宋体" w:hAnsi="宋体" w:cs="宋体" w:eastAsia="宋体" w:hint="default"/>
          <w:w w:val="96"/>
        </w:rPr>
      </w:r>
      <w:r>
        <w:rPr>
          <w:rFonts w:ascii="宋体" w:hAnsi="宋体" w:cs="宋体" w:eastAsia="宋体" w:hint="default"/>
          <w:w w:val="95"/>
          <w:u w:val="single" w:color="000000"/>
        </w:rPr>
        <w:t>1.1.1</w:t>
      </w:r>
      <w:r>
        <w:rPr>
          <w:rFonts w:ascii="宋体" w:hAnsi="宋体" w:cs="宋体" w:eastAsia="宋体" w:hint="default"/>
          <w:spacing w:val="-44"/>
          <w:w w:val="95"/>
          <w:u w:val="single" w:color="000000"/>
        </w:rPr>
        <w:t> </w:t>
      </w:r>
      <w:r>
        <w:rPr>
          <w:w w:val="95"/>
          <w:u w:val="single" w:color="000000"/>
        </w:rPr>
        <w:t>外汇风险</w:t>
      </w:r>
      <w:r>
        <w:rPr>
          <w:w w:val="95"/>
        </w:rPr>
      </w:r>
      <w:r>
        <w:rPr>
          <w:i w:val="0"/>
        </w:rPr>
      </w:r>
    </w:p>
    <w:p>
      <w:pPr>
        <w:pStyle w:val="BodyText"/>
        <w:spacing w:line="355" w:lineRule="auto" w:before="132"/>
        <w:ind w:left="218" w:right="237" w:firstLine="419"/>
        <w:jc w:val="both"/>
      </w:pPr>
      <w:r>
        <w:rPr>
          <w:spacing w:val="-2"/>
        </w:rPr>
        <w:t>外汇风险指因汇率变动产生损失的风险。本集团承受外汇风险主要与美元有关，除本集团的</w:t>
      </w:r>
      <w:r>
        <w:rPr>
          <w:w w:val="100"/>
        </w:rPr>
        <w:t> </w:t>
      </w:r>
      <w:r>
        <w:rPr>
          <w:spacing w:val="-2"/>
        </w:rPr>
        <w:t>几个下属子公司以外币进行采购和销售外，本集团的其他主要业务活动以人民币计价结算。该等</w:t>
      </w:r>
      <w:r>
        <w:rPr>
          <w:spacing w:val="-25"/>
        </w:rPr>
        <w:t> </w:t>
      </w:r>
      <w:r>
        <w:rPr>
          <w:spacing w:val="-25"/>
        </w:rPr>
      </w:r>
      <w:r>
        <w:rPr/>
        <w:t>外币余额的资产和负债产生的外汇风险可能对本集团的经营业绩产生影响。</w:t>
      </w:r>
    </w:p>
    <w:p>
      <w:pPr>
        <w:pStyle w:val="BodyText"/>
        <w:spacing w:line="240" w:lineRule="auto" w:before="34"/>
        <w:ind w:left="0" w:right="230"/>
        <w:jc w:val="right"/>
      </w:pPr>
      <w:r>
        <w:rPr/>
        <w:t>单位</w:t>
      </w:r>
      <w:r>
        <w:rPr>
          <w:rFonts w:ascii="宋体" w:hAnsi="宋体" w:cs="宋体" w:eastAsia="宋体" w:hint="default"/>
        </w:rPr>
        <w:t>:</w:t>
      </w:r>
      <w:r>
        <w:rPr/>
        <w:t>千元</w:t>
      </w:r>
      <w:r>
        <w:rPr>
          <w:spacing w:val="2"/>
        </w:rPr>
        <w:t> </w:t>
      </w:r>
      <w:r>
        <w:rPr/>
        <w:t>币种</w:t>
      </w:r>
      <w:r>
        <w:rPr>
          <w:rFonts w:ascii="宋体" w:hAnsi="宋体" w:cs="宋体" w:eastAsia="宋体" w:hint="default"/>
        </w:rPr>
        <w:t>:</w:t>
      </w:r>
      <w:r>
        <w:rPr/>
        <w:t>人民币</w:t>
      </w:r>
    </w:p>
    <w:p>
      <w:pPr>
        <w:spacing w:line="240" w:lineRule="auto" w:before="10"/>
        <w:rPr>
          <w:rFonts w:ascii="宋体" w:hAnsi="宋体" w:cs="宋体" w:eastAsia="宋体" w:hint="default"/>
          <w:sz w:val="12"/>
          <w:szCs w:val="12"/>
        </w:rPr>
      </w:pPr>
    </w:p>
    <w:tbl>
      <w:tblPr>
        <w:tblW w:w="0" w:type="auto"/>
        <w:jc w:val="left"/>
        <w:tblInd w:w="213" w:type="dxa"/>
        <w:tblLayout w:type="fixed"/>
        <w:tblCellMar>
          <w:top w:w="0" w:type="dxa"/>
          <w:left w:w="0" w:type="dxa"/>
          <w:bottom w:w="0" w:type="dxa"/>
          <w:right w:w="0" w:type="dxa"/>
        </w:tblCellMar>
        <w:tblLook w:val="01E0"/>
      </w:tblPr>
      <w:tblGrid>
        <w:gridCol w:w="2269"/>
        <w:gridCol w:w="3010"/>
        <w:gridCol w:w="3663"/>
      </w:tblGrid>
      <w:tr>
        <w:trPr>
          <w:trHeight w:val="28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401,905</w:t>
            </w:r>
          </w:p>
        </w:tc>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395,623</w:t>
            </w:r>
          </w:p>
        </w:tc>
      </w:tr>
      <w:tr>
        <w:trPr>
          <w:trHeight w:val="28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91,919</w:t>
            </w:r>
          </w:p>
        </w:tc>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106,664</w:t>
            </w:r>
          </w:p>
        </w:tc>
      </w:tr>
      <w:tr>
        <w:trPr>
          <w:trHeight w:val="28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45,592</w:t>
            </w:r>
          </w:p>
        </w:tc>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92,563</w:t>
            </w:r>
          </w:p>
        </w:tc>
      </w:tr>
    </w:tbl>
    <w:p>
      <w:pPr>
        <w:spacing w:line="240" w:lineRule="auto" w:before="5"/>
        <w:rPr>
          <w:rFonts w:ascii="宋体" w:hAnsi="宋体" w:cs="宋体" w:eastAsia="宋体" w:hint="default"/>
          <w:sz w:val="15"/>
          <w:szCs w:val="15"/>
        </w:rPr>
      </w:pPr>
    </w:p>
    <w:p>
      <w:pPr>
        <w:pStyle w:val="BodyText"/>
        <w:spacing w:line="355" w:lineRule="auto" w:before="36"/>
        <w:ind w:left="218" w:right="234" w:firstLine="419"/>
        <w:jc w:val="left"/>
      </w:pPr>
      <w:r>
        <w:rPr>
          <w:spacing w:val="-2"/>
        </w:rPr>
        <w:t>本集团密切关注汇率变动对本集团外汇风险的影响。本集团目前并未采取任何措施规避外汇</w:t>
      </w:r>
      <w:r>
        <w:rPr>
          <w:w w:val="100"/>
        </w:rPr>
        <w:t> </w:t>
      </w:r>
      <w:r>
        <w:rPr/>
        <w:t>风险。但管理层负责监控外汇风险，并将于需要时考虑对冲重大外汇风险。</w:t>
      </w:r>
    </w:p>
    <w:p>
      <w:pPr>
        <w:pStyle w:val="Heading4"/>
        <w:spacing w:line="240" w:lineRule="auto" w:before="23"/>
        <w:ind w:left="638" w:right="234"/>
        <w:jc w:val="left"/>
        <w:rPr>
          <w:i w:val="0"/>
        </w:rPr>
      </w:pPr>
      <w:r>
        <w:rPr>
          <w:rFonts w:ascii="Times New Roman" w:hAnsi="Times New Roman" w:cs="Times New Roman" w:eastAsia="Times New Roman" w:hint="default"/>
          <w:i/>
          <w:w w:val="96"/>
        </w:rPr>
      </w:r>
      <w:r>
        <w:rPr>
          <w:rFonts w:ascii="Times New Roman" w:hAnsi="Times New Roman" w:cs="Times New Roman" w:eastAsia="Times New Roman" w:hint="default"/>
          <w:i/>
          <w:spacing w:val="-53"/>
          <w:w w:val="96"/>
          <w:u w:val="single" w:color="000000"/>
        </w:rPr>
        <w:t> </w:t>
      </w:r>
      <w:r>
        <w:rPr>
          <w:u w:val="single" w:color="000000"/>
        </w:rPr>
        <w:t>外汇风险敏感性分析</w:t>
      </w:r>
      <w:r>
        <w:rPr/>
      </w:r>
      <w:r>
        <w:rPr>
          <w:i w:val="0"/>
        </w:rPr>
      </w:r>
    </w:p>
    <w:p>
      <w:pPr>
        <w:pStyle w:val="BodyText"/>
        <w:spacing w:line="355" w:lineRule="auto" w:before="131"/>
        <w:ind w:left="218" w:right="234" w:firstLine="419"/>
        <w:jc w:val="left"/>
      </w:pPr>
      <w:r>
        <w:rPr>
          <w:spacing w:val="-2"/>
        </w:rPr>
        <w:t>在其他变量不变的情况下，汇率可能发生的合理变动对当期损益和所有者权益的税前影响如</w:t>
      </w:r>
      <w:r>
        <w:rPr>
          <w:w w:val="100"/>
        </w:rPr>
        <w:t> </w:t>
      </w:r>
      <w:r>
        <w:rPr/>
        <w:t>下：</w:t>
      </w:r>
    </w:p>
    <w:p>
      <w:pPr>
        <w:pStyle w:val="BodyText"/>
        <w:spacing w:line="240" w:lineRule="auto" w:before="32"/>
        <w:ind w:left="0" w:right="237"/>
        <w:jc w:val="right"/>
      </w:pPr>
      <w:r>
        <w:rPr/>
        <w:t>单位</w:t>
      </w:r>
      <w:r>
        <w:rPr>
          <w:rFonts w:ascii="宋体" w:hAnsi="宋体" w:cs="宋体" w:eastAsia="宋体" w:hint="default"/>
        </w:rPr>
        <w:t>:</w:t>
      </w:r>
      <w:r>
        <w:rPr/>
        <w:t>千元</w:t>
      </w:r>
      <w:r>
        <w:rPr>
          <w:spacing w:val="2"/>
        </w:rPr>
        <w:t> </w:t>
      </w:r>
      <w:r>
        <w:rPr/>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43"/>
        <w:gridCol w:w="1700"/>
        <w:gridCol w:w="1277"/>
        <w:gridCol w:w="1702"/>
        <w:gridCol w:w="1419"/>
        <w:gridCol w:w="1558"/>
      </w:tblGrid>
      <w:tr>
        <w:trPr>
          <w:trHeight w:val="554" w:hRule="exact"/>
        </w:trPr>
        <w:tc>
          <w:tcPr>
            <w:tcW w:w="12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汇率变动</w:t>
            </w:r>
          </w:p>
        </w:tc>
        <w:tc>
          <w:tcPr>
            <w:tcW w:w="2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止期间</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止期间</w:t>
            </w:r>
          </w:p>
        </w:tc>
      </w:tr>
      <w:tr>
        <w:trPr>
          <w:trHeight w:val="555" w:hRule="exact"/>
        </w:trPr>
        <w:tc>
          <w:tcPr>
            <w:tcW w:w="1243"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对利润总额</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的影响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对所有者</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权益的影响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对利润总额</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的影响</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对所有者</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权益的影响</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所有币种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人民币贬值</w:t>
            </w:r>
            <w:r>
              <w:rPr>
                <w:rFonts w:ascii="宋体" w:hAnsi="宋体" w:cs="宋体" w:eastAsia="宋体" w:hint="default"/>
                <w:spacing w:val="-51"/>
                <w:sz w:val="21"/>
                <w:szCs w:val="21"/>
              </w:rPr>
              <w:t> </w:t>
            </w:r>
            <w:r>
              <w:rPr>
                <w:rFonts w:ascii="宋体" w:hAnsi="宋体" w:cs="宋体" w:eastAsia="宋体" w:hint="default"/>
                <w:sz w:val="21"/>
                <w:szCs w:val="21"/>
              </w:rPr>
              <w:t>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22,411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20,486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20,486</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所有币种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人民币升值</w:t>
            </w:r>
            <w:r>
              <w:rPr>
                <w:rFonts w:ascii="宋体" w:hAnsi="宋体" w:cs="宋体" w:eastAsia="宋体" w:hint="default"/>
                <w:spacing w:val="-51"/>
                <w:sz w:val="21"/>
                <w:szCs w:val="21"/>
              </w:rPr>
              <w:t> </w:t>
            </w:r>
            <w:r>
              <w:rPr>
                <w:rFonts w:ascii="宋体" w:hAnsi="宋体" w:cs="宋体" w:eastAsia="宋体" w:hint="default"/>
                <w:sz w:val="21"/>
                <w:szCs w:val="21"/>
              </w:rPr>
              <w:t>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(20,486)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(20,486)</w:t>
            </w:r>
          </w:p>
        </w:tc>
      </w:tr>
    </w:tbl>
    <w:p>
      <w:pPr>
        <w:spacing w:after="0" w:line="241" w:lineRule="exact"/>
        <w:jc w:val="right"/>
        <w:rPr>
          <w:rFonts w:ascii="宋体" w:hAnsi="宋体" w:cs="宋体" w:eastAsia="宋体" w:hint="default"/>
          <w:sz w:val="21"/>
          <w:szCs w:val="21"/>
        </w:rPr>
        <w:sectPr>
          <w:pgSz w:w="11910" w:h="16840"/>
          <w:pgMar w:header="857" w:footer="1217" w:top="1320" w:bottom="1400" w:left="1580" w:right="1040"/>
        </w:sectPr>
      </w:pPr>
    </w:p>
    <w:p>
      <w:pPr>
        <w:spacing w:line="240" w:lineRule="auto" w:before="4"/>
        <w:rPr>
          <w:rFonts w:ascii="宋体" w:hAnsi="宋体" w:cs="宋体" w:eastAsia="宋体" w:hint="default"/>
          <w:sz w:val="29"/>
          <w:szCs w:val="29"/>
        </w:rPr>
      </w:pPr>
    </w:p>
    <w:p>
      <w:pPr>
        <w:pStyle w:val="Heading4"/>
        <w:spacing w:line="240" w:lineRule="auto" w:before="34"/>
        <w:ind w:left="558" w:right="0"/>
        <w:jc w:val="left"/>
        <w:rPr>
          <w:i w:val="0"/>
        </w:rPr>
      </w:pPr>
      <w:r>
        <w:rPr>
          <w:rFonts w:ascii="宋体" w:hAnsi="宋体" w:cs="宋体" w:eastAsia="宋体" w:hint="default"/>
          <w:w w:val="95"/>
        </w:rPr>
        <w:t>1.1.2</w:t>
      </w:r>
      <w:r>
        <w:rPr>
          <w:rFonts w:ascii="宋体" w:hAnsi="宋体" w:cs="宋体" w:eastAsia="宋体" w:hint="default"/>
          <w:spacing w:val="-44"/>
          <w:w w:val="95"/>
        </w:rPr>
        <w:t> </w:t>
      </w:r>
      <w:r>
        <w:rPr>
          <w:w w:val="95"/>
        </w:rPr>
        <w:t>利率风险</w:t>
      </w:r>
      <w:r>
        <w:rPr>
          <w:i w:val="0"/>
        </w:rPr>
      </w:r>
    </w:p>
    <w:p>
      <w:pPr>
        <w:spacing w:line="20" w:lineRule="exact"/>
        <w:ind w:left="552" w:right="0" w:firstLine="0"/>
        <w:rPr>
          <w:rFonts w:ascii="宋体" w:hAnsi="宋体" w:cs="宋体" w:eastAsia="宋体" w:hint="default"/>
          <w:sz w:val="2"/>
          <w:szCs w:val="2"/>
        </w:rPr>
      </w:pPr>
      <w:r>
        <w:rPr>
          <w:rFonts w:ascii="宋体" w:hAnsi="宋体" w:cs="宋体" w:eastAsia="宋体" w:hint="default"/>
          <w:sz w:val="2"/>
          <w:szCs w:val="2"/>
        </w:rPr>
        <w:pict>
          <v:group style="width:71.55pt;height:.6pt;mso-position-horizontal-relative:char;mso-position-vertical-relative:line" coordorigin="0,0" coordsize="1431,12">
            <v:group style="position:absolute;left:6;top:6;width:1419;height:2" coordorigin="6,6" coordsize="1419,2">
              <v:shape style="position:absolute;left:6;top:6;width:1419;height:2" coordorigin="6,6" coordsize="1419,0" path="m6,6l1424,6e" filled="false" stroked="true" strokeweight=".6pt" strokecolor="#000000">
                <v:path arrowok="t"/>
              </v:shape>
            </v:group>
          </v:group>
        </w:pict>
      </w:r>
      <w:r>
        <w:rPr>
          <w:rFonts w:ascii="宋体" w:hAnsi="宋体" w:cs="宋体" w:eastAsia="宋体" w:hint="default"/>
          <w:sz w:val="2"/>
          <w:szCs w:val="2"/>
        </w:rPr>
      </w:r>
    </w:p>
    <w:p>
      <w:pPr>
        <w:pStyle w:val="BodyText"/>
        <w:spacing w:line="357" w:lineRule="auto" w:before="114"/>
        <w:ind w:right="108" w:firstLine="419"/>
        <w:jc w:val="both"/>
      </w:pPr>
      <w:r>
        <w:rPr/>
        <w:t>本集团的利率风险</w:t>
      </w:r>
      <w:r>
        <w:rPr>
          <w:rFonts w:ascii="宋体" w:hAnsi="宋体" w:cs="宋体" w:eastAsia="宋体" w:hint="default"/>
        </w:rPr>
        <w:t>-</w:t>
      </w:r>
      <w:r>
        <w:rPr/>
        <w:t>现金流量变动风险主要涉及按现行市场利率计息的银行存款及受限制现</w:t>
      </w:r>
      <w:r>
        <w:rPr>
          <w:w w:val="100"/>
        </w:rPr>
        <w:t> </w:t>
      </w:r>
      <w:r>
        <w:rPr>
          <w:spacing w:val="-4"/>
        </w:rPr>
        <w:t>金</w:t>
      </w:r>
      <w:r>
        <w:rPr>
          <w:rFonts w:ascii="宋体" w:hAnsi="宋体" w:cs="宋体" w:eastAsia="宋体" w:hint="default"/>
          <w:spacing w:val="-4"/>
        </w:rPr>
        <w:t>(</w:t>
      </w:r>
      <w:r>
        <w:rPr>
          <w:spacing w:val="-4"/>
        </w:rPr>
        <w:t>详见附注七、</w:t>
      </w:r>
      <w:r>
        <w:rPr>
          <w:rFonts w:ascii="宋体" w:hAnsi="宋体" w:cs="宋体" w:eastAsia="宋体" w:hint="default"/>
          <w:spacing w:val="-4"/>
        </w:rPr>
        <w:t>1)</w:t>
      </w:r>
      <w:r>
        <w:rPr>
          <w:spacing w:val="-4"/>
        </w:rPr>
        <w:t>，利率风险对以市场利率计息的银行存款的影响并不重大，因此，未列报利率</w:t>
      </w:r>
      <w:r>
        <w:rPr>
          <w:spacing w:val="-31"/>
        </w:rPr>
        <w:t> </w:t>
      </w:r>
      <w:r>
        <w:rPr>
          <w:spacing w:val="-31"/>
        </w:rPr>
      </w:r>
      <w:r>
        <w:rPr/>
        <w:t>敏感性分析相关信息。</w:t>
      </w:r>
    </w:p>
    <w:p>
      <w:pPr>
        <w:pStyle w:val="Heading4"/>
        <w:spacing w:line="240" w:lineRule="auto"/>
        <w:ind w:left="558" w:right="0"/>
        <w:jc w:val="left"/>
        <w:rPr>
          <w:i w:val="0"/>
        </w:rPr>
      </w:pPr>
      <w:r>
        <w:rPr>
          <w:rFonts w:ascii="宋体" w:hAnsi="宋体" w:cs="宋体" w:eastAsia="宋体" w:hint="default"/>
          <w:w w:val="96"/>
        </w:rPr>
      </w:r>
      <w:r>
        <w:rPr>
          <w:rFonts w:ascii="宋体" w:hAnsi="宋体" w:cs="宋体" w:eastAsia="宋体" w:hint="default"/>
          <w:w w:val="95"/>
          <w:u w:val="single" w:color="000000"/>
        </w:rPr>
        <w:t>1.1.3</w:t>
      </w:r>
      <w:r>
        <w:rPr>
          <w:rFonts w:ascii="宋体" w:hAnsi="宋体" w:cs="宋体" w:eastAsia="宋体" w:hint="default"/>
          <w:spacing w:val="-42"/>
          <w:w w:val="95"/>
          <w:u w:val="single" w:color="000000"/>
        </w:rPr>
        <w:t> </w:t>
      </w:r>
      <w:r>
        <w:rPr>
          <w:w w:val="95"/>
          <w:u w:val="single" w:color="000000"/>
        </w:rPr>
        <w:t>其他价格风险</w:t>
      </w:r>
      <w:r>
        <w:rPr>
          <w:w w:val="95"/>
        </w:rPr>
      </w:r>
      <w:r>
        <w:rPr>
          <w:i w:val="0"/>
        </w:rPr>
      </w:r>
    </w:p>
    <w:p>
      <w:pPr>
        <w:pStyle w:val="BodyText"/>
        <w:spacing w:line="355" w:lineRule="auto" w:before="131"/>
        <w:ind w:right="117" w:firstLine="419"/>
        <w:jc w:val="both"/>
      </w:pPr>
      <w:r>
        <w:rPr>
          <w:spacing w:val="-2"/>
        </w:rPr>
        <w:t>本集团持有的分类为可供出售金融资产的股票和基金投资在资产负债表日以公允价值计量。</w:t>
      </w:r>
      <w:r>
        <w:rPr>
          <w:w w:val="100"/>
        </w:rPr>
        <w:t> </w:t>
      </w:r>
      <w:r>
        <w:rPr/>
        <w:t>因此，本集团承担着证券市场价格变动的风险。</w:t>
      </w:r>
    </w:p>
    <w:p>
      <w:pPr>
        <w:pStyle w:val="BodyText"/>
        <w:spacing w:line="355" w:lineRule="auto" w:before="20"/>
        <w:ind w:left="558" w:right="0"/>
        <w:jc w:val="left"/>
      </w:pPr>
      <w:r>
        <w:rPr>
          <w:rFonts w:ascii="Times New Roman" w:hAnsi="Times New Roman" w:cs="Times New Roman" w:eastAsia="Times New Roman" w:hint="default"/>
          <w:i/>
          <w:w w:val="96"/>
          <w:sz w:val="22"/>
          <w:szCs w:val="22"/>
        </w:rPr>
      </w:r>
      <w:r>
        <w:rPr>
          <w:rFonts w:ascii="Times New Roman" w:hAnsi="Times New Roman" w:cs="Times New Roman" w:eastAsia="Times New Roman" w:hint="default"/>
          <w:i/>
          <w:spacing w:val="-53"/>
          <w:w w:val="96"/>
          <w:sz w:val="22"/>
          <w:szCs w:val="22"/>
          <w:u w:val="single" w:color="000000"/>
        </w:rPr>
        <w:t> </w:t>
      </w:r>
      <w:r>
        <w:rPr>
          <w:rFonts w:ascii="宋体" w:hAnsi="宋体" w:cs="宋体" w:eastAsia="宋体" w:hint="default"/>
          <w:i/>
          <w:sz w:val="22"/>
          <w:szCs w:val="22"/>
          <w:u w:val="single" w:color="000000"/>
        </w:rPr>
        <w:t>其他价格风险敏感性分析</w:t>
      </w:r>
      <w:r>
        <w:rPr>
          <w:rFonts w:ascii="宋体" w:hAnsi="宋体" w:cs="宋体" w:eastAsia="宋体" w:hint="default"/>
          <w:i/>
          <w:w w:val="96"/>
          <w:sz w:val="22"/>
          <w:szCs w:val="22"/>
        </w:rPr>
      </w:r>
      <w:r>
        <w:rPr>
          <w:rFonts w:ascii="宋体" w:hAnsi="宋体" w:cs="宋体" w:eastAsia="宋体" w:hint="default"/>
          <w:i/>
          <w:w w:val="96"/>
          <w:sz w:val="22"/>
          <w:szCs w:val="22"/>
        </w:rPr>
        <w:t> </w:t>
      </w:r>
      <w:r>
        <w:rPr/>
        <w:t>本集团因持有以公允价值计量的可供出售金融资产而面临价格风险。</w:t>
      </w:r>
      <w:r>
        <w:rPr>
          <w:w w:val="100"/>
        </w:rPr>
        <w:t> </w:t>
      </w:r>
      <w:r>
        <w:rPr>
          <w:spacing w:val="-2"/>
        </w:rPr>
        <w:t>在其他变量不变的情况下，价格于各个报告期可能发生的合理变动对其他综合收益和所有者</w:t>
      </w:r>
    </w:p>
    <w:p>
      <w:pPr>
        <w:pStyle w:val="BodyText"/>
        <w:spacing w:line="240" w:lineRule="auto" w:before="32"/>
        <w:ind w:left="0" w:right="6705"/>
        <w:jc w:val="center"/>
      </w:pPr>
      <w:r>
        <w:rPr/>
        <w:t>权益的税前影响如下：</w:t>
      </w:r>
    </w:p>
    <w:p>
      <w:pPr>
        <w:pStyle w:val="BodyText"/>
        <w:spacing w:line="240" w:lineRule="auto" w:before="133"/>
        <w:ind w:left="0" w:right="117"/>
        <w:jc w:val="right"/>
      </w:pPr>
      <w:r>
        <w:rPr/>
        <w:t>单位</w:t>
      </w:r>
      <w:r>
        <w:rPr>
          <w:rFonts w:ascii="宋体" w:hAnsi="宋体" w:cs="宋体" w:eastAsia="宋体" w:hint="default"/>
        </w:rPr>
        <w:t>:</w:t>
      </w:r>
      <w:r>
        <w:rPr/>
        <w:t>千元</w:t>
      </w:r>
      <w:r>
        <w:rPr>
          <w:spacing w:val="2"/>
        </w:rPr>
        <w:t> </w:t>
      </w:r>
      <w:r>
        <w:rPr/>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269"/>
        <w:gridCol w:w="1843"/>
        <w:gridCol w:w="2410"/>
        <w:gridCol w:w="2269"/>
      </w:tblGrid>
      <w:tr>
        <w:trPr>
          <w:trHeight w:val="281" w:hRule="exact"/>
        </w:trPr>
        <w:tc>
          <w:tcPr>
            <w:tcW w:w="226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价格变动</w:t>
            </w:r>
          </w:p>
        </w:tc>
        <w:tc>
          <w:tcPr>
            <w:tcW w:w="46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sz w:val="21"/>
                <w:szCs w:val="21"/>
              </w:rPr>
              <w:t>对其他综合收益和所有者权益的影响</w:t>
            </w:r>
          </w:p>
        </w:tc>
      </w:tr>
      <w:tr>
        <w:trPr>
          <w:trHeight w:val="554" w:hRule="exact"/>
        </w:trPr>
        <w:tc>
          <w:tcPr>
            <w:tcW w:w="2269" w:type="dxa"/>
            <w:vMerge/>
            <w:tcBorders>
              <w:left w:val="single" w:sz="4" w:space="0" w:color="000000"/>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日至</w:t>
            </w:r>
            <w:r>
              <w:rPr>
                <w:rFonts w:ascii="宋体" w:hAnsi="宋体" w:cs="宋体" w:eastAsia="宋体" w:hint="default"/>
                <w:spacing w:val="-61"/>
                <w:sz w:val="21"/>
                <w:szCs w:val="21"/>
              </w:rPr>
              <w:t> </w:t>
            </w:r>
            <w:r>
              <w:rPr>
                <w:rFonts w:ascii="宋体" w:hAnsi="宋体" w:cs="宋体" w:eastAsia="宋体" w:hint="default"/>
                <w:sz w:val="21"/>
                <w:szCs w:val="21"/>
              </w:rPr>
              <w:t>12</w:t>
            </w:r>
            <w:r>
              <w:rPr>
                <w:rFonts w:ascii="宋体" w:hAnsi="宋体" w:cs="宋体" w:eastAsia="宋体" w:hint="default"/>
                <w:spacing w:val="-64"/>
                <w:sz w:val="21"/>
                <w:szCs w:val="21"/>
              </w:rPr>
              <w:t> </w:t>
            </w:r>
            <w:r>
              <w:rPr>
                <w:rFonts w:ascii="宋体" w:hAnsi="宋体" w:cs="宋体" w:eastAsia="宋体" w:hint="default"/>
                <w:sz w:val="21"/>
                <w:szCs w:val="21"/>
              </w:rPr>
              <w:t>月</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日止期间</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pacing w:val="-3"/>
                <w:sz w:val="21"/>
                <w:szCs w:val="21"/>
              </w:rPr>
              <w:t>12</w:t>
            </w:r>
            <w:r>
              <w:rPr>
                <w:rFonts w:ascii="宋体" w:hAnsi="宋体" w:cs="宋体" w:eastAsia="宋体" w:hint="default"/>
                <w:sz w:val="21"/>
                <w:szCs w:val="21"/>
              </w:rPr>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日止期间</w:t>
            </w:r>
          </w:p>
        </w:tc>
      </w:tr>
      <w:tr>
        <w:trPr>
          <w:trHeight w:val="28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hAnsi="宋体" w:cs="宋体" w:eastAsia="宋体" w:hint="default"/>
                <w:sz w:val="21"/>
                <w:szCs w:val="21"/>
              </w:rPr>
              <w:t>价格上升</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130,999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18,455</w:t>
            </w:r>
          </w:p>
        </w:tc>
      </w:tr>
      <w:tr>
        <w:trPr>
          <w:trHeight w:val="28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价格下降</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(130,999)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(18,455)</w:t>
            </w:r>
          </w:p>
        </w:tc>
      </w:tr>
    </w:tbl>
    <w:p>
      <w:pPr>
        <w:pStyle w:val="BodyText"/>
        <w:spacing w:line="241" w:lineRule="exact"/>
        <w:ind w:left="558" w:right="0"/>
        <w:jc w:val="left"/>
      </w:pPr>
      <w:r>
        <w:rPr>
          <w:rFonts w:ascii="宋体" w:hAnsi="宋体" w:cs="宋体" w:eastAsia="宋体" w:hint="default"/>
          <w:w w:val="100"/>
        </w:rPr>
      </w:r>
      <w:r>
        <w:rPr>
          <w:rFonts w:ascii="宋体" w:hAnsi="宋体" w:cs="宋体" w:eastAsia="宋体" w:hint="default"/>
          <w:u w:val="single" w:color="000000"/>
        </w:rPr>
        <w:t>1.2</w:t>
      </w:r>
      <w:r>
        <w:rPr>
          <w:rFonts w:ascii="宋体" w:hAnsi="宋体" w:cs="宋体" w:eastAsia="宋体" w:hint="default"/>
          <w:spacing w:val="-53"/>
          <w:u w:val="single" w:color="000000"/>
        </w:rPr>
        <w:t> </w:t>
      </w:r>
      <w:r>
        <w:rPr>
          <w:u w:val="single" w:color="000000"/>
        </w:rPr>
        <w:t>信用风险</w:t>
      </w:r>
      <w:r>
        <w:rPr/>
      </w:r>
    </w:p>
    <w:p>
      <w:pPr>
        <w:pStyle w:val="BodyText"/>
        <w:spacing w:line="355" w:lineRule="auto" w:before="133"/>
        <w:ind w:right="117" w:firstLine="419"/>
        <w:jc w:val="both"/>
      </w:pPr>
      <w:r>
        <w:rPr>
          <w:spacing w:val="-2"/>
        </w:rPr>
        <w:t>于各资产负债表日，可能引起本集团财务损失的最大信用风险敞口主要来自于合同另一方未</w:t>
      </w:r>
      <w:r>
        <w:rPr>
          <w:w w:val="100"/>
        </w:rPr>
        <w:t> </w:t>
      </w:r>
      <w:r>
        <w:rPr/>
        <w:t>能履行义务而导致本集团金融资产产生的损失。</w:t>
      </w:r>
    </w:p>
    <w:p>
      <w:pPr>
        <w:pStyle w:val="BodyText"/>
        <w:spacing w:line="355" w:lineRule="auto" w:before="34"/>
        <w:ind w:right="117" w:firstLine="419"/>
        <w:jc w:val="both"/>
      </w:pPr>
      <w:r>
        <w:rPr>
          <w:spacing w:val="-2"/>
        </w:rPr>
        <w:t>为降低信用风险，本集团的销售部门负责确定信用额度、进行信用审批，并执行其他监控程</w:t>
      </w:r>
      <w:r>
        <w:rPr>
          <w:w w:val="100"/>
        </w:rPr>
        <w:t> </w:t>
      </w:r>
      <w:r>
        <w:rPr>
          <w:spacing w:val="-2"/>
        </w:rPr>
        <w:t>序以确保采取必要的措施回收过期债权。此外，本集团于每个资产负债表日审核每一单项应收款</w:t>
      </w:r>
      <w:r>
        <w:rPr>
          <w:spacing w:val="-25"/>
        </w:rPr>
        <w:t> </w:t>
      </w:r>
      <w:r>
        <w:rPr>
          <w:spacing w:val="-25"/>
        </w:rPr>
      </w:r>
      <w:r>
        <w:rPr>
          <w:spacing w:val="-2"/>
        </w:rPr>
        <w:t>项的回收情况，以确保就无法回收的款项计提充分的坏账准备。因此，本集团管理层认为本集团</w:t>
      </w:r>
      <w:r>
        <w:rPr>
          <w:spacing w:val="-25"/>
        </w:rPr>
        <w:t> </w:t>
      </w:r>
      <w:r>
        <w:rPr>
          <w:spacing w:val="-25"/>
        </w:rPr>
      </w:r>
      <w:r>
        <w:rPr/>
        <w:t>所承担的信用风险已经大为降低。</w:t>
      </w:r>
    </w:p>
    <w:p>
      <w:pPr>
        <w:pStyle w:val="BodyText"/>
        <w:spacing w:line="360" w:lineRule="auto" w:before="32"/>
        <w:ind w:right="170" w:firstLine="419"/>
        <w:jc w:val="both"/>
      </w:pPr>
      <w:r>
        <w:rPr>
          <w:spacing w:val="-2"/>
        </w:rPr>
        <w:t>本集团采用了必要的政策确保所有销售客户均具有良好的信用记录。除附注七、</w:t>
      </w:r>
      <w:r>
        <w:rPr>
          <w:rFonts w:ascii="宋体" w:hAnsi="宋体" w:cs="宋体" w:eastAsia="宋体" w:hint="default"/>
          <w:spacing w:val="-2"/>
        </w:rPr>
        <w:t>4</w:t>
      </w:r>
      <w:r>
        <w:rPr>
          <w:rFonts w:ascii="宋体" w:hAnsi="宋体" w:cs="宋体" w:eastAsia="宋体" w:hint="default"/>
        </w:rPr>
        <w:t> </w:t>
      </w:r>
      <w:r>
        <w:rPr>
          <w:spacing w:val="-1"/>
        </w:rPr>
        <w:t>应收票据</w:t>
      </w:r>
      <w:r>
        <w:rPr>
          <w:w w:val="100"/>
        </w:rPr>
        <w:t> </w:t>
      </w:r>
      <w:r>
        <w:rPr>
          <w:spacing w:val="-2"/>
        </w:rPr>
        <w:t>及应收账款和附注七、</w:t>
      </w:r>
      <w:r>
        <w:rPr>
          <w:rFonts w:ascii="宋体" w:hAnsi="宋体" w:cs="宋体" w:eastAsia="宋体" w:hint="default"/>
          <w:spacing w:val="-2"/>
        </w:rPr>
        <w:t>6</w:t>
      </w:r>
      <w:r>
        <w:rPr>
          <w:rFonts w:ascii="宋体" w:hAnsi="宋体" w:cs="宋体" w:eastAsia="宋体" w:hint="default"/>
          <w:spacing w:val="16"/>
        </w:rPr>
        <w:t> </w:t>
      </w:r>
      <w:r>
        <w:rPr>
          <w:spacing w:val="-2"/>
        </w:rPr>
        <w:t>其他应收款前五名外，本集团无其他重大信用集中风险。</w:t>
      </w:r>
    </w:p>
    <w:p>
      <w:pPr>
        <w:pStyle w:val="BodyText"/>
        <w:spacing w:line="355" w:lineRule="auto" w:before="28"/>
        <w:ind w:left="558" w:right="0"/>
        <w:jc w:val="left"/>
      </w:pPr>
      <w:r>
        <w:rPr>
          <w:spacing w:val="-2"/>
        </w:rPr>
        <w:t>本集团的流动资金存放在信用评级较高的银行，故流动资金的信用风险较低。</w:t>
      </w:r>
      <w:r>
        <w:rPr>
          <w:spacing w:val="-42"/>
        </w:rPr>
        <w:t> </w:t>
      </w:r>
      <w:r>
        <w:rPr>
          <w:spacing w:val="-42"/>
        </w:rPr>
      </w:r>
      <w:r>
        <w:rPr/>
        <w:t>本集团尚未逾期和尚未发生减值的金融资产的信用质量良好。</w:t>
      </w:r>
    </w:p>
    <w:p>
      <w:pPr>
        <w:pStyle w:val="BodyText"/>
        <w:spacing w:line="240" w:lineRule="auto" w:before="32"/>
        <w:ind w:left="558" w:right="0"/>
        <w:jc w:val="left"/>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日，本集团没有已逾期但未减值的重大金融资产。</w:t>
      </w:r>
    </w:p>
    <w:p>
      <w:pPr>
        <w:pStyle w:val="BodyText"/>
        <w:spacing w:line="355" w:lineRule="auto" w:before="135"/>
        <w:ind w:left="558" w:right="0"/>
        <w:jc w:val="left"/>
      </w:pPr>
      <w:r>
        <w:rPr>
          <w:rFonts w:ascii="宋体" w:hAnsi="宋体" w:cs="宋体" w:eastAsia="宋体" w:hint="default"/>
          <w:w w:val="100"/>
        </w:rPr>
      </w:r>
      <w:r>
        <w:rPr>
          <w:rFonts w:ascii="宋体" w:hAnsi="宋体" w:cs="宋体" w:eastAsia="宋体" w:hint="default"/>
          <w:u w:val="single" w:color="000000"/>
        </w:rPr>
        <w:t>1.3</w:t>
      </w:r>
      <w:r>
        <w:rPr>
          <w:rFonts w:ascii="宋体" w:hAnsi="宋体" w:cs="宋体" w:eastAsia="宋体" w:hint="default"/>
          <w:spacing w:val="-53"/>
          <w:u w:val="single" w:color="000000"/>
        </w:rPr>
        <w:t> </w:t>
      </w:r>
      <w:r>
        <w:rPr>
          <w:u w:val="single" w:color="000000"/>
        </w:rPr>
        <w:t>流动风险</w:t>
      </w:r>
      <w:r>
        <w:rPr>
          <w:w w:val="100"/>
        </w:rPr>
      </w:r>
      <w:r>
        <w:rPr>
          <w:w w:val="100"/>
        </w:rPr>
        <w:t> </w:t>
      </w:r>
      <w:r>
        <w:rPr>
          <w:spacing w:val="-2"/>
        </w:rPr>
        <w:t>管理流动风险时，本集团保持管理层认为充分的现金及现金等价物并对其进行监控，以满足</w:t>
      </w:r>
    </w:p>
    <w:p>
      <w:pPr>
        <w:pStyle w:val="BodyText"/>
        <w:spacing w:line="355" w:lineRule="auto" w:before="32"/>
        <w:ind w:right="0"/>
        <w:jc w:val="left"/>
      </w:pPr>
      <w:r>
        <w:rPr>
          <w:spacing w:val="-2"/>
        </w:rPr>
        <w:t>本集团经营需要，并降低现金流量波动的影响。本集团管理层对银行借款的使用情况进行监控并</w:t>
      </w:r>
      <w:r>
        <w:rPr>
          <w:spacing w:val="-25"/>
        </w:rPr>
        <w:t> </w:t>
      </w:r>
      <w:r>
        <w:rPr>
          <w:spacing w:val="-25"/>
        </w:rPr>
      </w:r>
      <w:r>
        <w:rPr/>
        <w:t>确保遵守借款协议。</w:t>
      </w:r>
    </w:p>
    <w:p>
      <w:pPr>
        <w:spacing w:after="0" w:line="355" w:lineRule="auto"/>
        <w:jc w:val="left"/>
        <w:sectPr>
          <w:pgSz w:w="11910" w:h="16840"/>
          <w:pgMar w:header="857" w:footer="1217" w:top="1320" w:bottom="1400" w:left="1660" w:right="1160"/>
        </w:sectPr>
      </w:pPr>
    </w:p>
    <w:p>
      <w:pPr>
        <w:spacing w:line="240" w:lineRule="auto" w:before="2"/>
        <w:rPr>
          <w:rFonts w:ascii="宋体" w:hAnsi="宋体" w:cs="宋体" w:eastAsia="宋体" w:hint="default"/>
          <w:sz w:val="9"/>
          <w:szCs w:val="9"/>
        </w:rPr>
      </w:pPr>
    </w:p>
    <w:p>
      <w:pPr>
        <w:pStyle w:val="BodyText"/>
        <w:spacing w:line="357" w:lineRule="auto" w:before="36"/>
        <w:ind w:right="217" w:firstLine="419"/>
        <w:jc w:val="both"/>
      </w:pPr>
      <w:r>
        <w:rPr>
          <w:spacing w:val="-2"/>
        </w:rPr>
        <w:t>本集团的目标是以经营活动产生的现金流入主要资金来源，在追求资金回报与灵活性之间维</w:t>
      </w:r>
      <w:r>
        <w:rPr>
          <w:w w:val="100"/>
        </w:rPr>
        <w:t> </w:t>
      </w:r>
      <w:r>
        <w:rPr>
          <w:spacing w:val="-2"/>
        </w:rPr>
        <w:t>持平衡。本集团通过维持充足现金集中管理融资活动，以为本集团的营运筹备资金。本集团亦确</w:t>
      </w:r>
      <w:r>
        <w:rPr>
          <w:spacing w:val="-25"/>
        </w:rPr>
        <w:t> </w:t>
      </w:r>
      <w:r>
        <w:rPr>
          <w:spacing w:val="-25"/>
        </w:rPr>
      </w:r>
      <w:r>
        <w:rPr/>
        <w:t>保可取得银行信贷融资，以应付任何短期资金需要。</w:t>
      </w:r>
    </w:p>
    <w:p>
      <w:pPr>
        <w:pStyle w:val="BodyText"/>
        <w:spacing w:line="240" w:lineRule="auto" w:before="30"/>
        <w:ind w:left="558" w:right="0"/>
        <w:jc w:val="left"/>
      </w:pPr>
      <w:r>
        <w:rPr/>
        <w:t>于</w:t>
      </w:r>
      <w:r>
        <w:rPr>
          <w:spacing w:val="-52"/>
        </w:rPr>
        <w:t> </w:t>
      </w:r>
      <w:r>
        <w:rPr>
          <w:rFonts w:ascii="宋体" w:hAnsi="宋体" w:cs="宋体" w:eastAsia="宋体" w:hint="default"/>
        </w:rPr>
        <w:t>2018</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4"/>
        </w:rPr>
        <w:t> </w:t>
      </w:r>
      <w:r>
        <w:rPr/>
        <w:t>日，本集团持有的金融负债按未折现剩余合同义务的到期期限分析如下：</w:t>
      </w:r>
    </w:p>
    <w:p>
      <w:pPr>
        <w:pStyle w:val="BodyText"/>
        <w:spacing w:line="240" w:lineRule="auto" w:before="133"/>
        <w:ind w:left="0" w:right="210"/>
        <w:jc w:val="right"/>
      </w:pPr>
      <w:r>
        <w:rPr/>
        <w:t>单位</w:t>
      </w:r>
      <w:r>
        <w:rPr>
          <w:rFonts w:ascii="宋体" w:hAnsi="宋体" w:cs="宋体" w:eastAsia="宋体" w:hint="default"/>
        </w:rPr>
        <w:t>:</w:t>
      </w:r>
      <w:r>
        <w:rPr/>
        <w:t>千元</w:t>
      </w:r>
      <w:r>
        <w:rPr>
          <w:spacing w:val="2"/>
        </w:rPr>
        <w:t> </w:t>
      </w:r>
      <w:r>
        <w:rPr/>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810"/>
        <w:gridCol w:w="1508"/>
        <w:gridCol w:w="1354"/>
        <w:gridCol w:w="1202"/>
        <w:gridCol w:w="1202"/>
        <w:gridCol w:w="1702"/>
      </w:tblGrid>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2,350,152</w:t>
            </w:r>
          </w:p>
        </w:tc>
        <w:tc>
          <w:tcPr>
            <w:tcW w:w="135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2,350,152</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1,026,940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1,026,940</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0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10,975</w:t>
            </w:r>
          </w:p>
        </w:tc>
        <w:tc>
          <w:tcPr>
            <w:tcW w:w="12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10,975</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3,377,092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10,975</w:t>
            </w:r>
          </w:p>
        </w:tc>
        <w:tc>
          <w:tcPr>
            <w:tcW w:w="12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3,388,067</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7" w:footer="1217" w:top="1320" w:bottom="1400" w:left="1660" w:right="1060"/>
        </w:sectPr>
      </w:pPr>
    </w:p>
    <w:p>
      <w:pPr>
        <w:pStyle w:val="Heading5"/>
        <w:tabs>
          <w:tab w:pos="977" w:val="left" w:leader="none"/>
        </w:tabs>
        <w:spacing w:line="240" w:lineRule="auto" w:before="36"/>
        <w:ind w:left="138" w:right="-18"/>
        <w:jc w:val="left"/>
        <w:rPr>
          <w:b w:val="0"/>
          <w:bCs w:val="0"/>
        </w:rPr>
      </w:pPr>
      <w:r>
        <w:rPr/>
        <w:t>十一、</w:t>
        <w:tab/>
        <w:t>公允价值的披露</w:t>
      </w:r>
      <w:r>
        <w:rPr>
          <w:b w:val="0"/>
          <w:bCs w:val="0"/>
        </w:rPr>
      </w:r>
    </w:p>
    <w:p>
      <w:pPr>
        <w:pStyle w:val="Heading5"/>
        <w:spacing w:line="240" w:lineRule="auto" w:before="56"/>
        <w:ind w:left="138"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tabs>
          <w:tab w:pos="980" w:val="left" w:leader="none"/>
        </w:tabs>
        <w:spacing w:line="240" w:lineRule="auto" w:before="58"/>
        <w:ind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95" w:val="left" w:leader="none"/>
        </w:tabs>
        <w:spacing w:line="240" w:lineRule="auto"/>
        <w:ind w:right="0"/>
        <w:jc w:val="left"/>
      </w:pPr>
      <w:r>
        <w:rPr>
          <w:spacing w:val="-1"/>
        </w:rPr>
        <w:t>单位</w:t>
      </w:r>
      <w:r>
        <w:rPr>
          <w:rFonts w:ascii="宋体" w:hAnsi="宋体" w:cs="宋体" w:eastAsia="宋体" w:hint="default"/>
          <w:spacing w:val="-1"/>
        </w:rPr>
        <w:t>:</w:t>
      </w:r>
      <w:r>
        <w:rPr>
          <w:spacing w:val="-1"/>
        </w:rPr>
        <w:t>千元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320" w:bottom="1400" w:left="1660" w:right="1060"/>
          <w:cols w:num="2" w:equalWidth="0">
            <w:col w:w="4783" w:space="1739"/>
            <w:col w:w="2668"/>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281"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2381" w:type="dxa"/>
            <w:vMerge/>
            <w:tcBorders>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（一）以公允价值计量且</w:t>
            </w:r>
          </w:p>
          <w:p>
            <w:pPr>
              <w:pStyle w:val="TableParagraph"/>
              <w:spacing w:line="272" w:lineRule="exact" w:before="27"/>
              <w:ind w:left="23" w:right="31"/>
              <w:jc w:val="left"/>
              <w:rPr>
                <w:rFonts w:ascii="宋体" w:hAnsi="宋体" w:cs="宋体" w:eastAsia="宋体" w:hint="default"/>
                <w:sz w:val="21"/>
                <w:szCs w:val="21"/>
              </w:rPr>
            </w:pPr>
            <w:r>
              <w:rPr>
                <w:rFonts w:ascii="宋体" w:hAnsi="宋体" w:cs="宋体" w:eastAsia="宋体" w:hint="default"/>
                <w:spacing w:val="-2"/>
                <w:sz w:val="21"/>
                <w:szCs w:val="21"/>
              </w:rPr>
              <w:t>变动计入当期损益的金融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交易性金融资产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指定以公允价值计量</w:t>
            </w:r>
          </w:p>
          <w:p>
            <w:pPr>
              <w:pStyle w:val="TableParagraph"/>
              <w:spacing w:line="272" w:lineRule="exact" w:before="27"/>
              <w:ind w:left="23" w:right="31"/>
              <w:jc w:val="left"/>
              <w:rPr>
                <w:rFonts w:ascii="宋体" w:hAnsi="宋体" w:cs="宋体" w:eastAsia="宋体" w:hint="default"/>
                <w:sz w:val="21"/>
                <w:szCs w:val="21"/>
              </w:rPr>
            </w:pPr>
            <w:r>
              <w:rPr>
                <w:rFonts w:ascii="宋体" w:hAnsi="宋体" w:cs="宋体" w:eastAsia="宋体" w:hint="default"/>
                <w:spacing w:val="-2"/>
                <w:sz w:val="21"/>
                <w:szCs w:val="21"/>
              </w:rPr>
              <w:t>且其变动计入当期损益的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2,531,566</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230,674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88,420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2,850,660</w:t>
            </w: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2,531,566</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88,420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2,619,986</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230,674</w:t>
            </w: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230,674</w:t>
            </w: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的土地使用权</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2,531,566</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230,674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88,420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2,850,660</w:t>
            </w:r>
          </w:p>
        </w:tc>
      </w:tr>
      <w:tr>
        <w:trPr>
          <w:trHeight w:val="30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20" w:bottom="1400" w:left="1660" w:right="1060"/>
        </w:sectPr>
      </w:pPr>
    </w:p>
    <w:p>
      <w:pPr>
        <w:spacing w:line="240" w:lineRule="auto" w:before="6"/>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284"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2381" w:type="dxa"/>
            <w:vMerge/>
            <w:tcBorders>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（六）指定为以公允价值</w:t>
            </w:r>
          </w:p>
          <w:p>
            <w:pPr>
              <w:pStyle w:val="TableParagraph"/>
              <w:spacing w:line="240" w:lineRule="auto"/>
              <w:ind w:left="23" w:right="31"/>
              <w:jc w:val="left"/>
              <w:rPr>
                <w:rFonts w:ascii="宋体" w:hAnsi="宋体" w:cs="宋体" w:eastAsia="宋体" w:hint="default"/>
                <w:sz w:val="21"/>
                <w:szCs w:val="21"/>
              </w:rPr>
            </w:pPr>
            <w:r>
              <w:rPr>
                <w:rFonts w:ascii="宋体" w:hAnsi="宋体" w:cs="宋体" w:eastAsia="宋体" w:hint="default"/>
                <w:spacing w:val="-2"/>
                <w:sz w:val="21"/>
                <w:szCs w:val="21"/>
              </w:rPr>
              <w:t>计量且变动计入当期损益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3"/>
          <w:szCs w:val="23"/>
        </w:rPr>
      </w:pPr>
    </w:p>
    <w:p>
      <w:pPr>
        <w:pStyle w:val="Heading5"/>
        <w:spacing w:line="240" w:lineRule="auto" w:before="36"/>
        <w:ind w:left="138" w:right="0"/>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980" w:val="left" w:leader="none"/>
        </w:tabs>
        <w:spacing w:line="272" w:lineRule="exact" w:before="86"/>
        <w:ind w:right="4420"/>
        <w:jc w:val="left"/>
      </w:pPr>
      <w:r>
        <w:rPr>
          <w:spacing w:val="-1"/>
        </w:rPr>
        <w:t>√适用</w:t>
        <w:tab/>
      </w:r>
      <w:r>
        <w:rPr>
          <w:spacing w:val="-2"/>
        </w:rPr>
        <w:t>□不适用</w:t>
      </w:r>
      <w:r>
        <w:rPr>
          <w:spacing w:val="-99"/>
        </w:rPr>
        <w:t> </w:t>
      </w:r>
      <w:r>
        <w:rPr>
          <w:spacing w:val="-99"/>
        </w:rPr>
      </w:r>
      <w:r>
        <w:rPr>
          <w:spacing w:val="-2"/>
        </w:rPr>
        <w:t>同类资产或负债在活跃市场上</w:t>
      </w:r>
      <w:r>
        <w:rPr>
          <w:rFonts w:ascii="宋体" w:hAnsi="宋体" w:cs="宋体" w:eastAsia="宋体" w:hint="default"/>
          <w:spacing w:val="-2"/>
        </w:rPr>
        <w:t>(</w:t>
      </w:r>
      <w:r>
        <w:rPr>
          <w:spacing w:val="-2"/>
        </w:rPr>
        <w:t>未经调整</w:t>
      </w:r>
      <w:r>
        <w:rPr>
          <w:rFonts w:ascii="宋体" w:hAnsi="宋体" w:cs="宋体" w:eastAsia="宋体" w:hint="default"/>
          <w:spacing w:val="-2"/>
        </w:rPr>
        <w:t>)</w:t>
      </w:r>
      <w:r>
        <w:rPr>
          <w:spacing w:val="-2"/>
        </w:rPr>
        <w:t>的报价。</w:t>
      </w:r>
    </w:p>
    <w:p>
      <w:pPr>
        <w:spacing w:line="240" w:lineRule="auto" w:before="5"/>
        <w:rPr>
          <w:rFonts w:ascii="宋体" w:hAnsi="宋体" w:cs="宋体" w:eastAsia="宋体" w:hint="default"/>
          <w:sz w:val="23"/>
          <w:szCs w:val="23"/>
        </w:rPr>
      </w:pPr>
    </w:p>
    <w:p>
      <w:pPr>
        <w:pStyle w:val="Heading5"/>
        <w:spacing w:line="240" w:lineRule="auto"/>
        <w:ind w:left="138"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980" w:val="left" w:leader="none"/>
        </w:tabs>
        <w:spacing w:line="272" w:lineRule="exact" w:before="86"/>
        <w:ind w:right="4211"/>
        <w:jc w:val="left"/>
      </w:pPr>
      <w:r>
        <w:rPr>
          <w:spacing w:val="-1"/>
        </w:rPr>
        <w:t>√适用</w:t>
        <w:tab/>
      </w:r>
      <w:r>
        <w:rPr>
          <w:spacing w:val="-2"/>
        </w:rPr>
        <w:t>□不适用</w:t>
      </w:r>
      <w:r>
        <w:rPr>
          <w:spacing w:val="-99"/>
        </w:rPr>
        <w:t> </w:t>
      </w:r>
      <w:r>
        <w:rPr>
          <w:spacing w:val="-99"/>
        </w:rPr>
      </w:r>
      <w:r>
        <w:rPr>
          <w:spacing w:val="-2"/>
        </w:rPr>
        <w:t>本集团持有的按第二层次公允价值计量的项目如下：</w:t>
      </w:r>
    </w:p>
    <w:p>
      <w:pPr>
        <w:pStyle w:val="BodyText"/>
        <w:spacing w:line="246" w:lineRule="exact"/>
        <w:ind w:left="0" w:right="210"/>
        <w:jc w:val="right"/>
      </w:pPr>
      <w:r>
        <w:rPr/>
        <w:t>单位：千元</w:t>
      </w:r>
      <w:r>
        <w:rPr>
          <w:spacing w:val="-1"/>
        </w:rPr>
        <w:t> </w:t>
      </w:r>
      <w:r>
        <w:rPr/>
        <w:t>币种：人民币</w:t>
      </w:r>
    </w:p>
    <w:p>
      <w:pPr>
        <w:spacing w:line="240" w:lineRule="auto" w:before="13"/>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1985"/>
        <w:gridCol w:w="1136"/>
        <w:gridCol w:w="1274"/>
        <w:gridCol w:w="4537"/>
      </w:tblGrid>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期末的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公允价值</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估值技术</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输入值</w:t>
            </w:r>
          </w:p>
        </w:tc>
      </w:tr>
      <w:tr>
        <w:trPr>
          <w:trHeight w:val="60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理财产品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86" w:right="0"/>
              <w:jc w:val="left"/>
              <w:rPr>
                <w:rFonts w:ascii="宋体" w:hAnsi="宋体" w:cs="宋体" w:eastAsia="宋体" w:hint="default"/>
                <w:sz w:val="21"/>
                <w:szCs w:val="21"/>
              </w:rPr>
            </w:pPr>
            <w:r>
              <w:rPr>
                <w:rFonts w:ascii="宋体"/>
                <w:sz w:val="21"/>
              </w:rPr>
              <w:t>230,674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420" w:right="103" w:hanging="315"/>
              <w:jc w:val="left"/>
              <w:rPr>
                <w:rFonts w:ascii="宋体" w:hAnsi="宋体" w:cs="宋体" w:eastAsia="宋体" w:hint="default"/>
                <w:sz w:val="21"/>
                <w:szCs w:val="21"/>
              </w:rPr>
            </w:pPr>
            <w:r>
              <w:rPr>
                <w:rFonts w:ascii="宋体" w:hAnsi="宋体" w:cs="宋体" w:eastAsia="宋体" w:hint="default"/>
                <w:sz w:val="21"/>
                <w:szCs w:val="21"/>
              </w:rPr>
              <w:t>现金流量折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现法</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103" w:right="96"/>
              <w:jc w:val="left"/>
              <w:rPr>
                <w:rFonts w:ascii="宋体" w:hAnsi="宋体" w:cs="宋体" w:eastAsia="宋体" w:hint="default"/>
                <w:sz w:val="21"/>
                <w:szCs w:val="21"/>
              </w:rPr>
            </w:pPr>
            <w:r>
              <w:rPr>
                <w:rFonts w:ascii="宋体" w:hAnsi="宋体" w:cs="宋体" w:eastAsia="宋体" w:hint="default"/>
                <w:spacing w:val="-6"/>
                <w:w w:val="100"/>
                <w:sz w:val="21"/>
                <w:szCs w:val="21"/>
              </w:rPr>
              <w:t>未来现金流基于理财产品的合同条款估算，并按</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能体现市场同类产品信用风险的折现率折现。</w:t>
            </w:r>
          </w:p>
        </w:tc>
      </w:tr>
    </w:tbl>
    <w:p>
      <w:pPr>
        <w:spacing w:line="240" w:lineRule="auto" w:before="1"/>
        <w:rPr>
          <w:rFonts w:ascii="宋体" w:hAnsi="宋体" w:cs="宋体" w:eastAsia="宋体" w:hint="default"/>
          <w:sz w:val="23"/>
          <w:szCs w:val="23"/>
        </w:rPr>
      </w:pPr>
    </w:p>
    <w:p>
      <w:pPr>
        <w:pStyle w:val="Heading5"/>
        <w:spacing w:line="240" w:lineRule="auto" w:before="36"/>
        <w:ind w:left="138"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980" w:val="left" w:leader="none"/>
        </w:tabs>
        <w:spacing w:line="240" w:lineRule="auto" w:before="57"/>
        <w:ind w:left="558" w:right="220" w:hanging="420"/>
        <w:jc w:val="left"/>
      </w:pPr>
      <w:r>
        <w:rPr>
          <w:spacing w:val="-1"/>
        </w:rPr>
        <w:t>√适用</w:t>
        <w:tab/>
      </w:r>
      <w:r>
        <w:rPr>
          <w:spacing w:val="-2"/>
        </w:rPr>
        <w:t>□不适用</w:t>
      </w:r>
      <w:r>
        <w:rPr>
          <w:spacing w:val="-99"/>
        </w:rPr>
        <w:t> </w:t>
      </w:r>
      <w:r>
        <w:rPr>
          <w:spacing w:val="-99"/>
        </w:rPr>
      </w:r>
      <w:r>
        <w:rPr>
          <w:spacing w:val="-2"/>
        </w:rPr>
        <w:t>对于已在新三板上市但不存在活跃市场的权益性投资，本集团以可观察到的市场数据以外的</w:t>
      </w:r>
    </w:p>
    <w:p>
      <w:pPr>
        <w:pStyle w:val="BodyText"/>
        <w:spacing w:line="240" w:lineRule="auto" w:before="133"/>
        <w:ind w:right="0"/>
        <w:jc w:val="left"/>
      </w:pPr>
      <w:r>
        <w:rPr/>
        <w:t>变量为基础作为第三层级公允价值确认依据。</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5"/>
        <w:spacing w:line="240" w:lineRule="auto"/>
        <w:ind w:left="562" w:right="19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2"/>
        <w:rPr>
          <w:rFonts w:ascii="宋体" w:hAnsi="宋体" w:cs="宋体" w:eastAsia="宋体" w:hint="default"/>
          <w:sz w:val="28"/>
          <w:szCs w:val="28"/>
        </w:rPr>
      </w:pPr>
    </w:p>
    <w:p>
      <w:pPr>
        <w:pStyle w:val="Heading5"/>
        <w:spacing w:line="240" w:lineRule="auto"/>
        <w:ind w:left="562" w:right="19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after="0" w:line="240" w:lineRule="auto"/>
        <w:jc w:val="left"/>
        <w:sectPr>
          <w:pgSz w:w="11910" w:h="16840"/>
          <w:pgMar w:header="857" w:footer="1217" w:top="1320" w:bottom="140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5"/>
        <w:spacing w:line="240" w:lineRule="auto" w:before="36"/>
        <w:ind w:right="234"/>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1060" w:val="left" w:leader="none"/>
        </w:tabs>
        <w:spacing w:line="240" w:lineRule="auto" w:before="58"/>
        <w:ind w:left="218" w:right="234"/>
        <w:jc w:val="left"/>
      </w:pPr>
      <w:r>
        <w:rPr>
          <w:spacing w:val="-1"/>
        </w:rPr>
        <w:t>□适用</w:t>
        <w:tab/>
      </w:r>
      <w:r>
        <w:rPr>
          <w:spacing w:val="-2"/>
        </w:rPr>
        <w:t>√不适用</w:t>
      </w:r>
    </w:p>
    <w:p>
      <w:pPr>
        <w:spacing w:line="240" w:lineRule="auto" w:before="2"/>
        <w:rPr>
          <w:rFonts w:ascii="宋体" w:hAnsi="宋体" w:cs="宋体" w:eastAsia="宋体" w:hint="default"/>
          <w:sz w:val="28"/>
          <w:szCs w:val="28"/>
        </w:rPr>
      </w:pPr>
    </w:p>
    <w:p>
      <w:pPr>
        <w:pStyle w:val="Heading5"/>
        <w:spacing w:line="240" w:lineRule="auto"/>
        <w:ind w:right="234"/>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tabs>
          <w:tab w:pos="1060" w:val="left" w:leader="none"/>
        </w:tabs>
        <w:spacing w:line="240" w:lineRule="auto" w:before="56"/>
        <w:ind w:left="698" w:right="234" w:hanging="480"/>
        <w:jc w:val="left"/>
      </w:pPr>
      <w:r>
        <w:rPr>
          <w:spacing w:val="-1"/>
        </w:rPr>
        <w:t>√适用</w:t>
        <w:tab/>
      </w:r>
      <w:r>
        <w:rPr>
          <w:spacing w:val="-2"/>
        </w:rPr>
        <w:t>□不适用</w:t>
      </w:r>
      <w:r>
        <w:rPr>
          <w:spacing w:val="-99"/>
        </w:rPr>
        <w:t> </w:t>
      </w:r>
      <w:r>
        <w:rPr>
          <w:spacing w:val="-99"/>
        </w:rPr>
      </w:r>
      <w:r>
        <w:rPr>
          <w:spacing w:val="-3"/>
        </w:rPr>
        <w:t>本公司管理层认为，财务报表中按摊余成本计量的金融资产和金融负债的账面价值接近该等</w:t>
      </w:r>
    </w:p>
    <w:p>
      <w:pPr>
        <w:pStyle w:val="BodyText"/>
        <w:spacing w:line="240" w:lineRule="auto" w:before="133"/>
        <w:ind w:left="218" w:right="234"/>
        <w:jc w:val="left"/>
      </w:pPr>
      <w:r>
        <w:rPr/>
        <w:t>金融资产和金融负债的公允价值。</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90"/>
          <w:pgSz w:w="11910" w:h="16840"/>
          <w:pgMar w:footer="1217" w:header="857" w:top="1320" w:bottom="1400" w:left="1580" w:right="1040"/>
        </w:sectPr>
      </w:pPr>
    </w:p>
    <w:p>
      <w:pPr>
        <w:spacing w:line="240" w:lineRule="auto" w:before="9"/>
        <w:rPr>
          <w:rFonts w:ascii="宋体" w:hAnsi="宋体" w:cs="宋体" w:eastAsia="宋体" w:hint="default"/>
          <w:sz w:val="15"/>
          <w:szCs w:val="15"/>
        </w:rPr>
      </w:pPr>
    </w:p>
    <w:p>
      <w:pPr>
        <w:pStyle w:val="Heading5"/>
        <w:spacing w:line="240" w:lineRule="auto"/>
        <w:ind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tabs>
          <w:tab w:pos="1060" w:val="left" w:leader="none"/>
        </w:tabs>
        <w:spacing w:line="240" w:lineRule="auto" w:before="57"/>
        <w:ind w:left="218" w:right="0"/>
        <w:jc w:val="left"/>
      </w:pPr>
      <w:r>
        <w:rPr>
          <w:spacing w:val="-1"/>
        </w:rPr>
        <w:t>□适用</w:t>
        <w:tab/>
      </w:r>
      <w:r>
        <w:rPr>
          <w:spacing w:val="-2"/>
        </w:rPr>
        <w:t>√不适用</w:t>
      </w:r>
    </w:p>
    <w:p>
      <w:pPr>
        <w:pStyle w:val="Heading5"/>
        <w:tabs>
          <w:tab w:pos="1057" w:val="left" w:leader="none"/>
        </w:tabs>
        <w:spacing w:line="290" w:lineRule="auto" w:before="58"/>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1060" w:val="left" w:leader="none"/>
        </w:tabs>
        <w:spacing w:line="240" w:lineRule="auto" w:before="14"/>
        <w:ind w:left="21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tabs>
          <w:tab w:pos="1480" w:val="left" w:leader="none"/>
        </w:tabs>
        <w:spacing w:line="240" w:lineRule="auto"/>
        <w:ind w:left="218"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580" w:right="1040"/>
          <w:cols w:num="2" w:equalWidth="0">
            <w:col w:w="2748" w:space="3562"/>
            <w:col w:w="29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8"/>
        <w:gridCol w:w="1135"/>
        <w:gridCol w:w="1416"/>
        <w:gridCol w:w="994"/>
        <w:gridCol w:w="1558"/>
        <w:gridCol w:w="1428"/>
      </w:tblGrid>
      <w:tr>
        <w:trPr>
          <w:trHeight w:val="85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27"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5"/>
              <w:ind w:left="386" w:right="173" w:hanging="212"/>
              <w:jc w:val="left"/>
              <w:rPr>
                <w:rFonts w:ascii="宋体" w:hAnsi="宋体" w:cs="宋体" w:eastAsia="宋体" w:hint="default"/>
                <w:sz w:val="21"/>
                <w:szCs w:val="21"/>
              </w:rPr>
            </w:pPr>
            <w:r>
              <w:rPr>
                <w:rFonts w:ascii="宋体" w:hAnsi="宋体" w:cs="宋体" w:eastAsia="宋体" w:hint="default"/>
                <w:sz w:val="21"/>
                <w:szCs w:val="21"/>
              </w:rPr>
              <w:t>注册资</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143" w:right="140"/>
              <w:jc w:val="center"/>
              <w:rPr>
                <w:rFonts w:ascii="宋体" w:hAnsi="宋体" w:cs="宋体" w:eastAsia="宋体"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p>
          <w:p>
            <w:pPr>
              <w:pStyle w:val="TableParagraph"/>
              <w:spacing w:line="249" w:lineRule="exact"/>
              <w:ind w:left="1" w:right="0"/>
              <w:jc w:val="center"/>
              <w:rPr>
                <w:rFonts w:ascii="宋体" w:hAnsi="宋体" w:cs="宋体" w:eastAsia="宋体" w:hint="default"/>
                <w:sz w:val="21"/>
                <w:szCs w:val="21"/>
              </w:rPr>
            </w:pPr>
            <w:r>
              <w:rPr>
                <w:rFonts w:ascii="宋体"/>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182" w:right="180"/>
              <w:jc w:val="left"/>
              <w:rPr>
                <w:rFonts w:ascii="宋体" w:hAnsi="宋体" w:cs="宋体" w:eastAsia="宋体" w:hint="default"/>
                <w:sz w:val="21"/>
                <w:szCs w:val="21"/>
              </w:rPr>
            </w:pPr>
            <w:r>
              <w:rPr>
                <w:rFonts w:ascii="宋体" w:hAnsi="宋体" w:cs="宋体" w:eastAsia="宋体" w:hint="default"/>
                <w:sz w:val="21"/>
                <w:szCs w:val="21"/>
              </w:rPr>
              <w:t>母公司对本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企业的表决</w:t>
            </w:r>
          </w:p>
          <w:p>
            <w:pPr>
              <w:pStyle w:val="TableParagraph"/>
              <w:spacing w:line="249" w:lineRule="exact"/>
              <w:ind w:left="235" w:right="0"/>
              <w:jc w:val="left"/>
              <w:rPr>
                <w:rFonts w:ascii="宋体" w:hAnsi="宋体" w:cs="宋体" w:eastAsia="宋体" w:hint="default"/>
                <w:sz w:val="21"/>
                <w:szCs w:val="21"/>
              </w:rPr>
            </w:pPr>
            <w:r>
              <w:rPr>
                <w:rFonts w:ascii="宋体" w:hAnsi="宋体" w:cs="宋体" w:eastAsia="宋体" w:hint="default"/>
                <w:sz w:val="21"/>
                <w:szCs w:val="21"/>
              </w:rPr>
              <w:t>权比例</w:t>
            </w:r>
            <w:r>
              <w:rPr>
                <w:rFonts w:ascii="宋体" w:hAnsi="宋体" w:cs="宋体" w:eastAsia="宋体" w:hint="default"/>
                <w:sz w:val="21"/>
                <w:szCs w:val="21"/>
              </w:rPr>
              <w:t>(%)</w:t>
            </w:r>
          </w:p>
        </w:tc>
      </w:tr>
      <w:tr>
        <w:trPr>
          <w:trHeight w:val="557"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天津奇信志成科技有限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天津市</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科技推广和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应用服务业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0"/>
              <w:jc w:val="left"/>
              <w:rPr>
                <w:rFonts w:ascii="宋体" w:hAnsi="宋体" w:cs="宋体" w:eastAsia="宋体" w:hint="default"/>
                <w:sz w:val="21"/>
                <w:szCs w:val="21"/>
              </w:rPr>
            </w:pPr>
            <w:r>
              <w:rPr>
                <w:rFonts w:ascii="宋体"/>
                <w:sz w:val="21"/>
              </w:rPr>
              <w:t>57,533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19" w:right="0"/>
              <w:jc w:val="left"/>
              <w:rPr>
                <w:rFonts w:ascii="宋体" w:hAnsi="宋体" w:cs="宋体" w:eastAsia="宋体" w:hint="default"/>
                <w:sz w:val="21"/>
                <w:szCs w:val="21"/>
              </w:rPr>
            </w:pPr>
            <w:r>
              <w:rPr>
                <w:rFonts w:ascii="宋体"/>
                <w:sz w:val="21"/>
              </w:rPr>
              <w:t>48.74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89" w:right="0"/>
              <w:jc w:val="left"/>
              <w:rPr>
                <w:rFonts w:ascii="宋体" w:hAnsi="宋体" w:cs="宋体" w:eastAsia="宋体" w:hint="default"/>
                <w:sz w:val="21"/>
                <w:szCs w:val="21"/>
              </w:rPr>
            </w:pPr>
            <w:r>
              <w:rPr>
                <w:rFonts w:ascii="宋体"/>
                <w:sz w:val="21"/>
              </w:rPr>
              <w:t>48.74</w:t>
            </w:r>
          </w:p>
        </w:tc>
      </w:tr>
    </w:tbl>
    <w:p>
      <w:pPr>
        <w:spacing w:line="240" w:lineRule="auto" w:before="5"/>
        <w:rPr>
          <w:rFonts w:ascii="宋体" w:hAnsi="宋体" w:cs="宋体" w:eastAsia="宋体" w:hint="default"/>
          <w:sz w:val="15"/>
          <w:szCs w:val="15"/>
        </w:rPr>
      </w:pPr>
    </w:p>
    <w:p>
      <w:pPr>
        <w:pStyle w:val="BodyText"/>
        <w:spacing w:line="240" w:lineRule="auto" w:before="36"/>
        <w:ind w:left="218" w:right="6323"/>
        <w:jc w:val="left"/>
      </w:pPr>
      <w:r>
        <w:rPr>
          <w:spacing w:val="-2"/>
        </w:rPr>
        <w:t>本企业的母公司情况的说明</w:t>
      </w:r>
      <w:r>
        <w:rPr>
          <w:spacing w:val="-82"/>
        </w:rPr>
        <w:t> </w:t>
      </w:r>
      <w:r>
        <w:rPr>
          <w:spacing w:val="-82"/>
        </w:rPr>
      </w:r>
      <w:r>
        <w:rPr/>
        <w:t>无。</w:t>
      </w:r>
    </w:p>
    <w:p>
      <w:pPr>
        <w:pStyle w:val="BodyText"/>
        <w:spacing w:line="274" w:lineRule="exact" w:before="22"/>
        <w:ind w:left="218" w:right="4409"/>
        <w:jc w:val="left"/>
      </w:pPr>
      <w:r>
        <w:rPr>
          <w:spacing w:val="-2"/>
        </w:rPr>
        <w:t>本企业最终控制方是本集团最终控股股东</w:t>
      </w:r>
      <w:r>
        <w:rPr>
          <w:spacing w:val="-69"/>
        </w:rPr>
        <w:t> </w:t>
      </w:r>
      <w:r>
        <w:rPr>
          <w:spacing w:val="-69"/>
        </w:rPr>
      </w:r>
      <w:r>
        <w:rPr/>
        <w:t>其他说明：</w:t>
      </w:r>
    </w:p>
    <w:p>
      <w:pPr>
        <w:pStyle w:val="Heading3"/>
        <w:spacing w:line="279" w:lineRule="exact"/>
        <w:ind w:right="234"/>
        <w:jc w:val="left"/>
      </w:pPr>
      <w:r>
        <w:rPr/>
        <w:t>无。</w:t>
      </w:r>
    </w:p>
    <w:p>
      <w:pPr>
        <w:spacing w:line="290" w:lineRule="auto" w:before="64"/>
        <w:ind w:left="218" w:right="632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pStyle w:val="BodyText"/>
        <w:tabs>
          <w:tab w:pos="1060" w:val="left" w:leader="none"/>
        </w:tabs>
        <w:spacing w:line="228" w:lineRule="exact"/>
        <w:ind w:left="218" w:right="234"/>
        <w:jc w:val="left"/>
      </w:pPr>
      <w:r>
        <w:rPr>
          <w:spacing w:val="-1"/>
        </w:rPr>
        <w:t>√适用</w:t>
        <w:tab/>
      </w:r>
      <w:r>
        <w:rPr>
          <w:spacing w:val="-2"/>
        </w:rPr>
        <w:t>□不适用</w:t>
      </w:r>
    </w:p>
    <w:p>
      <w:pPr>
        <w:pStyle w:val="BodyText"/>
        <w:spacing w:line="273" w:lineRule="exact"/>
        <w:ind w:left="218" w:right="234"/>
        <w:jc w:val="left"/>
      </w:pPr>
      <w:r>
        <w:rPr/>
        <w:t>详见附注九、</w:t>
      </w:r>
      <w:r>
        <w:rPr>
          <w:rFonts w:ascii="宋体" w:hAnsi="宋体" w:cs="宋体" w:eastAsia="宋体" w:hint="default"/>
        </w:rPr>
        <w:t>1</w:t>
      </w:r>
      <w:r>
        <w:rPr/>
        <w:t>、在子公司中的权益。</w:t>
      </w:r>
    </w:p>
    <w:p>
      <w:pPr>
        <w:spacing w:line="240" w:lineRule="auto" w:before="2"/>
        <w:rPr>
          <w:rFonts w:ascii="宋体" w:hAnsi="宋体" w:cs="宋体" w:eastAsia="宋体" w:hint="default"/>
          <w:sz w:val="28"/>
          <w:szCs w:val="28"/>
        </w:rPr>
      </w:pPr>
    </w:p>
    <w:p>
      <w:pPr>
        <w:spacing w:line="292" w:lineRule="auto" w:before="0"/>
        <w:ind w:left="218" w:right="296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Heading3"/>
        <w:tabs>
          <w:tab w:pos="1177" w:val="left" w:leader="none"/>
        </w:tabs>
        <w:spacing w:line="258" w:lineRule="exact"/>
        <w:ind w:right="234"/>
        <w:jc w:val="left"/>
      </w:pPr>
      <w:r>
        <w:rPr/>
        <w:t>√适用</w:t>
        <w:tab/>
        <w:t>□不适用</w:t>
      </w:r>
    </w:p>
    <w:p>
      <w:pPr>
        <w:pStyle w:val="BodyText"/>
        <w:spacing w:line="240" w:lineRule="auto" w:before="4"/>
        <w:ind w:left="698" w:right="234"/>
        <w:jc w:val="left"/>
      </w:pPr>
      <w:r>
        <w:rPr/>
        <w:t>重要的合营或联营企业详见附注九、</w:t>
      </w:r>
      <w:r>
        <w:rPr>
          <w:rFonts w:ascii="宋体" w:hAnsi="宋体" w:cs="宋体" w:eastAsia="宋体" w:hint="default"/>
        </w:rPr>
        <w:t>3.</w:t>
      </w:r>
      <w:r>
        <w:rPr/>
        <w:t>其他合营或联营企业详见附注七、</w:t>
      </w:r>
      <w:r>
        <w:rPr>
          <w:rFonts w:ascii="宋体" w:hAnsi="宋体" w:cs="宋体" w:eastAsia="宋体" w:hint="default"/>
        </w:rPr>
        <w:t>14</w:t>
      </w:r>
      <w:r>
        <w:rPr/>
        <w:t>。</w:t>
      </w:r>
    </w:p>
    <w:p>
      <w:pPr>
        <w:pStyle w:val="BodyText"/>
        <w:spacing w:line="240" w:lineRule="auto" w:before="133"/>
        <w:ind w:left="218" w:right="234"/>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Heading3"/>
        <w:tabs>
          <w:tab w:pos="1177" w:val="left" w:leader="none"/>
        </w:tabs>
        <w:spacing w:line="304" w:lineRule="exact"/>
        <w:ind w:right="234"/>
        <w:jc w:val="left"/>
      </w:pPr>
      <w:r>
        <w:rPr/>
        <w:t>√适用</w:t>
        <w:tab/>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上海广升信息技术股份有限公司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上海凭安征信服务有限公司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天津安果科技有限公司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4"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重庆百立丰科技有限公司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深圳岂凡网络有限公司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bl>
    <w:p>
      <w:pPr>
        <w:spacing w:after="0" w:line="241" w:lineRule="exact"/>
        <w:jc w:val="center"/>
        <w:rPr>
          <w:rFonts w:ascii="宋体" w:hAnsi="宋体" w:cs="宋体" w:eastAsia="宋体" w:hint="default"/>
          <w:sz w:val="21"/>
          <w:szCs w:val="21"/>
        </w:rPr>
        <w:sectPr>
          <w:type w:val="continuous"/>
          <w:pgSz w:w="11910" w:h="16840"/>
          <w:pgMar w:top="1320" w:bottom="1400" w:left="1580" w:right="1040"/>
        </w:sectPr>
      </w:pPr>
    </w:p>
    <w:p>
      <w:pPr>
        <w:spacing w:line="240" w:lineRule="auto" w:before="2"/>
        <w:rPr>
          <w:rFonts w:ascii="宋体" w:hAnsi="宋体" w:cs="宋体" w:eastAsia="宋体" w:hint="default"/>
          <w:sz w:val="9"/>
          <w:szCs w:val="9"/>
        </w:rPr>
      </w:pPr>
    </w:p>
    <w:p>
      <w:pPr>
        <w:pStyle w:val="BodyText"/>
        <w:spacing w:line="271" w:lineRule="exact" w:before="36"/>
        <w:ind w:left="218" w:right="234"/>
        <w:jc w:val="left"/>
      </w:pPr>
      <w:r>
        <w:rPr/>
        <w:t>其他说明</w:t>
      </w:r>
    </w:p>
    <w:p>
      <w:pPr>
        <w:pStyle w:val="Heading3"/>
        <w:tabs>
          <w:tab w:pos="1177" w:val="left" w:leader="none"/>
        </w:tabs>
        <w:spacing w:line="310" w:lineRule="exact"/>
        <w:ind w:right="234"/>
        <w:jc w:val="left"/>
      </w:pPr>
      <w:r>
        <w:rPr>
          <w:spacing w:val="-1"/>
        </w:rPr>
        <w:t>□适用</w:t>
        <w:tab/>
      </w:r>
      <w:r>
        <w:rPr/>
        <w:t>√不适用</w:t>
      </w:r>
    </w:p>
    <w:p>
      <w:pPr>
        <w:spacing w:line="240" w:lineRule="auto" w:before="7"/>
        <w:rPr>
          <w:rFonts w:ascii="宋体" w:hAnsi="宋体" w:cs="宋体" w:eastAsia="宋体" w:hint="default"/>
          <w:sz w:val="28"/>
          <w:szCs w:val="28"/>
        </w:rPr>
      </w:pPr>
    </w:p>
    <w:p>
      <w:pPr>
        <w:pStyle w:val="Heading5"/>
        <w:spacing w:line="240" w:lineRule="auto"/>
        <w:ind w:right="234"/>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left="218" w:right="234"/>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洛阳市景安计算机网络技术有限公司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上海黑桃互动网络科技股份有限公司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上海景域文化传播股份有限公司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上海淇毓信息科技有限公司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北京密境和风科技有限公司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西安欧思奇软件有限公司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奇酷软件（深圳）有限公司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北京安云世纪科技有限公司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北京奇智商务咨询有限公司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上海欧拉网络技术有限公司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北京你财富投资管理有限公司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北京奇步天下科技有限公司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广州优医信息科技有限公司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北京奇飞翔艺商务咨询有限公司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北京奇创优胜科技有限公司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奇酷互联网络科技（深圳）有限公司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金志峰、金祖铭</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r>
    </w:tbl>
    <w:p>
      <w:pPr>
        <w:spacing w:line="240" w:lineRule="auto" w:before="5"/>
        <w:rPr>
          <w:rFonts w:ascii="宋体" w:hAnsi="宋体" w:cs="宋体" w:eastAsia="宋体" w:hint="default"/>
          <w:sz w:val="15"/>
          <w:szCs w:val="15"/>
        </w:rPr>
      </w:pPr>
    </w:p>
    <w:p>
      <w:pPr>
        <w:pStyle w:val="BodyText"/>
        <w:spacing w:line="240" w:lineRule="auto" w:before="36"/>
        <w:ind w:left="218" w:right="8208"/>
        <w:jc w:val="left"/>
      </w:pPr>
      <w:r>
        <w:rPr/>
        <w:t>其他说明</w:t>
      </w:r>
      <w:r>
        <w:rPr>
          <w:w w:val="100"/>
        </w:rPr>
        <w:t> </w:t>
      </w:r>
      <w:r>
        <w:rPr/>
        <w:t>无。</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91"/>
          <w:pgSz w:w="11910" w:h="16840"/>
          <w:pgMar w:footer="1217" w:header="857" w:top="1320" w:bottom="1400" w:left="1580" w:right="1040"/>
          <w:pgNumType w:start="201"/>
        </w:sectPr>
      </w:pPr>
    </w:p>
    <w:p>
      <w:pPr>
        <w:spacing w:line="290" w:lineRule="auto" w:before="3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购销商品、提供和接受劳务的关联交易</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29" w:lineRule="exact"/>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480" w:val="left" w:leader="none"/>
        </w:tabs>
        <w:spacing w:line="240" w:lineRule="auto"/>
        <w:ind w:left="218"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580" w:right="1040"/>
          <w:cols w:num="2" w:equalWidth="0">
            <w:col w:w="4229" w:space="2081"/>
            <w:col w:w="2980"/>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435"/>
        <w:gridCol w:w="2837"/>
        <w:gridCol w:w="1275"/>
        <w:gridCol w:w="1349"/>
      </w:tblGrid>
      <w:tr>
        <w:trPr>
          <w:trHeight w:val="307"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82"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4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奇酷软件</w:t>
            </w:r>
            <w:r>
              <w:rPr>
                <w:rFonts w:ascii="宋体" w:hAnsi="宋体" w:cs="宋体" w:eastAsia="宋体" w:hint="default"/>
                <w:sz w:val="21"/>
                <w:szCs w:val="21"/>
              </w:rPr>
              <w:t>(</w:t>
            </w:r>
            <w:r>
              <w:rPr>
                <w:rFonts w:ascii="宋体" w:hAnsi="宋体" w:cs="宋体" w:eastAsia="宋体" w:hint="default"/>
                <w:sz w:val="21"/>
                <w:szCs w:val="21"/>
              </w:rPr>
              <w:t>深圳</w:t>
            </w:r>
            <w:r>
              <w:rPr>
                <w:rFonts w:ascii="宋体" w:hAnsi="宋体" w:cs="宋体" w:eastAsia="宋体" w:hint="default"/>
                <w:sz w:val="21"/>
                <w:szCs w:val="21"/>
              </w:rPr>
              <w:t>)</w:t>
            </w:r>
            <w:r>
              <w:rPr>
                <w:rFonts w:ascii="宋体" w:hAnsi="宋体" w:cs="宋体" w:eastAsia="宋体" w:hint="default"/>
                <w:sz w:val="21"/>
                <w:szCs w:val="21"/>
              </w:rPr>
              <w:t>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流量采购分成款</w:t>
            </w:r>
            <w:r>
              <w:rPr>
                <w:rFonts w:ascii="宋体" w:hAnsi="宋体" w:cs="宋体" w:eastAsia="宋体" w:hint="default"/>
                <w:sz w:val="21"/>
                <w:szCs w:val="21"/>
              </w:rPr>
              <w:t>/</w:t>
            </w:r>
            <w:r>
              <w:rPr>
                <w:rFonts w:ascii="宋体" w:hAnsi="宋体" w:cs="宋体" w:eastAsia="宋体" w:hint="default"/>
                <w:sz w:val="21"/>
                <w:szCs w:val="21"/>
              </w:rPr>
              <w:t>市场推广费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92,322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6,998</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西安欧思奇软件有限公司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流量采购分成款</w:t>
            </w:r>
            <w:r>
              <w:rPr>
                <w:rFonts w:ascii="宋体" w:hAnsi="宋体" w:cs="宋体" w:eastAsia="宋体" w:hint="default"/>
                <w:sz w:val="21"/>
                <w:szCs w:val="21"/>
              </w:rPr>
              <w:t>/</w:t>
            </w:r>
            <w:r>
              <w:rPr>
                <w:rFonts w:ascii="宋体" w:hAnsi="宋体" w:cs="宋体" w:eastAsia="宋体" w:hint="default"/>
                <w:sz w:val="21"/>
                <w:szCs w:val="21"/>
              </w:rPr>
              <w:t>市场推广费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86,363</w:t>
            </w: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北京安云世纪科技有限公司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流量采购分成款</w:t>
            </w:r>
            <w:r>
              <w:rPr>
                <w:rFonts w:ascii="宋体" w:hAnsi="宋体" w:cs="宋体" w:eastAsia="宋体" w:hint="default"/>
                <w:sz w:val="21"/>
                <w:szCs w:val="21"/>
              </w:rPr>
              <w:t>/</w:t>
            </w:r>
            <w:r>
              <w:rPr>
                <w:rFonts w:ascii="宋体" w:hAnsi="宋体" w:cs="宋体" w:eastAsia="宋体" w:hint="default"/>
                <w:sz w:val="21"/>
                <w:szCs w:val="21"/>
              </w:rPr>
              <w:t>市场推广费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65,578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28,216</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洛阳市景安计算机网络技术有限公司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带宽租赁费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35,717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25,220</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北京奇安信科技有限公司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w:t>
            </w:r>
            <w:r>
              <w:rPr>
                <w:rFonts w:ascii="宋体" w:hAnsi="宋体" w:cs="宋体" w:eastAsia="宋体" w:hint="default"/>
                <w:sz w:val="21"/>
                <w:szCs w:val="21"/>
              </w:rPr>
              <w:t>市场推广费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23,496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26,173</w:t>
            </w:r>
          </w:p>
        </w:tc>
      </w:tr>
      <w:tr>
        <w:trPr>
          <w:trHeight w:val="281"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成都奇鲁科技有限公司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流量采购分成款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22,573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43,088</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在线途游</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科技有限公司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游戏分成款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21,460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44,347</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上海欧拉网络技术有限公司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流量采购分成款</w:t>
            </w:r>
            <w:r>
              <w:rPr>
                <w:rFonts w:ascii="宋体" w:hAnsi="宋体" w:cs="宋体" w:eastAsia="宋体" w:hint="default"/>
                <w:sz w:val="21"/>
                <w:szCs w:val="21"/>
              </w:rPr>
              <w:t>/</w:t>
            </w:r>
            <w:r>
              <w:rPr>
                <w:rFonts w:ascii="宋体" w:hAnsi="宋体" w:cs="宋体" w:eastAsia="宋体" w:hint="default"/>
                <w:sz w:val="21"/>
                <w:szCs w:val="21"/>
              </w:rPr>
              <w:t>市场推广费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4,654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12,533</w:t>
            </w:r>
          </w:p>
        </w:tc>
      </w:tr>
      <w:tr>
        <w:trPr>
          <w:trHeight w:val="281"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上海凭安征信服务有限公司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3,443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14,672</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奇酷互联网络科技</w:t>
            </w:r>
            <w:r>
              <w:rPr>
                <w:rFonts w:ascii="宋体" w:hAnsi="宋体" w:cs="宋体" w:eastAsia="宋体" w:hint="default"/>
                <w:sz w:val="21"/>
                <w:szCs w:val="21"/>
              </w:rPr>
              <w:t>(</w:t>
            </w:r>
            <w:r>
              <w:rPr>
                <w:rFonts w:ascii="宋体" w:hAnsi="宋体" w:cs="宋体" w:eastAsia="宋体" w:hint="default"/>
                <w:sz w:val="21"/>
                <w:szCs w:val="21"/>
              </w:rPr>
              <w:t>深圳</w:t>
            </w:r>
            <w:r>
              <w:rPr>
                <w:rFonts w:ascii="宋体" w:hAnsi="宋体" w:cs="宋体" w:eastAsia="宋体" w:hint="default"/>
                <w:sz w:val="21"/>
                <w:szCs w:val="21"/>
              </w:rPr>
              <w:t>)</w:t>
            </w:r>
            <w:r>
              <w:rPr>
                <w:rFonts w:ascii="宋体" w:hAnsi="宋体" w:cs="宋体" w:eastAsia="宋体" w:hint="default"/>
                <w:sz w:val="21"/>
                <w:szCs w:val="21"/>
              </w:rPr>
              <w:t>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流量采购分成款</w:t>
            </w:r>
            <w:r>
              <w:rPr>
                <w:rFonts w:ascii="宋体" w:hAnsi="宋体" w:cs="宋体" w:eastAsia="宋体" w:hint="default"/>
                <w:sz w:val="21"/>
                <w:szCs w:val="21"/>
              </w:rPr>
              <w:t>/</w:t>
            </w:r>
            <w:r>
              <w:rPr>
                <w:rFonts w:ascii="宋体" w:hAnsi="宋体" w:cs="宋体" w:eastAsia="宋体" w:hint="default"/>
                <w:sz w:val="21"/>
                <w:szCs w:val="21"/>
              </w:rPr>
              <w:t>技术服务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2,298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46,418</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重庆百立丰科技有限公司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流量采购分成款</w:t>
            </w:r>
          </w:p>
        </w:tc>
        <w:tc>
          <w:tcPr>
            <w:tcW w:w="127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14,885</w:t>
            </w:r>
          </w:p>
        </w:tc>
      </w:tr>
      <w:tr>
        <w:trPr>
          <w:trHeight w:val="281"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29,940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30,332</w:t>
            </w:r>
          </w:p>
        </w:tc>
      </w:tr>
      <w:tr>
        <w:trPr>
          <w:trHeight w:val="284"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387,844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292,882</w:t>
            </w:r>
          </w:p>
        </w:tc>
      </w:tr>
    </w:tbl>
    <w:p>
      <w:pPr>
        <w:spacing w:after="0" w:line="241" w:lineRule="exact"/>
        <w:jc w:val="right"/>
        <w:rPr>
          <w:rFonts w:ascii="宋体" w:hAnsi="宋体" w:cs="宋体" w:eastAsia="宋体" w:hint="default"/>
          <w:sz w:val="21"/>
          <w:szCs w:val="21"/>
        </w:rPr>
        <w:sectPr>
          <w:type w:val="continuous"/>
          <w:pgSz w:w="11910" w:h="16840"/>
          <w:pgMar w:top="1320" w:bottom="1400" w:left="1580" w:right="1040"/>
        </w:sectPr>
      </w:pPr>
    </w:p>
    <w:p>
      <w:pPr>
        <w:spacing w:line="240" w:lineRule="auto" w:before="2"/>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857" w:footer="1217" w:top="1320" w:bottom="1400" w:left="1660" w:right="1120"/>
        </w:sectPr>
      </w:pPr>
    </w:p>
    <w:p>
      <w:pPr>
        <w:pStyle w:val="BodyText"/>
        <w:spacing w:line="274" w:lineRule="exact" w:before="36"/>
        <w:ind w:right="0"/>
        <w:jc w:val="left"/>
      </w:pPr>
      <w:r>
        <w:rPr>
          <w:spacing w:val="-2"/>
        </w:rPr>
        <w:t>出售商品</w:t>
      </w:r>
      <w:r>
        <w:rPr>
          <w:rFonts w:ascii="宋体" w:hAnsi="宋体" w:cs="宋体" w:eastAsia="宋体" w:hint="default"/>
          <w:spacing w:val="-2"/>
        </w:rPr>
        <w:t>/</w:t>
      </w:r>
      <w:r>
        <w:rPr>
          <w:spacing w:val="-2"/>
        </w:rPr>
        <w:t>提供劳务情况表</w:t>
      </w:r>
    </w:p>
    <w:p>
      <w:pPr>
        <w:pStyle w:val="BodyText"/>
        <w:spacing w:line="274"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400" w:val="left" w:leader="none"/>
        </w:tabs>
        <w:spacing w:line="240" w:lineRule="auto"/>
        <w:ind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660" w:right="1120"/>
          <w:cols w:num="2" w:equalWidth="0">
            <w:col w:w="2556" w:space="3755"/>
            <w:col w:w="281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08"/>
        <w:gridCol w:w="3545"/>
        <w:gridCol w:w="1136"/>
        <w:gridCol w:w="1207"/>
      </w:tblGrid>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7"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
              <w:jc w:val="right"/>
              <w:rPr>
                <w:rFonts w:ascii="宋体" w:hAnsi="宋体" w:cs="宋体" w:eastAsia="宋体" w:hint="default"/>
                <w:sz w:val="21"/>
                <w:szCs w:val="21"/>
              </w:rPr>
            </w:pPr>
            <w:r>
              <w:rPr>
                <w:rFonts w:ascii="宋体" w:hAnsi="宋体" w:cs="宋体" w:eastAsia="宋体" w:hint="default"/>
                <w:spacing w:val="-1"/>
                <w:sz w:val="21"/>
                <w:szCs w:val="21"/>
              </w:rPr>
              <w:t>本期发生额</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
              <w:jc w:val="right"/>
              <w:rPr>
                <w:rFonts w:ascii="宋体" w:hAnsi="宋体" w:cs="宋体" w:eastAsia="宋体" w:hint="default"/>
                <w:sz w:val="21"/>
                <w:szCs w:val="21"/>
              </w:rPr>
            </w:pPr>
            <w:r>
              <w:rPr>
                <w:rFonts w:ascii="宋体" w:hAnsi="宋体" w:cs="宋体" w:eastAsia="宋体" w:hint="default"/>
                <w:spacing w:val="-1"/>
                <w:sz w:val="21"/>
                <w:szCs w:val="21"/>
              </w:rPr>
              <w:t>上期发生额</w:t>
            </w:r>
          </w:p>
        </w:tc>
      </w:tr>
      <w:tr>
        <w:trPr>
          <w:trHeight w:val="281"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上海淇毓信息科技有限公司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互联网广告及服务</w:t>
            </w: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w:t>
            </w:r>
            <w:r>
              <w:rPr>
                <w:rFonts w:ascii="宋体" w:hAnsi="宋体" w:cs="宋体" w:eastAsia="宋体" w:hint="default"/>
                <w:sz w:val="21"/>
                <w:szCs w:val="21"/>
              </w:rPr>
              <w:t>技术服务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75,859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55,091</w:t>
            </w:r>
          </w:p>
        </w:tc>
      </w:tr>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北京奇安信科技有限公司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w:t>
            </w:r>
            <w:r>
              <w:rPr>
                <w:rFonts w:ascii="宋体" w:hAnsi="宋体" w:cs="宋体" w:eastAsia="宋体" w:hint="default"/>
                <w:sz w:val="21"/>
                <w:szCs w:val="21"/>
              </w:rPr>
              <w:t>技术服务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61,585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59,768</w:t>
            </w:r>
          </w:p>
        </w:tc>
      </w:tr>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Opera Software</w:t>
            </w:r>
            <w:r>
              <w:rPr>
                <w:rFonts w:ascii="宋体" w:hAnsi="宋体" w:cs="宋体" w:eastAsia="宋体" w:hint="default"/>
                <w:spacing w:val="1"/>
                <w:sz w:val="21"/>
                <w:szCs w:val="21"/>
              </w:rPr>
              <w:t> </w:t>
            </w:r>
            <w:r>
              <w:rPr>
                <w:rFonts w:ascii="宋体" w:hAnsi="宋体" w:cs="宋体" w:eastAsia="宋体" w:hint="default"/>
                <w:sz w:val="21"/>
                <w:szCs w:val="21"/>
              </w:rPr>
              <w:t>AS(</w:t>
            </w:r>
            <w:r>
              <w:rPr>
                <w:rFonts w:ascii="宋体" w:hAnsi="宋体" w:cs="宋体" w:eastAsia="宋体" w:hint="default"/>
                <w:sz w:val="21"/>
                <w:szCs w:val="21"/>
              </w:rPr>
              <w:t>注</w:t>
            </w:r>
            <w:r>
              <w:rPr>
                <w:rFonts w:ascii="宋体" w:hAnsi="宋体" w:cs="宋体" w:eastAsia="宋体" w:hint="default"/>
                <w:sz w:val="21"/>
                <w:szCs w:val="21"/>
              </w:rPr>
              <w:t>)</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互联网广告及服务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45,110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59,723</w:t>
            </w:r>
          </w:p>
        </w:tc>
      </w:tr>
      <w:tr>
        <w:trPr>
          <w:trHeight w:val="281"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北京密境和风科技有限公司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互联网广告及服务</w:t>
            </w: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w:t>
            </w:r>
            <w:r>
              <w:rPr>
                <w:rFonts w:ascii="宋体" w:hAnsi="宋体" w:cs="宋体" w:eastAsia="宋体" w:hint="default"/>
                <w:sz w:val="21"/>
                <w:szCs w:val="21"/>
              </w:rPr>
              <w:t>技术服务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30,470</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在线途游</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科技有限公司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互联网增值</w:t>
            </w:r>
            <w:r>
              <w:rPr>
                <w:rFonts w:ascii="宋体" w:hAnsi="宋体" w:cs="宋体" w:eastAsia="宋体" w:hint="default"/>
                <w:sz w:val="21"/>
                <w:szCs w:val="21"/>
              </w:rPr>
              <w:t>-</w:t>
            </w:r>
            <w:r>
              <w:rPr>
                <w:rFonts w:ascii="宋体" w:hAnsi="宋体" w:cs="宋体" w:eastAsia="宋体" w:hint="default"/>
                <w:sz w:val="21"/>
                <w:szCs w:val="21"/>
              </w:rPr>
              <w:t>游戏</w:t>
            </w:r>
            <w:r>
              <w:rPr>
                <w:rFonts w:ascii="宋体" w:hAnsi="宋体" w:cs="宋体" w:eastAsia="宋体" w:hint="default"/>
                <w:sz w:val="21"/>
                <w:szCs w:val="21"/>
              </w:rPr>
              <w:t>/</w:t>
            </w:r>
            <w:r>
              <w:rPr>
                <w:rFonts w:ascii="宋体" w:hAnsi="宋体" w:cs="宋体" w:eastAsia="宋体" w:hint="default"/>
                <w:sz w:val="21"/>
                <w:szCs w:val="21"/>
              </w:rPr>
              <w:t>互联网广告及服务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26,611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36,882</w:t>
            </w:r>
          </w:p>
        </w:tc>
      </w:tr>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北京你财富投资管理有限公司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互联网广告及服务</w:t>
            </w: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w:t>
            </w:r>
            <w:r>
              <w:rPr>
                <w:rFonts w:ascii="宋体" w:hAnsi="宋体" w:cs="宋体" w:eastAsia="宋体" w:hint="default"/>
                <w:sz w:val="21"/>
                <w:szCs w:val="21"/>
              </w:rPr>
              <w:t>技术服务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6,675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9,875</w:t>
            </w:r>
          </w:p>
        </w:tc>
      </w:tr>
      <w:tr>
        <w:trPr>
          <w:trHeight w:val="55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北京奇步天下科技有限公司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互联网广告及服务</w:t>
            </w: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w:t>
            </w:r>
            <w:r>
              <w:rPr>
                <w:rFonts w:ascii="宋体" w:hAnsi="宋体" w:cs="宋体" w:eastAsia="宋体" w:hint="default"/>
                <w:sz w:val="21"/>
                <w:szCs w:val="21"/>
              </w:rPr>
              <w:t>技术服务</w:t>
            </w:r>
            <w:r>
              <w:rPr>
                <w:rFonts w:ascii="宋体" w:hAnsi="宋体" w:cs="宋体" w:eastAsia="宋体" w:hint="default"/>
                <w:sz w:val="21"/>
                <w:szCs w:val="21"/>
              </w:rPr>
              <w:t>/</w:t>
            </w:r>
            <w:r>
              <w:rPr>
                <w:rFonts w:ascii="宋体" w:hAnsi="宋体" w:cs="宋体" w:eastAsia="宋体" w:hint="default"/>
                <w:sz w:val="21"/>
                <w:szCs w:val="21"/>
              </w:rPr>
              <w:t>其</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z w:val="21"/>
                <w:szCs w:val="21"/>
              </w:rPr>
              <w:t>-</w:t>
            </w:r>
            <w:r>
              <w:rPr>
                <w:rFonts w:ascii="宋体" w:hAnsi="宋体" w:cs="宋体" w:eastAsia="宋体" w:hint="default"/>
                <w:sz w:val="21"/>
                <w:szCs w:val="21"/>
              </w:rPr>
              <w:t>品牌授权</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5,104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12,015</w:t>
            </w:r>
          </w:p>
        </w:tc>
      </w:tr>
      <w:tr>
        <w:trPr>
          <w:trHeight w:val="281"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上海景域文化传播股份有限公司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互联网广告及服务</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11,009</w:t>
            </w:r>
          </w:p>
        </w:tc>
      </w:tr>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54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23,674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25,969</w:t>
            </w:r>
          </w:p>
        </w:tc>
      </w:tr>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54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275,088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270,332</w:t>
            </w:r>
          </w:p>
        </w:tc>
      </w:tr>
    </w:tbl>
    <w:p>
      <w:pPr>
        <w:pStyle w:val="BodyText"/>
        <w:spacing w:line="241" w:lineRule="exact"/>
        <w:ind w:right="148"/>
        <w:jc w:val="left"/>
      </w:pPr>
      <w:r>
        <w:rPr/>
        <w:t>注：为本公司的联营企业的子公司。</w:t>
      </w:r>
    </w:p>
    <w:p>
      <w:pPr>
        <w:spacing w:line="240" w:lineRule="auto" w:before="8"/>
        <w:rPr>
          <w:rFonts w:ascii="宋体" w:hAnsi="宋体" w:cs="宋体" w:eastAsia="宋体" w:hint="default"/>
          <w:sz w:val="20"/>
          <w:szCs w:val="20"/>
        </w:rPr>
      </w:pPr>
    </w:p>
    <w:p>
      <w:pPr>
        <w:pStyle w:val="BodyText"/>
        <w:spacing w:line="273" w:lineRule="exact"/>
        <w:ind w:right="148"/>
        <w:jc w:val="left"/>
      </w:pPr>
      <w:r>
        <w:rPr/>
        <w:t>购销商品、提供和接受劳务的关联交易说明</w:t>
      </w:r>
    </w:p>
    <w:p>
      <w:pPr>
        <w:pStyle w:val="BodyText"/>
        <w:spacing w:line="273" w:lineRule="exact"/>
        <w:ind w:right="5592"/>
        <w:jc w:val="left"/>
      </w:pPr>
      <w:r>
        <w:rPr/>
        <w:t>□适用</w:t>
      </w:r>
      <w:r>
        <w:rPr>
          <w:spacing w:val="-1"/>
        </w:rPr>
        <w:t> </w:t>
      </w:r>
      <w:r>
        <w:rPr/>
        <w:t>√不适用</w:t>
      </w:r>
    </w:p>
    <w:p>
      <w:pPr>
        <w:spacing w:line="240" w:lineRule="auto" w:before="2"/>
        <w:rPr>
          <w:rFonts w:ascii="宋体" w:hAnsi="宋体" w:cs="宋体" w:eastAsia="宋体" w:hint="default"/>
          <w:sz w:val="28"/>
          <w:szCs w:val="28"/>
        </w:rPr>
      </w:pPr>
    </w:p>
    <w:p>
      <w:pPr>
        <w:spacing w:line="290" w:lineRule="auto" w:before="0"/>
        <w:ind w:left="138" w:right="468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45"/>
          <w:sz w:val="21"/>
          <w:szCs w:val="21"/>
        </w:rPr>
        <w:t> </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27" w:lineRule="exact"/>
        <w:ind w:right="5592"/>
        <w:jc w:val="left"/>
      </w:pPr>
      <w:r>
        <w:rPr/>
        <w:t>□适用</w:t>
      </w:r>
      <w:r>
        <w:rPr>
          <w:spacing w:val="-1"/>
        </w:rPr>
        <w:t> </w:t>
      </w:r>
      <w:r>
        <w:rPr/>
        <w:t>√不适用</w:t>
      </w:r>
    </w:p>
    <w:p>
      <w:pPr>
        <w:pStyle w:val="BodyText"/>
        <w:spacing w:line="273" w:lineRule="exact"/>
        <w:ind w:right="5592"/>
        <w:jc w:val="left"/>
      </w:pPr>
      <w:r>
        <w:rPr/>
        <w:t>关联托管</w:t>
      </w:r>
      <w:r>
        <w:rPr>
          <w:rFonts w:ascii="宋体" w:hAnsi="宋体" w:cs="宋体" w:eastAsia="宋体" w:hint="default"/>
        </w:rPr>
        <w:t>/</w:t>
      </w:r>
      <w:r>
        <w:rPr/>
        <w:t>承包情况说明</w:t>
      </w:r>
    </w:p>
    <w:p>
      <w:pPr>
        <w:pStyle w:val="BodyText"/>
        <w:spacing w:line="273" w:lineRule="exact"/>
        <w:ind w:right="5592"/>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5592"/>
        <w:jc w:val="left"/>
      </w:pPr>
      <w:r>
        <w:rPr/>
        <w:t>本公司委托管理</w:t>
      </w:r>
      <w:r>
        <w:rPr>
          <w:rFonts w:ascii="宋体" w:hAnsi="宋体" w:cs="宋体" w:eastAsia="宋体" w:hint="default"/>
        </w:rPr>
        <w:t>/</w:t>
      </w:r>
      <w:r>
        <w:rPr/>
        <w:t>出包情况表</w:t>
      </w:r>
    </w:p>
    <w:p>
      <w:pPr>
        <w:pStyle w:val="BodyText"/>
        <w:spacing w:line="272" w:lineRule="exact" w:before="27"/>
        <w:ind w:right="5592"/>
        <w:jc w:val="left"/>
      </w:pPr>
      <w:r>
        <w:rPr/>
        <w:t>□适用</w:t>
      </w:r>
      <w:r>
        <w:rPr>
          <w:spacing w:val="-2"/>
        </w:rPr>
        <w:t> </w:t>
      </w:r>
      <w:r>
        <w:rPr/>
        <w:t>√不适用</w:t>
      </w:r>
      <w:r>
        <w:rPr>
          <w:w w:val="100"/>
        </w:rPr>
        <w:t> </w:t>
      </w:r>
      <w:r>
        <w:rPr>
          <w:spacing w:val="-2"/>
        </w:rPr>
        <w:t>关联管理</w:t>
      </w:r>
      <w:r>
        <w:rPr>
          <w:rFonts w:ascii="宋体" w:hAnsi="宋体" w:cs="宋体" w:eastAsia="宋体" w:hint="default"/>
          <w:spacing w:val="-2"/>
        </w:rPr>
        <w:t>/</w:t>
      </w:r>
      <w:r>
        <w:rPr>
          <w:spacing w:val="-2"/>
        </w:rPr>
        <w:t>出包情况说明</w:t>
      </w:r>
    </w:p>
    <w:p>
      <w:pPr>
        <w:pStyle w:val="BodyText"/>
        <w:spacing w:line="249" w:lineRule="exact"/>
        <w:ind w:right="5592"/>
        <w:jc w:val="left"/>
      </w:pPr>
      <w:r>
        <w:rPr/>
        <w:t>□适用</w:t>
      </w:r>
      <w:r>
        <w:rPr>
          <w:spacing w:val="-1"/>
        </w:rPr>
        <w:t> </w:t>
      </w:r>
      <w:r>
        <w:rPr/>
        <w:t>√不适用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320" w:bottom="1400" w:left="1660" w:right="1120"/>
        </w:sectPr>
      </w:pPr>
    </w:p>
    <w:p>
      <w:pPr>
        <w:spacing w:line="290" w:lineRule="auto" w:before="36"/>
        <w:ind w:left="138" w:right="-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44"/>
          <w:sz w:val="21"/>
          <w:szCs w:val="21"/>
        </w:rPr>
        <w:t> </w:t>
      </w:r>
      <w:r>
        <w:rPr>
          <w:rFonts w:ascii="宋体" w:hAnsi="宋体" w:cs="宋体" w:eastAsia="宋体" w:hint="default"/>
          <w:b/>
          <w:bCs/>
          <w:sz w:val="21"/>
          <w:szCs w:val="21"/>
        </w:rPr>
        <w:t>关联租赁情况</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本公司作为出租方：</w:t>
      </w:r>
    </w:p>
    <w:p>
      <w:pPr>
        <w:pStyle w:val="BodyText"/>
        <w:spacing w:line="228" w:lineRule="exact"/>
        <w:ind w:right="-8"/>
        <w:jc w:val="left"/>
      </w:pPr>
      <w:r>
        <w:rPr/>
        <w:t>□适用</w:t>
      </w:r>
      <w:r>
        <w:rPr>
          <w:spacing w:val="-1"/>
        </w:rPr>
        <w:t> </w:t>
      </w:r>
      <w:r>
        <w:rPr/>
        <w:t>√不适用</w:t>
      </w:r>
    </w:p>
    <w:p>
      <w:pPr>
        <w:pStyle w:val="BodyText"/>
        <w:spacing w:line="273" w:lineRule="exact"/>
        <w:ind w:right="-8"/>
        <w:jc w:val="left"/>
      </w:pPr>
      <w:r>
        <w:rPr>
          <w:spacing w:val="-1"/>
        </w:rPr>
        <w:t>本公司作为承租方：</w:t>
      </w:r>
    </w:p>
    <w:p>
      <w:pPr>
        <w:pStyle w:val="BodyText"/>
        <w:spacing w:line="274" w:lineRule="exact"/>
        <w:ind w:right="-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400" w:val="left" w:leader="none"/>
        </w:tabs>
        <w:spacing w:line="240" w:lineRule="auto" w:before="149"/>
        <w:ind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660" w:right="1120"/>
          <w:cols w:num="2" w:equalWidth="0">
            <w:col w:w="2032" w:space="4278"/>
            <w:col w:w="2820"/>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91"/>
        <w:gridCol w:w="1419"/>
        <w:gridCol w:w="2126"/>
        <w:gridCol w:w="2060"/>
      </w:tblGrid>
      <w:tr>
        <w:trPr>
          <w:trHeight w:val="319"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出租方名称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4"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6"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82"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北京奇智商务咨询有限公司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房屋经营租赁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49,000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49,000</w:t>
            </w:r>
          </w:p>
        </w:tc>
      </w:tr>
      <w:tr>
        <w:trPr>
          <w:trHeight w:val="28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北京奇飞翔艺商务咨询有限公司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房屋经营租赁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35,775</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35,733</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北京奇创优胜科技有限公司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房屋经营租赁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z w:val="21"/>
              </w:rPr>
              <w:t>7,000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7,000</w:t>
            </w:r>
          </w:p>
        </w:tc>
      </w:tr>
    </w:tbl>
    <w:p>
      <w:pPr>
        <w:spacing w:line="240" w:lineRule="auto" w:before="7"/>
        <w:rPr>
          <w:rFonts w:ascii="宋体" w:hAnsi="宋体" w:cs="宋体" w:eastAsia="宋体" w:hint="default"/>
          <w:sz w:val="15"/>
          <w:szCs w:val="15"/>
        </w:rPr>
      </w:pPr>
    </w:p>
    <w:p>
      <w:pPr>
        <w:pStyle w:val="BodyText"/>
        <w:spacing w:line="273" w:lineRule="exact" w:before="36"/>
        <w:ind w:right="5592"/>
        <w:jc w:val="left"/>
      </w:pPr>
      <w:r>
        <w:rPr/>
        <w:t>关联租赁情况说明</w:t>
      </w:r>
    </w:p>
    <w:p>
      <w:pPr>
        <w:pStyle w:val="BodyText"/>
        <w:spacing w:line="273" w:lineRule="exact"/>
        <w:ind w:right="559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2" w:lineRule="auto" w:before="0"/>
        <w:ind w:left="138" w:right="7217"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43"/>
          <w:sz w:val="21"/>
          <w:szCs w:val="21"/>
        </w:rPr>
        <w:t> </w:t>
      </w:r>
      <w:r>
        <w:rPr>
          <w:rFonts w:ascii="宋体" w:hAnsi="宋体" w:cs="宋体" w:eastAsia="宋体" w:hint="default"/>
          <w:b/>
          <w:bCs/>
          <w:sz w:val="21"/>
          <w:szCs w:val="21"/>
        </w:rPr>
        <w:t>关联担保情况</w:t>
      </w:r>
      <w:r>
        <w:rPr>
          <w:rFonts w:ascii="宋体" w:hAnsi="宋体" w:cs="宋体" w:eastAsia="宋体" w:hint="default"/>
          <w:b/>
          <w:bCs/>
          <w:w w:val="100"/>
          <w:sz w:val="21"/>
          <w:szCs w:val="21"/>
        </w:rPr>
        <w:t> </w:t>
      </w:r>
      <w:r>
        <w:rPr>
          <w:rFonts w:ascii="宋体" w:hAnsi="宋体" w:cs="宋体" w:eastAsia="宋体" w:hint="default"/>
          <w:sz w:val="21"/>
          <w:szCs w:val="21"/>
        </w:rPr>
        <w:t>本公司作为担保方</w:t>
      </w:r>
    </w:p>
    <w:p>
      <w:pPr>
        <w:pStyle w:val="BodyText"/>
        <w:spacing w:line="225" w:lineRule="exact"/>
        <w:ind w:right="5592"/>
        <w:jc w:val="left"/>
      </w:pPr>
      <w:r>
        <w:rPr/>
        <w:t>□适用</w:t>
      </w:r>
      <w:r>
        <w:rPr>
          <w:spacing w:val="-1"/>
        </w:rPr>
        <w:t> </w:t>
      </w:r>
      <w:r>
        <w:rPr/>
        <w:t>√不适用</w:t>
      </w:r>
    </w:p>
    <w:p>
      <w:pPr>
        <w:spacing w:after="0" w:line="225" w:lineRule="exact"/>
        <w:jc w:val="left"/>
        <w:sectPr>
          <w:type w:val="continuous"/>
          <w:pgSz w:w="11910" w:h="16840"/>
          <w:pgMar w:top="1320" w:bottom="1400" w:left="1660" w:right="1120"/>
        </w:sectPr>
      </w:pPr>
    </w:p>
    <w:p>
      <w:pPr>
        <w:spacing w:line="240" w:lineRule="auto" w:before="2"/>
        <w:rPr>
          <w:rFonts w:ascii="宋体" w:hAnsi="宋体" w:cs="宋体" w:eastAsia="宋体" w:hint="default"/>
          <w:sz w:val="9"/>
          <w:szCs w:val="9"/>
        </w:rPr>
      </w:pPr>
    </w:p>
    <w:p>
      <w:pPr>
        <w:pStyle w:val="BodyText"/>
        <w:spacing w:line="274" w:lineRule="exact" w:before="36"/>
        <w:ind w:left="218" w:right="234"/>
        <w:jc w:val="left"/>
      </w:pPr>
      <w:r>
        <w:rPr/>
        <w:t>本公司作为被担保方</w:t>
      </w:r>
    </w:p>
    <w:p>
      <w:pPr>
        <w:pStyle w:val="BodyText"/>
        <w:spacing w:line="272" w:lineRule="exact" w:before="27"/>
        <w:ind w:left="218" w:right="6625"/>
        <w:jc w:val="left"/>
      </w:pPr>
      <w:r>
        <w:rPr/>
        <w:t>□适用</w:t>
      </w:r>
      <w:r>
        <w:rPr>
          <w:spacing w:val="-2"/>
        </w:rPr>
        <w:t> </w:t>
      </w:r>
      <w:r>
        <w:rPr/>
        <w:t>√不适用</w:t>
      </w:r>
      <w:r>
        <w:rPr>
          <w:w w:val="100"/>
        </w:rPr>
        <w:t> </w:t>
      </w:r>
      <w:r>
        <w:rPr>
          <w:spacing w:val="-2"/>
        </w:rPr>
        <w:t>关联担保情况说明</w:t>
      </w:r>
    </w:p>
    <w:p>
      <w:pPr>
        <w:pStyle w:val="BodyText"/>
        <w:spacing w:line="249" w:lineRule="exact"/>
        <w:ind w:left="218" w:right="234"/>
        <w:jc w:val="left"/>
      </w:pPr>
      <w:r>
        <w:rPr/>
        <w:t>□适用</w:t>
      </w:r>
      <w:r>
        <w:rPr>
          <w:spacing w:val="-1"/>
        </w:rPr>
        <w:t> </w:t>
      </w:r>
      <w:r>
        <w:rPr/>
        <w:t>√不适用</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7" w:footer="1217" w:top="1320" w:bottom="1400" w:left="1580" w:right="1040"/>
        </w:sectPr>
      </w:pPr>
    </w:p>
    <w:p>
      <w:pPr>
        <w:pStyle w:val="Heading5"/>
        <w:spacing w:line="240" w:lineRule="auto" w:before="36"/>
        <w:ind w:right="-18"/>
        <w:jc w:val="left"/>
        <w:rPr>
          <w:b w:val="0"/>
          <w:bCs w:val="0"/>
        </w:rPr>
      </w:pPr>
      <w:r>
        <w:rPr>
          <w:rFonts w:ascii="宋体" w:hAnsi="宋体" w:cs="宋体" w:eastAsia="宋体" w:hint="default"/>
        </w:rPr>
        <w:t>(5).</w:t>
      </w:r>
      <w:r>
        <w:rPr>
          <w:rFonts w:ascii="宋体" w:hAnsi="宋体" w:cs="宋体" w:eastAsia="宋体" w:hint="default"/>
          <w:spacing w:val="-43"/>
        </w:rPr>
        <w:t> </w:t>
      </w:r>
      <w:r>
        <w:rPr/>
        <w:t>关联方资金拆借</w:t>
      </w:r>
      <w:r>
        <w:rPr>
          <w:b w:val="0"/>
          <w:bCs w:val="0"/>
        </w:rPr>
      </w:r>
    </w:p>
    <w:p>
      <w:pPr>
        <w:pStyle w:val="BodyText"/>
        <w:spacing w:line="240" w:lineRule="auto" w:before="56"/>
        <w:ind w:left="218" w:right="-18"/>
        <w:jc w:val="left"/>
      </w:pPr>
      <w:r>
        <w:rPr/>
        <w:t>□适用</w:t>
      </w:r>
      <w:r>
        <w:rPr>
          <w:spacing w:val="-1"/>
        </w:rPr>
        <w:t> </w:t>
      </w:r>
      <w:r>
        <w:rPr/>
        <w:t>√不适用</w:t>
      </w:r>
    </w:p>
    <w:p>
      <w:pPr>
        <w:pStyle w:val="Heading5"/>
        <w:spacing w:line="240" w:lineRule="auto" w:before="58"/>
        <w:ind w:right="-18"/>
        <w:jc w:val="left"/>
        <w:rPr>
          <w:b w:val="0"/>
          <w:bCs w:val="0"/>
        </w:rPr>
      </w:pPr>
      <w:r>
        <w:rPr>
          <w:rFonts w:ascii="宋体" w:hAnsi="宋体" w:cs="宋体" w:eastAsia="宋体" w:hint="default"/>
        </w:rPr>
        <w:t>(6).</w:t>
      </w:r>
      <w:r>
        <w:rPr>
          <w:rFonts w:ascii="宋体" w:hAnsi="宋体" w:cs="宋体" w:eastAsia="宋体" w:hint="default"/>
          <w:spacing w:val="-46"/>
        </w:rPr>
        <w:t> </w:t>
      </w:r>
      <w:r>
        <w:rPr/>
        <w:t>关联方资产转让、债务重组情况</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480" w:val="left" w:leader="none"/>
        </w:tabs>
        <w:spacing w:line="240" w:lineRule="auto"/>
        <w:ind w:left="218"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580" w:right="1040"/>
          <w:cols w:num="2" w:equalWidth="0">
            <w:col w:w="3655" w:space="2655"/>
            <w:col w:w="29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61"/>
        <w:gridCol w:w="1985"/>
        <w:gridCol w:w="1417"/>
        <w:gridCol w:w="1286"/>
      </w:tblGrid>
      <w:tr>
        <w:trPr>
          <w:trHeight w:val="336"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357"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7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1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金志峰、金祖铭</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详见附注三、</w:t>
            </w:r>
            <w:r>
              <w:rPr>
                <w:rFonts w:ascii="宋体" w:hAnsi="宋体" w:cs="宋体" w:eastAsia="宋体" w:hint="default"/>
                <w:sz w:val="21"/>
                <w:szCs w:val="21"/>
              </w:rPr>
              <w:t>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1,690,000</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天津奇信志成科技有限公司等</w:t>
            </w:r>
            <w:r>
              <w:rPr>
                <w:rFonts w:ascii="宋体" w:hAnsi="宋体" w:cs="宋体" w:eastAsia="宋体" w:hint="default"/>
                <w:spacing w:val="-54"/>
                <w:sz w:val="21"/>
                <w:szCs w:val="21"/>
              </w:rPr>
              <w:t> </w:t>
            </w:r>
            <w:r>
              <w:rPr>
                <w:rFonts w:ascii="宋体" w:hAnsi="宋体" w:cs="宋体" w:eastAsia="宋体" w:hint="default"/>
                <w:sz w:val="21"/>
                <w:szCs w:val="21"/>
              </w:rPr>
              <w:t>42</w:t>
            </w:r>
            <w:r>
              <w:rPr>
                <w:rFonts w:ascii="宋体" w:hAnsi="宋体" w:cs="宋体" w:eastAsia="宋体" w:hint="default"/>
                <w:spacing w:val="-54"/>
                <w:sz w:val="21"/>
                <w:szCs w:val="21"/>
              </w:rPr>
              <w:t> </w:t>
            </w:r>
            <w:r>
              <w:rPr>
                <w:rFonts w:ascii="宋体" w:hAnsi="宋体" w:cs="宋体" w:eastAsia="宋体" w:hint="default"/>
                <w:sz w:val="21"/>
                <w:szCs w:val="21"/>
              </w:rPr>
              <w:t>名交易对方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详见附注三、</w:t>
            </w:r>
            <w:r>
              <w:rPr>
                <w:rFonts w:ascii="宋体" w:hAnsi="宋体" w:cs="宋体" w:eastAsia="宋体" w:hint="default"/>
                <w:sz w:val="21"/>
                <w:szCs w:val="21"/>
              </w:rPr>
              <w:t>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50,416,423</w:t>
            </w:r>
          </w:p>
        </w:tc>
        <w:tc>
          <w:tcPr>
            <w:tcW w:w="12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320" w:bottom="1400" w:left="1580" w:right="1040"/>
        </w:sectPr>
      </w:pPr>
    </w:p>
    <w:p>
      <w:pPr>
        <w:pStyle w:val="Heading5"/>
        <w:spacing w:line="240" w:lineRule="auto" w:before="36"/>
        <w:ind w:right="-20"/>
        <w:jc w:val="left"/>
        <w:rPr>
          <w:b w:val="0"/>
          <w:bCs w:val="0"/>
        </w:rPr>
      </w:pPr>
      <w:r>
        <w:rPr>
          <w:rFonts w:ascii="宋体" w:hAnsi="宋体" w:cs="宋体" w:eastAsia="宋体" w:hint="default"/>
        </w:rPr>
        <w:t>(7).</w:t>
      </w:r>
      <w:r>
        <w:rPr>
          <w:rFonts w:ascii="宋体" w:hAnsi="宋体" w:cs="宋体" w:eastAsia="宋体" w:hint="default"/>
          <w:spacing w:val="-42"/>
        </w:rPr>
        <w:t> </w:t>
      </w:r>
      <w:r>
        <w:rPr/>
        <w:t>关键管理人员报酬</w:t>
      </w:r>
      <w:r>
        <w:rPr>
          <w:b w:val="0"/>
          <w:bCs w:val="0"/>
        </w:rPr>
      </w:r>
    </w:p>
    <w:p>
      <w:pPr>
        <w:pStyle w:val="BodyText"/>
        <w:spacing w:line="240" w:lineRule="auto" w:before="58"/>
        <w:ind w:left="21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78" w:val="left" w:leader="none"/>
        </w:tabs>
        <w:spacing w:line="240" w:lineRule="auto"/>
        <w:ind w:left="218" w:right="0"/>
        <w:jc w:val="left"/>
      </w:pPr>
      <w:r>
        <w:rPr>
          <w:spacing w:val="-1"/>
        </w:rPr>
        <w:t>单位：千元</w:t>
        <w:tab/>
        <w:t>币种：人民币</w:t>
      </w:r>
    </w:p>
    <w:p>
      <w:pPr>
        <w:spacing w:after="0" w:line="240" w:lineRule="auto"/>
        <w:jc w:val="left"/>
        <w:sectPr>
          <w:type w:val="continuous"/>
          <w:pgSz w:w="11910" w:h="16840"/>
          <w:pgMar w:top="1320" w:bottom="1400" w:left="1580" w:right="1040"/>
          <w:cols w:num="2" w:equalWidth="0">
            <w:col w:w="2393" w:space="3918"/>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26,938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30,101</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20" w:bottom="1400" w:left="1580" w:right="1040"/>
        </w:sectPr>
      </w:pPr>
    </w:p>
    <w:p>
      <w:pPr>
        <w:pStyle w:val="Heading5"/>
        <w:spacing w:line="240" w:lineRule="auto" w:before="36"/>
        <w:ind w:right="0"/>
        <w:jc w:val="left"/>
        <w:rPr>
          <w:b w:val="0"/>
          <w:bCs w:val="0"/>
        </w:rPr>
      </w:pPr>
      <w:r>
        <w:rPr>
          <w:rFonts w:ascii="宋体" w:hAnsi="宋体" w:cs="宋体" w:eastAsia="宋体" w:hint="default"/>
        </w:rPr>
        <w:t>(8).</w:t>
      </w:r>
      <w:r>
        <w:rPr>
          <w:rFonts w:ascii="宋体" w:hAnsi="宋体" w:cs="宋体" w:eastAsia="宋体" w:hint="default"/>
          <w:spacing w:val="-43"/>
        </w:rPr>
        <w:t> </w:t>
      </w:r>
      <w:r>
        <w:rPr/>
        <w:t>其他关联交易</w:t>
      </w:r>
      <w:r>
        <w:rPr>
          <w:b w:val="0"/>
          <w:bCs w:val="0"/>
        </w:rPr>
      </w:r>
    </w:p>
    <w:p>
      <w:pPr>
        <w:pStyle w:val="BodyText"/>
        <w:tabs>
          <w:tab w:pos="1060" w:val="left" w:leader="none"/>
        </w:tabs>
        <w:spacing w:line="240" w:lineRule="auto" w:before="56"/>
        <w:ind w:left="218" w:right="2520"/>
        <w:jc w:val="left"/>
      </w:pPr>
      <w:r>
        <w:rPr>
          <w:spacing w:val="-1"/>
        </w:rPr>
        <w:t>√适用</w:t>
        <w:tab/>
      </w:r>
      <w:r>
        <w:rPr>
          <w:spacing w:val="-2"/>
        </w:rPr>
        <w:t>□不适用</w:t>
      </w:r>
      <w:r>
        <w:rPr>
          <w:spacing w:val="-99"/>
        </w:rPr>
        <w:t> </w:t>
      </w:r>
      <w:r>
        <w:rPr>
          <w:spacing w:val="-99"/>
        </w:rPr>
      </w:r>
      <w:r>
        <w:rPr>
          <w:rFonts w:ascii="宋体" w:hAnsi="宋体" w:cs="宋体" w:eastAsia="宋体" w:hint="default"/>
        </w:rPr>
        <w:t>1</w:t>
      </w:r>
      <w:r>
        <w:rPr/>
        <w:t>、知识产权授权</w:t>
      </w:r>
    </w:p>
    <w:p>
      <w:pPr>
        <w:pStyle w:val="BodyText"/>
        <w:spacing w:line="240" w:lineRule="auto" w:before="133"/>
        <w:ind w:left="638" w:right="0"/>
        <w:jc w:val="left"/>
      </w:pPr>
      <w:r>
        <w:rPr>
          <w:spacing w:val="-2"/>
        </w:rPr>
        <w:t>知识产权授权相关的关联交易主要包括：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9"/>
        <w:ind w:left="218" w:right="0"/>
        <w:jc w:val="left"/>
      </w:pPr>
      <w:r>
        <w:rPr/>
        <w:t>单位：千元</w:t>
      </w:r>
      <w:r>
        <w:rPr>
          <w:spacing w:val="-1"/>
        </w:rPr>
        <w:t> </w:t>
      </w:r>
      <w:r>
        <w:rPr/>
        <w:t>币种：人民币</w:t>
      </w:r>
    </w:p>
    <w:p>
      <w:pPr>
        <w:spacing w:after="0" w:line="240" w:lineRule="auto"/>
        <w:jc w:val="left"/>
        <w:sectPr>
          <w:type w:val="continuous"/>
          <w:pgSz w:w="11910" w:h="16840"/>
          <w:pgMar w:top="1320" w:bottom="1400" w:left="1580" w:right="1040"/>
          <w:cols w:num="2" w:equalWidth="0">
            <w:col w:w="4424" w:space="1995"/>
            <w:col w:w="2871"/>
          </w:cols>
        </w:sectPr>
      </w:pPr>
    </w:p>
    <w:p>
      <w:pPr>
        <w:spacing w:line="240" w:lineRule="auto" w:before="10"/>
        <w:rPr>
          <w:rFonts w:ascii="宋体" w:hAnsi="宋体" w:cs="宋体" w:eastAsia="宋体" w:hint="default"/>
          <w:sz w:val="12"/>
          <w:szCs w:val="12"/>
        </w:rPr>
      </w:pPr>
    </w:p>
    <w:tbl>
      <w:tblPr>
        <w:tblW w:w="0" w:type="auto"/>
        <w:jc w:val="left"/>
        <w:tblInd w:w="208" w:type="dxa"/>
        <w:tblLayout w:type="fixed"/>
        <w:tblCellMar>
          <w:top w:w="0" w:type="dxa"/>
          <w:left w:w="0" w:type="dxa"/>
          <w:bottom w:w="0" w:type="dxa"/>
          <w:right w:w="0" w:type="dxa"/>
        </w:tblCellMar>
        <w:tblLook w:val="01E0"/>
      </w:tblPr>
      <w:tblGrid>
        <w:gridCol w:w="1985"/>
        <w:gridCol w:w="1985"/>
        <w:gridCol w:w="1844"/>
        <w:gridCol w:w="1700"/>
        <w:gridCol w:w="1418"/>
      </w:tblGrid>
      <w:tr>
        <w:trPr>
          <w:trHeight w:val="312" w:hRule="exact"/>
        </w:trPr>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561" w:right="0"/>
              <w:jc w:val="left"/>
              <w:rPr>
                <w:rFonts w:ascii="宋体" w:hAnsi="宋体" w:cs="宋体" w:eastAsia="宋体" w:hint="default"/>
                <w:sz w:val="21"/>
                <w:szCs w:val="21"/>
              </w:rPr>
            </w:pPr>
            <w:r>
              <w:rPr>
                <w:rFonts w:ascii="宋体" w:hAnsi="宋体" w:cs="宋体" w:eastAsia="宋体" w:hint="default"/>
                <w:sz w:val="21"/>
                <w:szCs w:val="21"/>
              </w:rPr>
              <w:t>被授权方</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授权方</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278" w:right="0"/>
              <w:jc w:val="left"/>
              <w:rPr>
                <w:rFonts w:ascii="宋体" w:hAnsi="宋体" w:cs="宋体" w:eastAsia="宋体" w:hint="default"/>
                <w:sz w:val="21"/>
                <w:szCs w:val="21"/>
              </w:rPr>
            </w:pPr>
            <w:r>
              <w:rPr>
                <w:rFonts w:ascii="宋体" w:hAnsi="宋体" w:cs="宋体" w:eastAsia="宋体" w:hint="default"/>
                <w:sz w:val="21"/>
                <w:szCs w:val="21"/>
              </w:rPr>
              <w:t>授权知识产权</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授权期限</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278" w:right="0"/>
              <w:jc w:val="left"/>
              <w:rPr>
                <w:rFonts w:ascii="宋体" w:hAnsi="宋体" w:cs="宋体" w:eastAsia="宋体" w:hint="default"/>
                <w:sz w:val="21"/>
                <w:szCs w:val="21"/>
              </w:rPr>
            </w:pPr>
            <w:r>
              <w:rPr>
                <w:rFonts w:ascii="宋体" w:hAnsi="宋体" w:cs="宋体" w:eastAsia="宋体" w:hint="default"/>
                <w:sz w:val="21"/>
                <w:szCs w:val="21"/>
              </w:rPr>
              <w:t>授权费用</w:t>
            </w:r>
          </w:p>
        </w:tc>
      </w:tr>
      <w:tr>
        <w:trPr>
          <w:trHeight w:val="2053" w:hRule="exact"/>
        </w:trPr>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both"/>
              <w:rPr>
                <w:rFonts w:ascii="宋体" w:hAnsi="宋体" w:cs="宋体" w:eastAsia="宋体" w:hint="default"/>
                <w:sz w:val="21"/>
                <w:szCs w:val="21"/>
              </w:rPr>
            </w:pPr>
            <w:r>
              <w:rPr>
                <w:rFonts w:ascii="宋体" w:hAnsi="宋体" w:cs="宋体" w:eastAsia="宋体" w:hint="default"/>
                <w:spacing w:val="8"/>
                <w:sz w:val="21"/>
                <w:szCs w:val="21"/>
              </w:rPr>
              <w:t>齐向东现在及未来</w:t>
            </w:r>
          </w:p>
          <w:p>
            <w:pPr>
              <w:pStyle w:val="TableParagraph"/>
              <w:spacing w:line="254" w:lineRule="auto" w:before="15"/>
              <w:ind w:left="98" w:right="95"/>
              <w:jc w:val="both"/>
              <w:rPr>
                <w:rFonts w:ascii="宋体" w:hAnsi="宋体" w:cs="宋体" w:eastAsia="宋体" w:hint="default"/>
                <w:sz w:val="21"/>
                <w:szCs w:val="21"/>
              </w:rPr>
            </w:pPr>
            <w:r>
              <w:rPr>
                <w:rFonts w:ascii="宋体" w:hAnsi="宋体" w:cs="宋体" w:eastAsia="宋体" w:hint="default"/>
                <w:spacing w:val="8"/>
                <w:sz w:val="21"/>
                <w:szCs w:val="21"/>
              </w:rPr>
              <w:t>实际控制的包括北</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京奇安信科技有限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公司及其直接或间</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6"/>
                <w:sz w:val="21"/>
                <w:szCs w:val="21"/>
              </w:rPr>
              <w:t>接控制的</w:t>
            </w:r>
            <w:r>
              <w:rPr>
                <w:rFonts w:ascii="宋体" w:hAnsi="宋体" w:cs="宋体" w:eastAsia="宋体" w:hint="default"/>
                <w:spacing w:val="36"/>
                <w:sz w:val="21"/>
                <w:szCs w:val="21"/>
              </w:rPr>
              <w:t> </w:t>
            </w:r>
            <w:r>
              <w:rPr>
                <w:rFonts w:ascii="宋体" w:hAnsi="宋体" w:cs="宋体" w:eastAsia="宋体" w:hint="default"/>
                <w:spacing w:val="6"/>
                <w:sz w:val="21"/>
                <w:szCs w:val="21"/>
              </w:rPr>
              <w:t>公司</w:t>
            </w:r>
            <w:r>
              <w:rPr>
                <w:rFonts w:ascii="宋体" w:hAnsi="宋体" w:cs="宋体" w:eastAsia="宋体" w:hint="default"/>
                <w:spacing w:val="6"/>
                <w:sz w:val="21"/>
                <w:szCs w:val="21"/>
              </w:rPr>
              <w:t>(</w:t>
            </w:r>
            <w:r>
              <w:rPr>
                <w:rFonts w:ascii="宋体" w:hAnsi="宋体" w:cs="宋体" w:eastAsia="宋体" w:hint="default"/>
                <w:spacing w:val="6"/>
                <w:sz w:val="21"/>
                <w:szCs w:val="21"/>
              </w:rPr>
              <w:t>以</w:t>
            </w:r>
            <w:r>
              <w:rPr>
                <w:rFonts w:ascii="宋体" w:hAnsi="宋体" w:cs="宋体" w:eastAsia="宋体" w:hint="default"/>
                <w:spacing w:val="-102"/>
                <w:sz w:val="21"/>
                <w:szCs w:val="21"/>
              </w:rPr>
              <w:t> </w:t>
            </w:r>
            <w:r>
              <w:rPr>
                <w:rFonts w:ascii="宋体" w:hAnsi="宋体" w:cs="宋体" w:eastAsia="宋体" w:hint="default"/>
                <w:sz w:val="21"/>
                <w:szCs w:val="21"/>
              </w:rPr>
              <w:t>下</w:t>
            </w:r>
            <w:r>
              <w:rPr>
                <w:rFonts w:ascii="宋体" w:hAnsi="宋体" w:cs="宋体" w:eastAsia="宋体" w:hint="default"/>
                <w:spacing w:val="-54"/>
                <w:sz w:val="21"/>
                <w:szCs w:val="21"/>
              </w:rPr>
              <w:t> </w:t>
            </w:r>
            <w:r>
              <w:rPr>
                <w:rFonts w:ascii="宋体" w:hAnsi="宋体" w:cs="宋体" w:eastAsia="宋体" w:hint="default"/>
                <w:sz w:val="21"/>
                <w:szCs w:val="21"/>
              </w:rPr>
              <w:t>简</w:t>
            </w:r>
            <w:r>
              <w:rPr>
                <w:rFonts w:ascii="宋体" w:hAnsi="宋体" w:cs="宋体" w:eastAsia="宋体" w:hint="default"/>
                <w:spacing w:val="-57"/>
                <w:sz w:val="21"/>
                <w:szCs w:val="21"/>
              </w:rPr>
              <w:t> </w:t>
            </w:r>
            <w:r>
              <w:rPr>
                <w:rFonts w:ascii="宋体" w:hAnsi="宋体" w:cs="宋体" w:eastAsia="宋体" w:hint="default"/>
                <w:sz w:val="21"/>
                <w:szCs w:val="21"/>
              </w:rPr>
              <w:t>称</w:t>
            </w:r>
            <w:r>
              <w:rPr>
                <w:rFonts w:ascii="宋体" w:hAnsi="宋体" w:cs="宋体" w:eastAsia="宋体" w:hint="default"/>
                <w:spacing w:val="-56"/>
                <w:sz w:val="21"/>
                <w:szCs w:val="21"/>
              </w:rPr>
              <w:t> </w:t>
            </w:r>
            <w:r>
              <w:rPr>
                <w:rFonts w:ascii="宋体" w:hAnsi="宋体" w:cs="宋体" w:eastAsia="宋体" w:hint="default"/>
                <w:sz w:val="21"/>
                <w:szCs w:val="21"/>
              </w:rPr>
              <w:t>“</w:t>
            </w:r>
            <w:r>
              <w:rPr>
                <w:rFonts w:ascii="宋体" w:hAnsi="宋体" w:cs="宋体" w:eastAsia="宋体" w:hint="default"/>
                <w:spacing w:val="-56"/>
                <w:sz w:val="21"/>
                <w:szCs w:val="21"/>
              </w:rPr>
              <w:t> </w:t>
            </w:r>
            <w:r>
              <w:rPr>
                <w:rFonts w:ascii="宋体" w:hAnsi="宋体" w:cs="宋体" w:eastAsia="宋体" w:hint="default"/>
                <w:sz w:val="21"/>
                <w:szCs w:val="21"/>
              </w:rPr>
              <w:t>乙</w:t>
            </w:r>
            <w:r>
              <w:rPr>
                <w:rFonts w:ascii="宋体" w:hAnsi="宋体" w:cs="宋体" w:eastAsia="宋体" w:hint="default"/>
                <w:spacing w:val="-54"/>
                <w:sz w:val="21"/>
                <w:szCs w:val="21"/>
              </w:rPr>
              <w:t> </w:t>
            </w:r>
            <w:r>
              <w:rPr>
                <w:rFonts w:ascii="宋体" w:hAnsi="宋体" w:cs="宋体" w:eastAsia="宋体" w:hint="default"/>
                <w:sz w:val="21"/>
                <w:szCs w:val="21"/>
              </w:rPr>
              <w:t>方</w:t>
            </w:r>
            <w:r>
              <w:rPr>
                <w:rFonts w:ascii="宋体" w:hAnsi="宋体" w:cs="宋体" w:eastAsia="宋体" w:hint="default"/>
                <w:spacing w:val="-57"/>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团”)</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54" w:lineRule="auto" w:before="112"/>
              <w:ind w:left="98" w:right="95"/>
              <w:jc w:val="both"/>
              <w:rPr>
                <w:rFonts w:ascii="宋体" w:hAnsi="宋体" w:cs="宋体" w:eastAsia="宋体" w:hint="default"/>
                <w:sz w:val="21"/>
                <w:szCs w:val="21"/>
              </w:rPr>
            </w:pPr>
            <w:r>
              <w:rPr>
                <w:rFonts w:ascii="宋体" w:hAnsi="宋体" w:cs="宋体" w:eastAsia="宋体" w:hint="default"/>
                <w:spacing w:val="8"/>
                <w:sz w:val="21"/>
                <w:szCs w:val="21"/>
              </w:rPr>
              <w:t>周鸿祎现在及未来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实际控制的本公司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以及直接或间接控</w:t>
            </w:r>
          </w:p>
          <w:p>
            <w:pPr>
              <w:pStyle w:val="TableParagraph"/>
              <w:spacing w:line="254" w:lineRule="auto" w:before="3"/>
              <w:ind w:left="98" w:right="71"/>
              <w:jc w:val="both"/>
              <w:rPr>
                <w:rFonts w:ascii="宋体" w:hAnsi="宋体" w:cs="宋体" w:eastAsia="宋体" w:hint="default"/>
                <w:sz w:val="21"/>
                <w:szCs w:val="21"/>
              </w:rPr>
            </w:pPr>
            <w:r>
              <w:rPr>
                <w:rFonts w:ascii="宋体" w:hAnsi="宋体" w:cs="宋体" w:eastAsia="宋体" w:hint="default"/>
                <w:spacing w:val="20"/>
                <w:sz w:val="21"/>
                <w:szCs w:val="21"/>
              </w:rPr>
              <w:t>股的子公司</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pacing w:val="12"/>
                <w:sz w:val="21"/>
                <w:szCs w:val="21"/>
              </w:rPr>
              <w:t>以下</w:t>
            </w:r>
            <w:r>
              <w:rPr>
                <w:rFonts w:ascii="宋体" w:hAnsi="宋体" w:cs="宋体" w:eastAsia="宋体" w:hint="default"/>
                <w:spacing w:val="-98"/>
                <w:sz w:val="21"/>
                <w:szCs w:val="21"/>
              </w:rPr>
              <w:t> </w:t>
            </w:r>
            <w:r>
              <w:rPr>
                <w:rFonts w:ascii="宋体" w:hAnsi="宋体" w:cs="宋体" w:eastAsia="宋体" w:hint="default"/>
                <w:sz w:val="21"/>
                <w:szCs w:val="21"/>
              </w:rPr>
              <w:t>简 称 “ 甲 方</w:t>
            </w:r>
            <w:r>
              <w:rPr>
                <w:rFonts w:ascii="宋体" w:hAnsi="宋体" w:cs="宋体" w:eastAsia="宋体" w:hint="default"/>
                <w:spacing w:val="-19"/>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团”)</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54" w:lineRule="auto" w:before="112"/>
              <w:ind w:left="96" w:right="43"/>
              <w:jc w:val="both"/>
              <w:rPr>
                <w:rFonts w:ascii="宋体" w:hAnsi="宋体" w:cs="宋体" w:eastAsia="宋体" w:hint="default"/>
                <w:sz w:val="21"/>
                <w:szCs w:val="21"/>
              </w:rPr>
            </w:pPr>
            <w:r>
              <w:rPr>
                <w:rFonts w:ascii="宋体" w:hAnsi="宋体" w:cs="宋体" w:eastAsia="宋体" w:hint="default"/>
                <w:sz w:val="21"/>
                <w:szCs w:val="21"/>
              </w:rPr>
              <w:t>135</w:t>
            </w:r>
            <w:r>
              <w:rPr>
                <w:rFonts w:ascii="宋体" w:hAnsi="宋体" w:cs="宋体" w:eastAsia="宋体" w:hint="default"/>
                <w:spacing w:val="-54"/>
                <w:sz w:val="21"/>
                <w:szCs w:val="21"/>
              </w:rPr>
              <w:t> </w:t>
            </w:r>
            <w:r>
              <w:rPr>
                <w:rFonts w:ascii="宋体" w:hAnsi="宋体" w:cs="宋体" w:eastAsia="宋体" w:hint="default"/>
                <w:sz w:val="21"/>
                <w:szCs w:val="21"/>
              </w:rPr>
              <w:t>项商标以及后</w:t>
            </w:r>
            <w:r>
              <w:rPr>
                <w:rFonts w:ascii="宋体" w:hAnsi="宋体" w:cs="宋体" w:eastAsia="宋体" w:hint="default"/>
                <w:w w:val="100"/>
                <w:sz w:val="21"/>
                <w:szCs w:val="21"/>
              </w:rPr>
              <w:t> </w:t>
            </w:r>
            <w:r>
              <w:rPr>
                <w:rFonts w:ascii="宋体" w:hAnsi="宋体" w:cs="宋体" w:eastAsia="宋体" w:hint="default"/>
                <w:sz w:val="21"/>
                <w:szCs w:val="21"/>
              </w:rPr>
              <w:t>续</w:t>
            </w:r>
            <w:r>
              <w:rPr>
                <w:rFonts w:ascii="宋体" w:hAnsi="宋体" w:cs="宋体" w:eastAsia="宋体" w:hint="default"/>
                <w:spacing w:val="-77"/>
                <w:sz w:val="21"/>
                <w:szCs w:val="21"/>
              </w:rPr>
              <w:t> </w:t>
            </w:r>
            <w:r>
              <w:rPr>
                <w:rFonts w:ascii="宋体" w:hAnsi="宋体" w:cs="宋体" w:eastAsia="宋体" w:hint="default"/>
                <w:spacing w:val="11"/>
                <w:sz w:val="21"/>
                <w:szCs w:val="21"/>
              </w:rPr>
              <w:t>取得</w:t>
            </w:r>
            <w:r>
              <w:rPr>
                <w:rFonts w:ascii="宋体" w:hAnsi="宋体" w:cs="宋体" w:eastAsia="宋体" w:hint="default"/>
                <w:spacing w:val="-77"/>
                <w:sz w:val="21"/>
                <w:szCs w:val="21"/>
              </w:rPr>
              <w:t> </w:t>
            </w:r>
            <w:r>
              <w:rPr>
                <w:rFonts w:ascii="宋体" w:hAnsi="宋体" w:cs="宋体" w:eastAsia="宋体" w:hint="default"/>
                <w:spacing w:val="14"/>
                <w:sz w:val="21"/>
                <w:szCs w:val="21"/>
              </w:rPr>
              <w:t>且根据</w:t>
            </w:r>
            <w:r>
              <w:rPr>
                <w:rFonts w:ascii="宋体" w:hAnsi="宋体" w:cs="宋体" w:eastAsia="宋体" w:hint="default"/>
                <w:spacing w:val="-77"/>
                <w:sz w:val="21"/>
                <w:szCs w:val="21"/>
              </w:rPr>
              <w:t> </w:t>
            </w:r>
            <w:r>
              <w:rPr>
                <w:rFonts w:ascii="宋体" w:hAnsi="宋体" w:cs="宋体" w:eastAsia="宋体" w:hint="default"/>
                <w:sz w:val="21"/>
                <w:szCs w:val="21"/>
              </w:rPr>
              <w:t>协</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议应许可的商标、</w:t>
            </w:r>
            <w:r>
              <w:rPr>
                <w:rFonts w:ascii="宋体" w:hAnsi="宋体" w:cs="宋体" w:eastAsia="宋体" w:hint="default"/>
                <w:w w:val="100"/>
                <w:sz w:val="21"/>
                <w:szCs w:val="21"/>
              </w:rPr>
              <w:t> </w:t>
            </w:r>
            <w:r>
              <w:rPr>
                <w:rFonts w:ascii="宋体" w:hAnsi="宋体" w:cs="宋体" w:eastAsia="宋体" w:hint="default"/>
                <w:sz w:val="21"/>
                <w:szCs w:val="21"/>
              </w:rPr>
              <w:t>自</w:t>
            </w:r>
            <w:r>
              <w:rPr>
                <w:rFonts w:ascii="宋体" w:hAnsi="宋体" w:cs="宋体" w:eastAsia="宋体" w:hint="default"/>
                <w:spacing w:val="-77"/>
                <w:sz w:val="21"/>
                <w:szCs w:val="21"/>
              </w:rPr>
              <w:t> </w:t>
            </w:r>
            <w:r>
              <w:rPr>
                <w:rFonts w:ascii="宋体" w:hAnsi="宋体" w:cs="宋体" w:eastAsia="宋体" w:hint="default"/>
                <w:spacing w:val="11"/>
                <w:sz w:val="21"/>
                <w:szCs w:val="21"/>
              </w:rPr>
              <w:t>身拥</w:t>
            </w:r>
            <w:r>
              <w:rPr>
                <w:rFonts w:ascii="宋体" w:hAnsi="宋体" w:cs="宋体" w:eastAsia="宋体" w:hint="default"/>
                <w:spacing w:val="-77"/>
                <w:sz w:val="21"/>
                <w:szCs w:val="21"/>
              </w:rPr>
              <w:t> </w:t>
            </w:r>
            <w:r>
              <w:rPr>
                <w:rFonts w:ascii="宋体" w:hAnsi="宋体" w:cs="宋体" w:eastAsia="宋体" w:hint="default"/>
                <w:spacing w:val="14"/>
                <w:sz w:val="21"/>
                <w:szCs w:val="21"/>
              </w:rPr>
              <w:t>有自主</w:t>
            </w:r>
            <w:r>
              <w:rPr>
                <w:rFonts w:ascii="宋体" w:hAnsi="宋体" w:cs="宋体" w:eastAsia="宋体" w:hint="default"/>
                <w:spacing w:val="-77"/>
                <w:sz w:val="21"/>
                <w:szCs w:val="21"/>
              </w:rPr>
              <w:t> </w:t>
            </w:r>
            <w:r>
              <w:rPr>
                <w:rFonts w:ascii="宋体" w:hAnsi="宋体" w:cs="宋体" w:eastAsia="宋体" w:hint="default"/>
                <w:sz w:val="21"/>
                <w:szCs w:val="21"/>
              </w:rPr>
              <w:t>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权</w:t>
            </w:r>
            <w:r>
              <w:rPr>
                <w:rFonts w:ascii="宋体" w:hAnsi="宋体" w:cs="宋体" w:eastAsia="宋体" w:hint="default"/>
                <w:spacing w:val="-77"/>
                <w:sz w:val="21"/>
                <w:szCs w:val="21"/>
              </w:rPr>
              <w:t> </w:t>
            </w:r>
            <w:r>
              <w:rPr>
                <w:rFonts w:ascii="宋体" w:hAnsi="宋体" w:cs="宋体" w:eastAsia="宋体" w:hint="default"/>
                <w:spacing w:val="11"/>
                <w:sz w:val="21"/>
                <w:szCs w:val="21"/>
              </w:rPr>
              <w:t>的与</w:t>
            </w:r>
            <w:r>
              <w:rPr>
                <w:rFonts w:ascii="宋体" w:hAnsi="宋体" w:cs="宋体" w:eastAsia="宋体" w:hint="default"/>
                <w:spacing w:val="-77"/>
                <w:sz w:val="21"/>
                <w:szCs w:val="21"/>
              </w:rPr>
              <w:t> </w:t>
            </w:r>
            <w:r>
              <w:rPr>
                <w:rFonts w:ascii="宋体" w:hAnsi="宋体" w:cs="宋体" w:eastAsia="宋体" w:hint="default"/>
                <w:spacing w:val="14"/>
                <w:sz w:val="21"/>
                <w:szCs w:val="21"/>
              </w:rPr>
              <w:t>安全相</w:t>
            </w:r>
            <w:r>
              <w:rPr>
                <w:rFonts w:ascii="宋体" w:hAnsi="宋体" w:cs="宋体" w:eastAsia="宋体" w:hint="default"/>
                <w:spacing w:val="-77"/>
                <w:sz w:val="21"/>
                <w:szCs w:val="21"/>
              </w:rPr>
              <w:t> </w:t>
            </w:r>
            <w:r>
              <w:rPr>
                <w:rFonts w:ascii="宋体" w:hAnsi="宋体" w:cs="宋体" w:eastAsia="宋体" w:hint="default"/>
                <w:sz w:val="21"/>
                <w:szCs w:val="21"/>
              </w:rPr>
              <w:t>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的被许可技术</w:t>
            </w:r>
          </w:p>
        </w:tc>
        <w:tc>
          <w:tcPr>
            <w:tcW w:w="170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54" w:lineRule="auto"/>
              <w:ind w:left="96" w:right="95"/>
              <w:jc w:val="both"/>
              <w:rPr>
                <w:rFonts w:ascii="宋体" w:hAnsi="宋体" w:cs="宋体" w:eastAsia="宋体" w:hint="default"/>
                <w:sz w:val="21"/>
                <w:szCs w:val="21"/>
              </w:rPr>
            </w:pPr>
            <w:r>
              <w:rPr>
                <w:rFonts w:ascii="宋体" w:hAnsi="宋体" w:cs="宋体" w:eastAsia="宋体" w:hint="default"/>
                <w:sz w:val="21"/>
                <w:szCs w:val="21"/>
              </w:rPr>
              <w:t>在甲方集团直接</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或间接持有任何</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乙方集团的股权</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或权益的期间内</w:t>
            </w:r>
          </w:p>
        </w:tc>
        <w:tc>
          <w:tcPr>
            <w:tcW w:w="1418"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98" w:right="0"/>
              <w:jc w:val="left"/>
              <w:rPr>
                <w:rFonts w:ascii="宋体" w:hAnsi="宋体" w:cs="宋体" w:eastAsia="宋体" w:hint="default"/>
                <w:sz w:val="21"/>
                <w:szCs w:val="21"/>
              </w:rPr>
            </w:pPr>
            <w:r>
              <w:rPr>
                <w:rFonts w:ascii="宋体" w:hAnsi="宋体" w:cs="宋体" w:eastAsia="宋体" w:hint="default"/>
                <w:sz w:val="21"/>
                <w:szCs w:val="21"/>
              </w:rPr>
              <w:t>免费授权</w:t>
            </w:r>
          </w:p>
        </w:tc>
      </w:tr>
      <w:tr>
        <w:trPr>
          <w:trHeight w:val="1764" w:hRule="exact"/>
        </w:trPr>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left="98" w:right="0"/>
              <w:jc w:val="left"/>
              <w:rPr>
                <w:rFonts w:ascii="宋体" w:hAnsi="宋体" w:cs="宋体" w:eastAsia="宋体" w:hint="default"/>
                <w:sz w:val="21"/>
                <w:szCs w:val="21"/>
              </w:rPr>
            </w:pPr>
            <w:r>
              <w:rPr>
                <w:rFonts w:ascii="宋体" w:hAnsi="宋体" w:cs="宋体" w:eastAsia="宋体" w:hint="default"/>
                <w:sz w:val="21"/>
                <w:szCs w:val="21"/>
              </w:rPr>
              <w:t>甲方集团</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left="98" w:right="0"/>
              <w:jc w:val="left"/>
              <w:rPr>
                <w:rFonts w:ascii="宋体" w:hAnsi="宋体" w:cs="宋体" w:eastAsia="宋体" w:hint="default"/>
                <w:sz w:val="21"/>
                <w:szCs w:val="21"/>
              </w:rPr>
            </w:pPr>
            <w:r>
              <w:rPr>
                <w:rFonts w:ascii="宋体" w:hAnsi="宋体" w:cs="宋体" w:eastAsia="宋体" w:hint="default"/>
                <w:sz w:val="21"/>
                <w:szCs w:val="21"/>
              </w:rPr>
              <w:t>乙方集团</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6" w:right="0"/>
              <w:jc w:val="both"/>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项商标以及后续</w:t>
            </w:r>
          </w:p>
          <w:p>
            <w:pPr>
              <w:pStyle w:val="TableParagraph"/>
              <w:spacing w:line="254" w:lineRule="auto" w:before="15"/>
              <w:ind w:left="96" w:right="96"/>
              <w:jc w:val="both"/>
              <w:rPr>
                <w:rFonts w:ascii="宋体" w:hAnsi="宋体" w:cs="宋体" w:eastAsia="宋体" w:hint="default"/>
                <w:sz w:val="21"/>
                <w:szCs w:val="21"/>
              </w:rPr>
            </w:pPr>
            <w:r>
              <w:rPr>
                <w:rFonts w:ascii="宋体" w:hAnsi="宋体" w:cs="宋体" w:eastAsia="宋体" w:hint="default"/>
                <w:sz w:val="21"/>
                <w:szCs w:val="21"/>
              </w:rPr>
              <w:t>取</w:t>
            </w:r>
            <w:r>
              <w:rPr>
                <w:rFonts w:ascii="宋体" w:hAnsi="宋体" w:cs="宋体" w:eastAsia="宋体" w:hint="default"/>
                <w:spacing w:val="-76"/>
                <w:sz w:val="21"/>
                <w:szCs w:val="21"/>
              </w:rPr>
              <w:t> </w:t>
            </w:r>
            <w:r>
              <w:rPr>
                <w:rFonts w:ascii="宋体" w:hAnsi="宋体" w:cs="宋体" w:eastAsia="宋体" w:hint="default"/>
                <w:spacing w:val="11"/>
                <w:sz w:val="21"/>
                <w:szCs w:val="21"/>
              </w:rPr>
              <w:t>得且</w:t>
            </w:r>
            <w:r>
              <w:rPr>
                <w:rFonts w:ascii="宋体" w:hAnsi="宋体" w:cs="宋体" w:eastAsia="宋体" w:hint="default"/>
                <w:spacing w:val="-76"/>
                <w:sz w:val="21"/>
                <w:szCs w:val="21"/>
              </w:rPr>
              <w:t> </w:t>
            </w:r>
            <w:r>
              <w:rPr>
                <w:rFonts w:ascii="宋体" w:hAnsi="宋体" w:cs="宋体" w:eastAsia="宋体" w:hint="default"/>
                <w:spacing w:val="14"/>
                <w:sz w:val="21"/>
                <w:szCs w:val="21"/>
              </w:rPr>
              <w:t>根据协</w:t>
            </w:r>
            <w:r>
              <w:rPr>
                <w:rFonts w:ascii="宋体" w:hAnsi="宋体" w:cs="宋体" w:eastAsia="宋体" w:hint="default"/>
                <w:spacing w:val="-76"/>
                <w:sz w:val="21"/>
                <w:szCs w:val="21"/>
              </w:rPr>
              <w:t> </w:t>
            </w:r>
            <w:r>
              <w:rPr>
                <w:rFonts w:ascii="宋体" w:hAnsi="宋体" w:cs="宋体" w:eastAsia="宋体" w:hint="default"/>
                <w:sz w:val="21"/>
                <w:szCs w:val="21"/>
              </w:rPr>
              <w:t>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应许可的商标、自</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身</w:t>
            </w:r>
            <w:r>
              <w:rPr>
                <w:rFonts w:ascii="宋体" w:hAnsi="宋体" w:cs="宋体" w:eastAsia="宋体" w:hint="default"/>
                <w:spacing w:val="-76"/>
                <w:sz w:val="21"/>
                <w:szCs w:val="21"/>
              </w:rPr>
              <w:t> </w:t>
            </w:r>
            <w:r>
              <w:rPr>
                <w:rFonts w:ascii="宋体" w:hAnsi="宋体" w:cs="宋体" w:eastAsia="宋体" w:hint="default"/>
                <w:spacing w:val="11"/>
                <w:sz w:val="21"/>
                <w:szCs w:val="21"/>
              </w:rPr>
              <w:t>拥有</w:t>
            </w:r>
            <w:r>
              <w:rPr>
                <w:rFonts w:ascii="宋体" w:hAnsi="宋体" w:cs="宋体" w:eastAsia="宋体" w:hint="default"/>
                <w:spacing w:val="-76"/>
                <w:sz w:val="21"/>
                <w:szCs w:val="21"/>
              </w:rPr>
              <w:t> </w:t>
            </w:r>
            <w:r>
              <w:rPr>
                <w:rFonts w:ascii="宋体" w:hAnsi="宋体" w:cs="宋体" w:eastAsia="宋体" w:hint="default"/>
                <w:spacing w:val="14"/>
                <w:sz w:val="21"/>
                <w:szCs w:val="21"/>
              </w:rPr>
              <w:t>自主产</w:t>
            </w:r>
            <w:r>
              <w:rPr>
                <w:rFonts w:ascii="宋体" w:hAnsi="宋体" w:cs="宋体" w:eastAsia="宋体" w:hint="default"/>
                <w:spacing w:val="-76"/>
                <w:sz w:val="21"/>
                <w:szCs w:val="21"/>
              </w:rPr>
              <w:t> </w:t>
            </w:r>
            <w:r>
              <w:rPr>
                <w:rFonts w:ascii="宋体" w:hAnsi="宋体" w:cs="宋体" w:eastAsia="宋体" w:hint="default"/>
                <w:sz w:val="21"/>
                <w:szCs w:val="21"/>
              </w:rPr>
              <w:t>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pacing w:val="11"/>
                <w:sz w:val="21"/>
                <w:szCs w:val="21"/>
              </w:rPr>
              <w:t>与安</w:t>
            </w:r>
            <w:r>
              <w:rPr>
                <w:rFonts w:ascii="宋体" w:hAnsi="宋体" w:cs="宋体" w:eastAsia="宋体" w:hint="default"/>
                <w:spacing w:val="-76"/>
                <w:sz w:val="21"/>
                <w:szCs w:val="21"/>
              </w:rPr>
              <w:t> </w:t>
            </w:r>
            <w:r>
              <w:rPr>
                <w:rFonts w:ascii="宋体" w:hAnsi="宋体" w:cs="宋体" w:eastAsia="宋体" w:hint="default"/>
                <w:spacing w:val="14"/>
                <w:sz w:val="21"/>
                <w:szCs w:val="21"/>
              </w:rPr>
              <w:t>全相关</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被许可技术</w:t>
            </w:r>
          </w:p>
        </w:tc>
        <w:tc>
          <w:tcPr>
            <w:tcW w:w="1700" w:type="dxa"/>
            <w:vMerge/>
            <w:tcBorders>
              <w:left w:val="single" w:sz="8" w:space="0" w:color="000000"/>
              <w:bottom w:val="single" w:sz="8" w:space="0" w:color="000000"/>
              <w:right w:val="single" w:sz="8" w:space="0" w:color="000000"/>
            </w:tcBorders>
          </w:tcPr>
          <w:p>
            <w:pPr/>
          </w:p>
        </w:tc>
        <w:tc>
          <w:tcPr>
            <w:tcW w:w="1418" w:type="dxa"/>
            <w:vMerge/>
            <w:tcBorders>
              <w:left w:val="single" w:sz="8" w:space="0" w:color="000000"/>
              <w:bottom w:val="single" w:sz="8" w:space="0" w:color="000000"/>
              <w:right w:val="single" w:sz="8" w:space="0" w:color="000000"/>
            </w:tcBorders>
          </w:tcPr>
          <w:p>
            <w:pPr/>
          </w:p>
        </w:tc>
      </w:tr>
      <w:tr>
        <w:trPr>
          <w:trHeight w:val="1764" w:hRule="exact"/>
        </w:trPr>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54" w:lineRule="auto" w:before="112"/>
              <w:ind w:left="98" w:right="95"/>
              <w:jc w:val="both"/>
              <w:rPr>
                <w:rFonts w:ascii="宋体" w:hAnsi="宋体" w:cs="宋体" w:eastAsia="宋体" w:hint="default"/>
                <w:sz w:val="21"/>
                <w:szCs w:val="21"/>
              </w:rPr>
            </w:pPr>
            <w:r>
              <w:rPr>
                <w:rFonts w:ascii="宋体" w:hAnsi="宋体" w:cs="宋体" w:eastAsia="宋体" w:hint="default"/>
                <w:spacing w:val="8"/>
                <w:sz w:val="21"/>
                <w:szCs w:val="21"/>
              </w:rPr>
              <w:t>北京奇步天下科技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有限公司及其控制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的从事互联网金融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服务业务的任何子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54" w:lineRule="auto"/>
              <w:ind w:left="98" w:right="95"/>
              <w:jc w:val="left"/>
              <w:rPr>
                <w:rFonts w:ascii="宋体" w:hAnsi="宋体" w:cs="宋体" w:eastAsia="宋体" w:hint="default"/>
                <w:sz w:val="21"/>
                <w:szCs w:val="21"/>
              </w:rPr>
            </w:pPr>
            <w:r>
              <w:rPr>
                <w:rFonts w:ascii="宋体" w:hAnsi="宋体" w:cs="宋体" w:eastAsia="宋体" w:hint="default"/>
                <w:spacing w:val="8"/>
                <w:sz w:val="21"/>
                <w:szCs w:val="21"/>
              </w:rPr>
              <w:t>北京奇虎科技有限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left="96"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项注册商标</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54" w:lineRule="auto"/>
              <w:ind w:left="96" w:right="95"/>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5</w:t>
            </w:r>
            <w:r>
              <w:rPr>
                <w:rFonts w:ascii="宋体" w:hAnsi="宋体" w:cs="宋体" w:eastAsia="宋体" w:hint="default"/>
                <w:spacing w:val="-58"/>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起三年</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11"/>
                <w:sz w:val="21"/>
                <w:szCs w:val="21"/>
              </w:rPr>
              <w:t>许可费用：人</w:t>
            </w:r>
          </w:p>
          <w:p>
            <w:pPr>
              <w:pStyle w:val="TableParagraph"/>
              <w:spacing w:line="254" w:lineRule="auto" w:before="15"/>
              <w:ind w:left="98" w:right="36"/>
              <w:jc w:val="left"/>
              <w:rPr>
                <w:rFonts w:ascii="宋体" w:hAnsi="宋体" w:cs="宋体" w:eastAsia="宋体" w:hint="default"/>
                <w:sz w:val="21"/>
                <w:szCs w:val="21"/>
              </w:rPr>
            </w:pPr>
            <w:r>
              <w:rPr>
                <w:rFonts w:ascii="宋体" w:hAnsi="宋体" w:cs="宋体" w:eastAsia="宋体" w:hint="default"/>
                <w:sz w:val="21"/>
                <w:szCs w:val="21"/>
              </w:rPr>
              <w:t>民币</w:t>
            </w:r>
            <w:r>
              <w:rPr>
                <w:rFonts w:ascii="宋体" w:hAnsi="宋体" w:cs="宋体" w:eastAsia="宋体" w:hint="default"/>
                <w:spacing w:val="-53"/>
                <w:sz w:val="21"/>
                <w:szCs w:val="21"/>
              </w:rPr>
              <w:t> </w:t>
            </w:r>
            <w:r>
              <w:rPr>
                <w:rFonts w:ascii="宋体" w:hAnsi="宋体" w:cs="宋体" w:eastAsia="宋体" w:hint="default"/>
                <w:sz w:val="21"/>
                <w:szCs w:val="21"/>
              </w:rPr>
              <w:t>2,000/</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风险管理费：</w:t>
            </w:r>
            <w:r>
              <w:rPr>
                <w:rFonts w:ascii="宋体" w:hAnsi="宋体" w:cs="宋体" w:eastAsia="宋体" w:hint="default"/>
                <w:w w:val="100"/>
                <w:sz w:val="21"/>
                <w:szCs w:val="21"/>
              </w:rPr>
              <w:t> </w:t>
            </w:r>
            <w:r>
              <w:rPr>
                <w:rFonts w:ascii="宋体" w:hAnsi="宋体" w:cs="宋体" w:eastAsia="宋体" w:hint="default"/>
                <w:sz w:val="21"/>
                <w:szCs w:val="21"/>
              </w:rPr>
              <w:t>人民币</w:t>
            </w:r>
            <w:r>
              <w:rPr>
                <w:rFonts w:ascii="宋体" w:hAnsi="宋体" w:cs="宋体" w:eastAsia="宋体" w:hint="default"/>
                <w:spacing w:val="-102"/>
                <w:sz w:val="21"/>
                <w:szCs w:val="21"/>
              </w:rPr>
              <w:t> </w:t>
            </w:r>
            <w:r>
              <w:rPr>
                <w:rFonts w:ascii="宋体" w:hAnsi="宋体" w:cs="宋体" w:eastAsia="宋体" w:hint="default"/>
                <w:sz w:val="21"/>
                <w:szCs w:val="21"/>
              </w:rPr>
              <w:t>3,000/</w:t>
            </w:r>
            <w:r>
              <w:rPr>
                <w:rFonts w:ascii="宋体" w:hAnsi="宋体" w:cs="宋体" w:eastAsia="宋体" w:hint="default"/>
                <w:sz w:val="21"/>
                <w:szCs w:val="21"/>
              </w:rPr>
              <w:t>年</w:t>
            </w:r>
          </w:p>
        </w:tc>
      </w:tr>
    </w:tbl>
    <w:p>
      <w:pPr>
        <w:spacing w:after="0" w:line="254" w:lineRule="auto"/>
        <w:jc w:val="left"/>
        <w:rPr>
          <w:rFonts w:ascii="宋体" w:hAnsi="宋体" w:cs="宋体" w:eastAsia="宋体" w:hint="default"/>
          <w:sz w:val="21"/>
          <w:szCs w:val="21"/>
        </w:rPr>
        <w:sectPr>
          <w:type w:val="continuous"/>
          <w:pgSz w:w="11910" w:h="16840"/>
          <w:pgMar w:top="1320" w:bottom="1400" w:left="1580" w:right="1040"/>
        </w:sectPr>
      </w:pPr>
    </w:p>
    <w:p>
      <w:pPr>
        <w:spacing w:line="240" w:lineRule="auto" w:before="6"/>
        <w:rPr>
          <w:rFonts w:ascii="宋体" w:hAnsi="宋体" w:cs="宋体" w:eastAsia="宋体" w:hint="default"/>
          <w:sz w:val="14"/>
          <w:szCs w:val="14"/>
        </w:rPr>
      </w:pPr>
    </w:p>
    <w:tbl>
      <w:tblPr>
        <w:tblW w:w="0" w:type="auto"/>
        <w:jc w:val="left"/>
        <w:tblInd w:w="208" w:type="dxa"/>
        <w:tblLayout w:type="fixed"/>
        <w:tblCellMar>
          <w:top w:w="0" w:type="dxa"/>
          <w:left w:w="0" w:type="dxa"/>
          <w:bottom w:w="0" w:type="dxa"/>
          <w:right w:w="0" w:type="dxa"/>
        </w:tblCellMar>
        <w:tblLook w:val="01E0"/>
      </w:tblPr>
      <w:tblGrid>
        <w:gridCol w:w="1985"/>
        <w:gridCol w:w="1985"/>
        <w:gridCol w:w="1844"/>
        <w:gridCol w:w="1700"/>
        <w:gridCol w:w="1418"/>
      </w:tblGrid>
      <w:tr>
        <w:trPr>
          <w:trHeight w:val="312" w:hRule="exact"/>
        </w:trPr>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4" w:lineRule="exact"/>
              <w:ind w:left="561" w:right="0"/>
              <w:jc w:val="left"/>
              <w:rPr>
                <w:rFonts w:ascii="宋体" w:hAnsi="宋体" w:cs="宋体" w:eastAsia="宋体" w:hint="default"/>
                <w:sz w:val="21"/>
                <w:szCs w:val="21"/>
              </w:rPr>
            </w:pPr>
            <w:r>
              <w:rPr>
                <w:rFonts w:ascii="宋体" w:hAnsi="宋体" w:cs="宋体" w:eastAsia="宋体" w:hint="default"/>
                <w:sz w:val="21"/>
                <w:szCs w:val="21"/>
              </w:rPr>
              <w:t>被授权方</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授权方</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4" w:lineRule="exact"/>
              <w:ind w:left="278" w:right="0"/>
              <w:jc w:val="left"/>
              <w:rPr>
                <w:rFonts w:ascii="宋体" w:hAnsi="宋体" w:cs="宋体" w:eastAsia="宋体" w:hint="default"/>
                <w:sz w:val="21"/>
                <w:szCs w:val="21"/>
              </w:rPr>
            </w:pPr>
            <w:r>
              <w:rPr>
                <w:rFonts w:ascii="宋体" w:hAnsi="宋体" w:cs="宋体" w:eastAsia="宋体" w:hint="default"/>
                <w:sz w:val="21"/>
                <w:szCs w:val="21"/>
              </w:rPr>
              <w:t>授权知识产权</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4" w:lineRule="exact"/>
              <w:ind w:left="417" w:right="0"/>
              <w:jc w:val="left"/>
              <w:rPr>
                <w:rFonts w:ascii="宋体" w:hAnsi="宋体" w:cs="宋体" w:eastAsia="宋体" w:hint="default"/>
                <w:sz w:val="21"/>
                <w:szCs w:val="21"/>
              </w:rPr>
            </w:pPr>
            <w:r>
              <w:rPr>
                <w:rFonts w:ascii="宋体" w:hAnsi="宋体" w:cs="宋体" w:eastAsia="宋体" w:hint="default"/>
                <w:sz w:val="21"/>
                <w:szCs w:val="21"/>
              </w:rPr>
              <w:t>授权期限</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4" w:lineRule="exact"/>
              <w:ind w:left="278" w:right="0"/>
              <w:jc w:val="left"/>
              <w:rPr>
                <w:rFonts w:ascii="宋体" w:hAnsi="宋体" w:cs="宋体" w:eastAsia="宋体" w:hint="default"/>
                <w:sz w:val="21"/>
                <w:szCs w:val="21"/>
              </w:rPr>
            </w:pPr>
            <w:r>
              <w:rPr>
                <w:rFonts w:ascii="宋体" w:hAnsi="宋体" w:cs="宋体" w:eastAsia="宋体" w:hint="default"/>
                <w:sz w:val="21"/>
                <w:szCs w:val="21"/>
              </w:rPr>
              <w:t>授权费用</w:t>
            </w:r>
          </w:p>
        </w:tc>
      </w:tr>
      <w:tr>
        <w:trPr>
          <w:trHeight w:val="1762" w:hRule="exact"/>
        </w:trPr>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both"/>
              <w:rPr>
                <w:rFonts w:ascii="宋体" w:hAnsi="宋体" w:cs="宋体" w:eastAsia="宋体" w:hint="default"/>
                <w:sz w:val="21"/>
                <w:szCs w:val="21"/>
              </w:rPr>
            </w:pPr>
            <w:r>
              <w:rPr>
                <w:rFonts w:ascii="宋体" w:hAnsi="宋体" w:cs="宋体" w:eastAsia="宋体" w:hint="default"/>
                <w:spacing w:val="8"/>
                <w:sz w:val="21"/>
                <w:szCs w:val="21"/>
              </w:rPr>
              <w:t>奇酷互联网络科技</w:t>
            </w:r>
          </w:p>
          <w:p>
            <w:pPr>
              <w:pStyle w:val="TableParagraph"/>
              <w:spacing w:line="254" w:lineRule="auto" w:before="15"/>
              <w:ind w:left="98" w:right="95"/>
              <w:jc w:val="both"/>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深圳</w:t>
            </w:r>
            <w:r>
              <w:rPr>
                <w:rFonts w:ascii="宋体" w:hAnsi="宋体" w:cs="宋体" w:eastAsia="宋体" w:hint="default"/>
                <w:spacing w:val="7"/>
                <w:sz w:val="21"/>
                <w:szCs w:val="21"/>
              </w:rPr>
              <w:t>)</w:t>
            </w:r>
            <w:r>
              <w:rPr>
                <w:rFonts w:ascii="宋体" w:hAnsi="宋体" w:cs="宋体" w:eastAsia="宋体" w:hint="default"/>
                <w:spacing w:val="7"/>
                <w:sz w:val="21"/>
                <w:szCs w:val="21"/>
              </w:rPr>
              <w:t>有限公司及</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8"/>
                <w:sz w:val="21"/>
                <w:szCs w:val="21"/>
              </w:rPr>
              <w:t>其控制的从事智能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手机的研发、生产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及销售业务的任何</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子公司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54" w:lineRule="auto"/>
              <w:ind w:left="98" w:right="95"/>
              <w:jc w:val="left"/>
              <w:rPr>
                <w:rFonts w:ascii="宋体" w:hAnsi="宋体" w:cs="宋体" w:eastAsia="宋体" w:hint="default"/>
                <w:sz w:val="21"/>
                <w:szCs w:val="21"/>
              </w:rPr>
            </w:pPr>
            <w:r>
              <w:rPr>
                <w:rFonts w:ascii="宋体" w:hAnsi="宋体" w:cs="宋体" w:eastAsia="宋体" w:hint="default"/>
                <w:spacing w:val="8"/>
                <w:sz w:val="21"/>
                <w:szCs w:val="21"/>
              </w:rPr>
              <w:t>北京奇虎科技有限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left="96"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项注册商标</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54" w:lineRule="auto"/>
              <w:ind w:left="96" w:right="95"/>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5</w:t>
            </w:r>
            <w:r>
              <w:rPr>
                <w:rFonts w:ascii="宋体" w:hAnsi="宋体" w:cs="宋体" w:eastAsia="宋体" w:hint="default"/>
                <w:spacing w:val="-58"/>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起三年</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54" w:lineRule="auto" w:before="141"/>
              <w:ind w:left="98" w:right="93"/>
              <w:jc w:val="left"/>
              <w:rPr>
                <w:rFonts w:ascii="宋体" w:hAnsi="宋体" w:cs="宋体" w:eastAsia="宋体" w:hint="default"/>
                <w:sz w:val="21"/>
                <w:szCs w:val="21"/>
              </w:rPr>
            </w:pPr>
            <w:r>
              <w:rPr>
                <w:rFonts w:ascii="宋体" w:hAnsi="宋体" w:cs="宋体" w:eastAsia="宋体" w:hint="default"/>
                <w:spacing w:val="-11"/>
                <w:sz w:val="21"/>
                <w:szCs w:val="21"/>
              </w:rPr>
              <w:t>许可费用：人</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民币</w:t>
            </w:r>
            <w:r>
              <w:rPr>
                <w:rFonts w:ascii="宋体" w:hAnsi="宋体" w:cs="宋体" w:eastAsia="宋体" w:hint="default"/>
                <w:spacing w:val="-53"/>
                <w:sz w:val="21"/>
                <w:szCs w:val="21"/>
              </w:rPr>
              <w:t> </w:t>
            </w:r>
            <w:r>
              <w:rPr>
                <w:rFonts w:ascii="宋体" w:hAnsi="宋体" w:cs="宋体" w:eastAsia="宋体" w:hint="default"/>
                <w:sz w:val="21"/>
                <w:szCs w:val="21"/>
              </w:rPr>
              <w:t>2,000/</w:t>
            </w:r>
            <w:r>
              <w:rPr>
                <w:rFonts w:ascii="宋体" w:hAnsi="宋体" w:cs="宋体" w:eastAsia="宋体" w:hint="default"/>
                <w:w w:val="100"/>
                <w:sz w:val="21"/>
                <w:szCs w:val="21"/>
              </w:rPr>
              <w:t> </w:t>
            </w:r>
            <w:r>
              <w:rPr>
                <w:rFonts w:ascii="宋体" w:hAnsi="宋体" w:cs="宋体" w:eastAsia="宋体" w:hint="default"/>
                <w:sz w:val="21"/>
                <w:szCs w:val="21"/>
              </w:rPr>
              <w:t>年</w:t>
            </w:r>
          </w:p>
        </w:tc>
      </w:tr>
      <w:tr>
        <w:trPr>
          <w:trHeight w:val="602" w:hRule="exact"/>
        </w:trPr>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pacing w:val="8"/>
                <w:sz w:val="21"/>
                <w:szCs w:val="21"/>
              </w:rPr>
              <w:t>广州优医信息科技</w:t>
            </w:r>
          </w:p>
          <w:p>
            <w:pPr>
              <w:pStyle w:val="TableParagraph"/>
              <w:spacing w:line="240" w:lineRule="auto" w:before="15"/>
              <w:ind w:left="98"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pacing w:val="8"/>
                <w:sz w:val="21"/>
                <w:szCs w:val="21"/>
              </w:rPr>
              <w:t>北京奇虎科技有限</w:t>
            </w:r>
          </w:p>
          <w:p>
            <w:pPr>
              <w:pStyle w:val="TableParagraph"/>
              <w:spacing w:line="240" w:lineRule="auto" w:before="15"/>
              <w:ind w:left="98"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left="9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项商标</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9</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5</w:t>
            </w:r>
            <w:r>
              <w:rPr>
                <w:rFonts w:ascii="宋体" w:hAnsi="宋体" w:cs="宋体" w:eastAsia="宋体" w:hint="default"/>
                <w:spacing w:val="-58"/>
                <w:sz w:val="21"/>
                <w:szCs w:val="21"/>
              </w:rPr>
              <w:t> </w:t>
            </w:r>
            <w:r>
              <w:rPr>
                <w:rFonts w:ascii="宋体" w:hAnsi="宋体" w:cs="宋体" w:eastAsia="宋体" w:hint="default"/>
                <w:sz w:val="21"/>
                <w:szCs w:val="21"/>
              </w:rPr>
              <w:t>日</w:t>
            </w:r>
          </w:p>
          <w:p>
            <w:pPr>
              <w:pStyle w:val="TableParagraph"/>
              <w:spacing w:line="240" w:lineRule="auto" w:before="15"/>
              <w:ind w:left="96" w:right="0"/>
              <w:jc w:val="left"/>
              <w:rPr>
                <w:rFonts w:ascii="宋体" w:hAnsi="宋体" w:cs="宋体" w:eastAsia="宋体" w:hint="default"/>
                <w:sz w:val="21"/>
                <w:szCs w:val="21"/>
              </w:rPr>
            </w:pPr>
            <w:r>
              <w:rPr>
                <w:rFonts w:ascii="宋体" w:hAnsi="宋体" w:cs="宋体" w:eastAsia="宋体" w:hint="default"/>
                <w:sz w:val="21"/>
                <w:szCs w:val="21"/>
              </w:rPr>
              <w:t>起四年</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left="98" w:right="0"/>
              <w:jc w:val="left"/>
              <w:rPr>
                <w:rFonts w:ascii="宋体" w:hAnsi="宋体" w:cs="宋体" w:eastAsia="宋体" w:hint="default"/>
                <w:sz w:val="21"/>
                <w:szCs w:val="21"/>
              </w:rPr>
            </w:pPr>
            <w:r>
              <w:rPr>
                <w:rFonts w:ascii="宋体" w:hAnsi="宋体" w:cs="宋体" w:eastAsia="宋体" w:hint="default"/>
                <w:sz w:val="21"/>
                <w:szCs w:val="21"/>
              </w:rPr>
              <w:t>免费许可</w:t>
            </w:r>
          </w:p>
        </w:tc>
      </w:tr>
      <w:tr>
        <w:trPr>
          <w:trHeight w:val="1184" w:hRule="exact"/>
        </w:trPr>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54" w:lineRule="auto"/>
              <w:ind w:left="98" w:right="95"/>
              <w:jc w:val="left"/>
              <w:rPr>
                <w:rFonts w:ascii="宋体" w:hAnsi="宋体" w:cs="宋体" w:eastAsia="宋体" w:hint="default"/>
                <w:sz w:val="21"/>
                <w:szCs w:val="21"/>
              </w:rPr>
            </w:pPr>
            <w:r>
              <w:rPr>
                <w:rFonts w:ascii="宋体" w:hAnsi="宋体" w:cs="宋体" w:eastAsia="宋体" w:hint="default"/>
                <w:spacing w:val="8"/>
                <w:sz w:val="21"/>
                <w:szCs w:val="21"/>
              </w:rPr>
              <w:t>北京安云世纪科技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有限公司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54" w:lineRule="auto"/>
              <w:ind w:left="98" w:right="95"/>
              <w:jc w:val="left"/>
              <w:rPr>
                <w:rFonts w:ascii="宋体" w:hAnsi="宋体" w:cs="宋体" w:eastAsia="宋体" w:hint="default"/>
                <w:sz w:val="21"/>
                <w:szCs w:val="21"/>
              </w:rPr>
            </w:pPr>
            <w:r>
              <w:rPr>
                <w:rFonts w:ascii="宋体" w:hAnsi="宋体" w:cs="宋体" w:eastAsia="宋体" w:hint="default"/>
                <w:spacing w:val="8"/>
                <w:sz w:val="21"/>
                <w:szCs w:val="21"/>
              </w:rPr>
              <w:t>北京奇虎科技有限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96"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项商标</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6" w:right="0"/>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11</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14</w:t>
            </w:r>
          </w:p>
          <w:p>
            <w:pPr>
              <w:pStyle w:val="TableParagraph"/>
              <w:spacing w:line="254" w:lineRule="auto" w:before="15"/>
              <w:ind w:left="96" w:right="95"/>
              <w:jc w:val="both"/>
              <w:rPr>
                <w:rFonts w:ascii="宋体" w:hAnsi="宋体" w:cs="宋体" w:eastAsia="宋体" w:hint="default"/>
                <w:sz w:val="21"/>
                <w:szCs w:val="21"/>
              </w:rPr>
            </w:pPr>
            <w:r>
              <w:rPr>
                <w:rFonts w:ascii="宋体" w:hAnsi="宋体" w:cs="宋体" w:eastAsia="宋体" w:hint="default"/>
                <w:sz w:val="21"/>
                <w:szCs w:val="21"/>
              </w:rPr>
              <w:t>日起三年，期满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双方无异议顺延</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一年</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98" w:right="0"/>
              <w:jc w:val="left"/>
              <w:rPr>
                <w:rFonts w:ascii="宋体" w:hAnsi="宋体" w:cs="宋体" w:eastAsia="宋体" w:hint="default"/>
                <w:sz w:val="21"/>
                <w:szCs w:val="21"/>
              </w:rPr>
            </w:pPr>
            <w:r>
              <w:rPr>
                <w:rFonts w:ascii="宋体"/>
                <w:w w:val="100"/>
                <w:sz w:val="21"/>
              </w:rPr>
              <w:t>-</w:t>
            </w:r>
          </w:p>
        </w:tc>
      </w:tr>
    </w:tbl>
    <w:p>
      <w:pPr>
        <w:pStyle w:val="BodyText"/>
        <w:spacing w:line="241" w:lineRule="exact"/>
        <w:ind w:left="218" w:right="0"/>
        <w:jc w:val="both"/>
      </w:pPr>
      <w:r>
        <w:rPr>
          <w:rFonts w:ascii="宋体" w:hAnsi="宋体" w:cs="宋体" w:eastAsia="宋体" w:hint="default"/>
        </w:rPr>
        <w:t>2</w:t>
      </w:r>
      <w:r>
        <w:rPr/>
        <w:t>、其他关联交易</w:t>
      </w:r>
    </w:p>
    <w:p>
      <w:pPr>
        <w:pStyle w:val="BodyText"/>
        <w:spacing w:line="240" w:lineRule="auto" w:before="133"/>
        <w:ind w:left="0" w:right="228"/>
        <w:jc w:val="right"/>
      </w:pPr>
      <w:r>
        <w:rPr>
          <w:rFonts w:ascii="宋体" w:hAnsi="宋体" w:cs="宋体" w:eastAsia="宋体" w:hint="default"/>
        </w:rPr>
        <w:t>2014</w:t>
      </w:r>
      <w:r>
        <w:rPr>
          <w:rFonts w:ascii="宋体" w:hAnsi="宋体" w:cs="宋体" w:eastAsia="宋体" w:hint="default"/>
          <w:spacing w:val="-33"/>
        </w:rPr>
        <w:t> </w:t>
      </w:r>
      <w:r>
        <w:rPr/>
        <w:t>年</w:t>
      </w:r>
      <w:r>
        <w:rPr>
          <w:spacing w:val="-30"/>
        </w:rPr>
        <w:t> </w:t>
      </w:r>
      <w:r>
        <w:rPr>
          <w:rFonts w:ascii="宋体" w:hAnsi="宋体" w:cs="宋体" w:eastAsia="宋体" w:hint="default"/>
        </w:rPr>
        <w:t>7</w:t>
      </w:r>
      <w:r>
        <w:rPr>
          <w:rFonts w:ascii="宋体" w:hAnsi="宋体" w:cs="宋体" w:eastAsia="宋体" w:hint="default"/>
          <w:spacing w:val="-33"/>
        </w:rPr>
        <w:t> </w:t>
      </w:r>
      <w:r>
        <w:rPr>
          <w:spacing w:val="-3"/>
        </w:rPr>
        <w:t>月，本集团原子公司洛阳市景安计算机网络技术有限公司</w:t>
      </w:r>
      <w:r>
        <w:rPr>
          <w:rFonts w:ascii="宋体" w:hAnsi="宋体" w:cs="宋体" w:eastAsia="宋体" w:hint="default"/>
          <w:spacing w:val="-3"/>
        </w:rPr>
        <w:t>(</w:t>
      </w:r>
      <w:r>
        <w:rPr>
          <w:spacing w:val="-3"/>
        </w:rPr>
        <w:t>简称“洛阳景安”)与本</w:t>
      </w:r>
    </w:p>
    <w:p>
      <w:pPr>
        <w:pStyle w:val="BodyText"/>
        <w:spacing w:line="240" w:lineRule="auto" w:before="133"/>
        <w:ind w:left="218" w:right="0"/>
        <w:jc w:val="both"/>
      </w:pPr>
      <w:r>
        <w:rPr>
          <w:w w:val="100"/>
        </w:rPr>
        <w:t>公司</w:t>
      </w:r>
      <w:r>
        <w:rPr>
          <w:spacing w:val="-3"/>
          <w:w w:val="100"/>
        </w:rPr>
        <w:t>签</w:t>
      </w:r>
      <w:r>
        <w:rPr>
          <w:w w:val="100"/>
        </w:rPr>
        <w:t>订</w:t>
      </w:r>
      <w:r>
        <w:rPr>
          <w:spacing w:val="-3"/>
          <w:w w:val="100"/>
        </w:rPr>
        <w:t>借</w:t>
      </w:r>
      <w:r>
        <w:rPr>
          <w:w w:val="100"/>
        </w:rPr>
        <w:t>款</w:t>
      </w:r>
      <w:r>
        <w:rPr>
          <w:spacing w:val="-3"/>
          <w:w w:val="100"/>
        </w:rPr>
        <w:t>协</w:t>
      </w:r>
      <w:r>
        <w:rPr>
          <w:w w:val="100"/>
        </w:rPr>
        <w:t>议</w:t>
      </w:r>
      <w:r>
        <w:rPr>
          <w:spacing w:val="-101"/>
          <w:w w:val="100"/>
        </w:rPr>
        <w:t>。</w:t>
      </w:r>
      <w:r>
        <w:rPr>
          <w:w w:val="100"/>
        </w:rPr>
        <w:t>根</w:t>
      </w:r>
      <w:r>
        <w:rPr>
          <w:spacing w:val="-3"/>
          <w:w w:val="100"/>
        </w:rPr>
        <w:t>据该</w:t>
      </w:r>
      <w:r>
        <w:rPr>
          <w:w w:val="100"/>
        </w:rPr>
        <w:t>借款</w:t>
      </w:r>
      <w:r>
        <w:rPr>
          <w:spacing w:val="-3"/>
          <w:w w:val="100"/>
        </w:rPr>
        <w:t>协议</w:t>
      </w:r>
      <w:r>
        <w:rPr>
          <w:spacing w:val="-99"/>
          <w:w w:val="100"/>
        </w:rPr>
        <w:t>，</w:t>
      </w:r>
      <w:r>
        <w:rPr>
          <w:w w:val="100"/>
        </w:rPr>
        <w:t>本</w:t>
      </w:r>
      <w:r>
        <w:rPr>
          <w:spacing w:val="-3"/>
          <w:w w:val="100"/>
        </w:rPr>
        <w:t>公</w:t>
      </w:r>
      <w:r>
        <w:rPr>
          <w:w w:val="100"/>
        </w:rPr>
        <w:t>司</w:t>
      </w:r>
      <w:r>
        <w:rPr>
          <w:spacing w:val="-3"/>
          <w:w w:val="100"/>
        </w:rPr>
        <w:t>向</w:t>
      </w:r>
      <w:r>
        <w:rPr>
          <w:w w:val="100"/>
        </w:rPr>
        <w:t>洛</w:t>
      </w:r>
      <w:r>
        <w:rPr>
          <w:spacing w:val="-3"/>
          <w:w w:val="100"/>
        </w:rPr>
        <w:t>阳景</w:t>
      </w:r>
      <w:r>
        <w:rPr>
          <w:w w:val="100"/>
        </w:rPr>
        <w:t>安提</w:t>
      </w:r>
      <w:r>
        <w:rPr>
          <w:spacing w:val="-3"/>
          <w:w w:val="100"/>
        </w:rPr>
        <w:t>供</w:t>
      </w:r>
      <w:r>
        <w:rPr>
          <w:w w:val="100"/>
        </w:rPr>
        <w:t>总</w:t>
      </w:r>
      <w:r>
        <w:rPr>
          <w:spacing w:val="-3"/>
          <w:w w:val="100"/>
        </w:rPr>
        <w:t>额</w:t>
      </w:r>
      <w:r>
        <w:rPr>
          <w:w w:val="100"/>
        </w:rPr>
        <w:t>为</w:t>
      </w:r>
      <w:r>
        <w:rPr>
          <w:spacing w:val="-3"/>
          <w:w w:val="100"/>
        </w:rPr>
        <w:t>人民</w:t>
      </w:r>
      <w:r>
        <w:rPr>
          <w:w w:val="100"/>
        </w:rPr>
        <w:t>币</w:t>
      </w:r>
      <w:r>
        <w:rPr>
          <w:spacing w:val="-53"/>
        </w:rPr>
        <w:t> </w:t>
      </w:r>
      <w:r>
        <w:rPr>
          <w:rFonts w:ascii="宋体" w:hAnsi="宋体" w:cs="宋体" w:eastAsia="宋体" w:hint="default"/>
          <w:w w:val="100"/>
        </w:rPr>
        <w:t>60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52"/>
        </w:rPr>
        <w:t> </w:t>
      </w:r>
      <w:r>
        <w:rPr>
          <w:spacing w:val="-3"/>
          <w:w w:val="100"/>
        </w:rPr>
        <w:t>千</w:t>
      </w:r>
      <w:r>
        <w:rPr>
          <w:w w:val="100"/>
        </w:rPr>
        <w:t>元</w:t>
      </w:r>
      <w:r>
        <w:rPr>
          <w:spacing w:val="-3"/>
          <w:w w:val="100"/>
        </w:rPr>
        <w:t>抵</w:t>
      </w:r>
      <w:r>
        <w:rPr>
          <w:w w:val="100"/>
        </w:rPr>
        <w:t>押</w:t>
      </w:r>
      <w:r>
        <w:rPr>
          <w:spacing w:val="-3"/>
          <w:w w:val="100"/>
        </w:rPr>
        <w:t>借</w:t>
      </w:r>
      <w:r>
        <w:rPr>
          <w:w w:val="100"/>
        </w:rPr>
        <w:t>款，</w:t>
      </w:r>
    </w:p>
    <w:p>
      <w:pPr>
        <w:pStyle w:val="BodyText"/>
        <w:spacing w:line="357" w:lineRule="auto" w:before="133"/>
        <w:ind w:left="218" w:right="228"/>
        <w:jc w:val="both"/>
      </w:pPr>
      <w:r>
        <w:rPr/>
        <w:t>洛阳景安以土地、房屋以及机器设备作为借款的抵押物，借款期限为</w:t>
      </w:r>
      <w:r>
        <w:rPr>
          <w:spacing w:val="-50"/>
        </w:rPr>
        <w:t> </w:t>
      </w:r>
      <w:r>
        <w:rPr>
          <w:rFonts w:ascii="宋体" w:hAnsi="宋体" w:cs="宋体" w:eastAsia="宋体" w:hint="default"/>
        </w:rPr>
        <w:t>7</w:t>
      </w:r>
      <w:r>
        <w:rPr>
          <w:rFonts w:ascii="宋体" w:hAnsi="宋体" w:cs="宋体" w:eastAsia="宋体" w:hint="default"/>
          <w:spacing w:val="-50"/>
        </w:rPr>
        <w:t> </w:t>
      </w:r>
      <w:r>
        <w:rPr/>
        <w:t>年，借款利息按照中国人</w:t>
      </w:r>
      <w:r>
        <w:rPr>
          <w:w w:val="100"/>
        </w:rPr>
        <w:t> </w:t>
      </w:r>
      <w:r>
        <w:rPr/>
        <w:t>民银行同期基准年利率上调</w:t>
      </w:r>
      <w:r>
        <w:rPr>
          <w:spacing w:val="-51"/>
        </w:rPr>
        <w:t> </w:t>
      </w:r>
      <w:r>
        <w:rPr>
          <w:rFonts w:ascii="宋体" w:hAnsi="宋体" w:cs="宋体" w:eastAsia="宋体" w:hint="default"/>
        </w:rPr>
        <w:t>20%</w:t>
      </w:r>
      <w:r>
        <w:rPr/>
        <w:t>执行，按月结息。</w:t>
      </w:r>
      <w:r>
        <w:rPr>
          <w:rFonts w:ascii="宋体" w:hAnsi="宋体" w:cs="宋体" w:eastAsia="宋体" w:hint="default"/>
        </w:rPr>
        <w:t>2017</w:t>
      </w:r>
      <w:r>
        <w:rPr>
          <w:rFonts w:ascii="宋体" w:hAnsi="宋体" w:cs="宋体" w:eastAsia="宋体" w:hint="default"/>
          <w:spacing w:val="-54"/>
        </w:rPr>
        <w:t> </w:t>
      </w:r>
      <w:r>
        <w:rPr/>
        <w:t>年</w:t>
      </w:r>
      <w:r>
        <w:rPr>
          <w:spacing w:val="-51"/>
        </w:rPr>
        <w:t> </w:t>
      </w:r>
      <w:r>
        <w:rPr>
          <w:rFonts w:ascii="宋体" w:hAnsi="宋体" w:cs="宋体" w:eastAsia="宋体" w:hint="default"/>
        </w:rPr>
        <w:t>6</w:t>
      </w:r>
      <w:r>
        <w:rPr>
          <w:rFonts w:ascii="宋体" w:hAnsi="宋体" w:cs="宋体" w:eastAsia="宋体" w:hint="default"/>
          <w:spacing w:val="-54"/>
        </w:rPr>
        <w:t> </w:t>
      </w:r>
      <w:r>
        <w:rPr/>
        <w:t>月</w:t>
      </w:r>
      <w:r>
        <w:rPr>
          <w:spacing w:val="-51"/>
        </w:rPr>
        <w:t> </w:t>
      </w:r>
      <w:r>
        <w:rPr>
          <w:rFonts w:ascii="宋体" w:hAnsi="宋体" w:cs="宋体" w:eastAsia="宋体" w:hint="default"/>
        </w:rPr>
        <w:t>9</w:t>
      </w:r>
      <w:r>
        <w:rPr>
          <w:rFonts w:ascii="宋体" w:hAnsi="宋体" w:cs="宋体" w:eastAsia="宋体" w:hint="default"/>
          <w:spacing w:val="-54"/>
        </w:rPr>
        <w:t> </w:t>
      </w:r>
      <w:r>
        <w:rPr/>
        <w:t>日，本集团丧失对洛阳景安的控</w:t>
      </w:r>
      <w:r>
        <w:rPr>
          <w:w w:val="100"/>
        </w:rPr>
        <w:t> </w:t>
      </w:r>
      <w:r>
        <w:rPr/>
        <w:t>制权，洛阳景安成为本集团的关联方。本集团作为关联方取得的借款利息收入金额如下：</w:t>
      </w:r>
    </w:p>
    <w:p>
      <w:pPr>
        <w:pStyle w:val="BodyText"/>
        <w:spacing w:line="240" w:lineRule="auto" w:before="30"/>
        <w:ind w:left="0" w:right="230"/>
        <w:jc w:val="right"/>
      </w:pPr>
      <w:r>
        <w:rPr/>
        <w:t>单位：千元</w:t>
      </w:r>
      <w:r>
        <w:rPr>
          <w:spacing w:val="-1"/>
        </w:rPr>
        <w:t> </w:t>
      </w:r>
      <w:r>
        <w:rPr/>
        <w:t>币种：人民币</w:t>
      </w:r>
    </w:p>
    <w:p>
      <w:pPr>
        <w:spacing w:line="240" w:lineRule="auto" w:before="1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937"/>
        <w:gridCol w:w="1985"/>
        <w:gridCol w:w="1419"/>
        <w:gridCol w:w="1709"/>
      </w:tblGrid>
      <w:tr>
        <w:trPr>
          <w:trHeight w:val="41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2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洛阳市景安计算机网络技术有限公司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借款利息收入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77" w:right="0"/>
              <w:jc w:val="left"/>
              <w:rPr>
                <w:rFonts w:ascii="宋体" w:hAnsi="宋体" w:cs="宋体" w:eastAsia="宋体" w:hint="default"/>
                <w:sz w:val="21"/>
                <w:szCs w:val="21"/>
              </w:rPr>
            </w:pPr>
            <w:r>
              <w:rPr>
                <w:rFonts w:ascii="宋体"/>
                <w:sz w:val="21"/>
              </w:rPr>
              <w:t>1,576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0" w:right="0"/>
              <w:jc w:val="left"/>
              <w:rPr>
                <w:rFonts w:ascii="宋体" w:hAnsi="宋体" w:cs="宋体" w:eastAsia="宋体" w:hint="default"/>
                <w:sz w:val="21"/>
                <w:szCs w:val="21"/>
              </w:rPr>
            </w:pPr>
            <w:r>
              <w:rPr>
                <w:rFonts w:ascii="宋体"/>
                <w:sz w:val="21"/>
              </w:rPr>
              <w:t>1,764</w:t>
            </w:r>
          </w:p>
        </w:tc>
      </w:tr>
    </w:tbl>
    <w:p>
      <w:pPr>
        <w:pStyle w:val="BodyText"/>
        <w:spacing w:line="241" w:lineRule="exact"/>
        <w:ind w:left="638" w:right="124"/>
        <w:jc w:val="left"/>
      </w:pPr>
      <w:r>
        <w:rPr>
          <w:rFonts w:ascii="宋体" w:hAnsi="宋体" w:cs="宋体" w:eastAsia="宋体" w:hint="default"/>
        </w:rPr>
        <w:t>3</w:t>
      </w:r>
      <w:r>
        <w:rPr/>
        <w:t>、本报告期内，本集团向本集团联营企业的子公司出售固定资产</w:t>
      </w:r>
      <w:r>
        <w:rPr>
          <w:spacing w:val="-9"/>
        </w:rPr>
        <w:t> </w:t>
      </w:r>
      <w:r>
        <w:rPr/>
        <w:t>。本集团取得的处置收入</w:t>
      </w:r>
    </w:p>
    <w:p>
      <w:pPr>
        <w:pStyle w:val="BodyText"/>
        <w:spacing w:line="240" w:lineRule="auto" w:before="133"/>
        <w:ind w:left="218" w:right="234"/>
        <w:jc w:val="left"/>
      </w:pPr>
      <w:r>
        <w:rPr/>
        <w:t>金额如下：</w:t>
      </w:r>
    </w:p>
    <w:p>
      <w:pPr>
        <w:pStyle w:val="BodyText"/>
        <w:spacing w:line="240" w:lineRule="auto" w:before="133"/>
        <w:ind w:left="0" w:right="230"/>
        <w:jc w:val="right"/>
      </w:pPr>
      <w:r>
        <w:rPr/>
        <w:t>单位：千元</w:t>
      </w:r>
      <w:r>
        <w:rPr>
          <w:spacing w:val="-1"/>
        </w:rPr>
        <w:t> </w:t>
      </w:r>
      <w:r>
        <w:rPr/>
        <w:t>币种：人民币</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162"/>
        <w:gridCol w:w="2734"/>
        <w:gridCol w:w="2153"/>
      </w:tblGrid>
      <w:tr>
        <w:trPr>
          <w:trHeight w:val="281"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5"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283"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出售固定资产</w:t>
            </w:r>
          </w:p>
        </w:tc>
        <w:tc>
          <w:tcPr>
            <w:tcW w:w="2734"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8,721</w:t>
            </w:r>
          </w:p>
        </w:tc>
      </w:tr>
    </w:tbl>
    <w:p>
      <w:pPr>
        <w:pStyle w:val="BodyText"/>
        <w:spacing w:line="241" w:lineRule="exact"/>
        <w:ind w:left="638" w:right="234"/>
        <w:jc w:val="left"/>
      </w:pPr>
      <w:r>
        <w:rPr>
          <w:rFonts w:ascii="宋体" w:hAnsi="宋体" w:cs="宋体" w:eastAsia="宋体" w:hint="default"/>
          <w:spacing w:val="-4"/>
        </w:rPr>
        <w:t>4</w:t>
      </w:r>
      <w:r>
        <w:rPr>
          <w:spacing w:val="-4"/>
        </w:rPr>
        <w:t>、本报告期内，本集团向北京奇创优胜科技有限公司购买固定资产。本集团支付的购置成本</w:t>
      </w:r>
    </w:p>
    <w:p>
      <w:pPr>
        <w:pStyle w:val="BodyText"/>
        <w:spacing w:line="240" w:lineRule="auto" w:before="133"/>
        <w:ind w:left="218" w:right="234"/>
        <w:jc w:val="left"/>
      </w:pPr>
      <w:r>
        <w:rPr/>
        <w:t>金额如下：</w:t>
      </w:r>
    </w:p>
    <w:p>
      <w:pPr>
        <w:pStyle w:val="BodyText"/>
        <w:spacing w:line="240" w:lineRule="auto" w:before="135"/>
        <w:ind w:left="0" w:right="230"/>
        <w:jc w:val="right"/>
      </w:pPr>
      <w:r>
        <w:rPr/>
        <w:t>单位：千元</w:t>
      </w:r>
      <w:r>
        <w:rPr>
          <w:spacing w:val="-1"/>
        </w:rPr>
        <w:t> </w:t>
      </w:r>
      <w:r>
        <w:rPr/>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162"/>
        <w:gridCol w:w="2734"/>
        <w:gridCol w:w="2153"/>
      </w:tblGrid>
      <w:tr>
        <w:trPr>
          <w:trHeight w:val="281"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5"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283"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购置固定资产</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118</w:t>
            </w:r>
          </w:p>
        </w:tc>
        <w:tc>
          <w:tcPr>
            <w:tcW w:w="21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18" w:right="234"/>
        <w:jc w:val="left"/>
      </w:pPr>
      <w:r>
        <w:rPr>
          <w:rFonts w:ascii="宋体" w:hAnsi="宋体" w:cs="宋体" w:eastAsia="宋体" w:hint="default"/>
        </w:rPr>
        <w:t>5</w:t>
      </w:r>
      <w:r>
        <w:rPr/>
        <w:t>、本报告期内，本集团与关联方的共同投资情况主要包括：</w:t>
      </w:r>
    </w:p>
    <w:p>
      <w:pPr>
        <w:pStyle w:val="BodyText"/>
        <w:spacing w:line="274" w:lineRule="exact"/>
        <w:ind w:left="0" w:right="347"/>
        <w:jc w:val="right"/>
      </w:pPr>
      <w:r>
        <w:rPr/>
        <w:t>单位：千元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581"/>
        <w:gridCol w:w="1671"/>
        <w:gridCol w:w="1697"/>
        <w:gridCol w:w="1424"/>
        <w:gridCol w:w="1272"/>
        <w:gridCol w:w="2405"/>
      </w:tblGrid>
      <w:tr>
        <w:trPr>
          <w:trHeight w:val="54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180" w:right="0"/>
              <w:jc w:val="left"/>
              <w:rPr>
                <w:rFonts w:ascii="宋体" w:hAnsi="宋体" w:cs="宋体" w:eastAsia="宋体" w:hint="default"/>
                <w:sz w:val="20"/>
                <w:szCs w:val="20"/>
              </w:rPr>
            </w:pPr>
            <w:r>
              <w:rPr>
                <w:rFonts w:ascii="宋体" w:hAnsi="宋体" w:cs="宋体" w:eastAsia="宋体" w:hint="default"/>
                <w:w w:val="99"/>
                <w:sz w:val="20"/>
                <w:szCs w:val="20"/>
              </w:rPr>
              <w:t>序</w:t>
            </w:r>
            <w:r>
              <w:rPr>
                <w:rFonts w:ascii="宋体" w:hAnsi="宋体" w:cs="宋体" w:eastAsia="宋体" w:hint="default"/>
                <w:sz w:val="20"/>
                <w:szCs w:val="20"/>
              </w:rPr>
            </w:r>
          </w:p>
          <w:p>
            <w:pPr>
              <w:pStyle w:val="TableParagraph"/>
              <w:spacing w:line="260" w:lineRule="exact"/>
              <w:ind w:left="180" w:right="0"/>
              <w:jc w:val="left"/>
              <w:rPr>
                <w:rFonts w:ascii="宋体" w:hAnsi="宋体" w:cs="宋体" w:eastAsia="宋体" w:hint="default"/>
                <w:sz w:val="20"/>
                <w:szCs w:val="20"/>
              </w:rPr>
            </w:pPr>
            <w:r>
              <w:rPr>
                <w:rFonts w:ascii="宋体" w:hAnsi="宋体" w:cs="宋体" w:eastAsia="宋体" w:hint="default"/>
                <w:w w:val="99"/>
                <w:sz w:val="20"/>
                <w:szCs w:val="20"/>
              </w:rPr>
              <w:t>号</w:t>
            </w:r>
            <w:r>
              <w:rPr>
                <w:rFonts w:ascii="宋体" w:hAnsi="宋体" w:cs="宋体" w:eastAsia="宋体" w:hint="default"/>
                <w:sz w:val="20"/>
                <w:szCs w:val="20"/>
              </w:rPr>
            </w:r>
          </w:p>
        </w:tc>
        <w:tc>
          <w:tcPr>
            <w:tcW w:w="16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122" w:right="0"/>
              <w:jc w:val="left"/>
              <w:rPr>
                <w:rFonts w:ascii="宋体" w:hAnsi="宋体" w:cs="宋体" w:eastAsia="宋体" w:hint="default"/>
                <w:sz w:val="20"/>
                <w:szCs w:val="20"/>
              </w:rPr>
            </w:pPr>
            <w:r>
              <w:rPr>
                <w:rFonts w:ascii="宋体" w:hAnsi="宋体" w:cs="宋体" w:eastAsia="宋体" w:hint="default"/>
                <w:sz w:val="20"/>
                <w:szCs w:val="20"/>
              </w:rPr>
              <w:t>被投资公司名称</w:t>
            </w: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38" w:right="0"/>
              <w:jc w:val="left"/>
              <w:rPr>
                <w:rFonts w:ascii="宋体" w:hAnsi="宋体" w:cs="宋体" w:eastAsia="宋体" w:hint="default"/>
                <w:sz w:val="20"/>
                <w:szCs w:val="20"/>
              </w:rPr>
            </w:pPr>
            <w:r>
              <w:rPr>
                <w:rFonts w:ascii="宋体" w:hAnsi="宋体" w:cs="宋体" w:eastAsia="宋体" w:hint="default"/>
                <w:sz w:val="20"/>
                <w:szCs w:val="20"/>
              </w:rPr>
              <w:t>关联方股东</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100" w:right="0"/>
              <w:jc w:val="left"/>
              <w:rPr>
                <w:rFonts w:ascii="宋体" w:hAnsi="宋体" w:cs="宋体" w:eastAsia="宋体" w:hint="default"/>
                <w:sz w:val="20"/>
                <w:szCs w:val="20"/>
              </w:rPr>
            </w:pPr>
            <w:r>
              <w:rPr>
                <w:rFonts w:ascii="宋体" w:hAnsi="宋体" w:cs="宋体" w:eastAsia="宋体" w:hint="default"/>
                <w:sz w:val="20"/>
                <w:szCs w:val="20"/>
              </w:rPr>
              <w:t>公司投资主体</w:t>
            </w:r>
          </w:p>
        </w:tc>
        <w:tc>
          <w:tcPr>
            <w:tcW w:w="127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3"/>
              <w:jc w:val="center"/>
              <w:rPr>
                <w:rFonts w:ascii="宋体" w:hAnsi="宋体" w:cs="宋体" w:eastAsia="宋体" w:hint="default"/>
                <w:sz w:val="20"/>
                <w:szCs w:val="20"/>
              </w:rPr>
            </w:pPr>
            <w:r>
              <w:rPr>
                <w:rFonts w:ascii="宋体" w:hAnsi="宋体" w:cs="宋体" w:eastAsia="宋体" w:hint="default"/>
                <w:sz w:val="20"/>
                <w:szCs w:val="20"/>
              </w:rPr>
              <w:t>关联交易发</w:t>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sz w:val="20"/>
                <w:szCs w:val="20"/>
              </w:rPr>
              <w:t>生时间</w:t>
            </w:r>
          </w:p>
        </w:tc>
        <w:tc>
          <w:tcPr>
            <w:tcW w:w="2405"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3"/>
              <w:jc w:val="center"/>
              <w:rPr>
                <w:rFonts w:ascii="宋体" w:hAnsi="宋体" w:cs="宋体" w:eastAsia="宋体" w:hint="default"/>
                <w:sz w:val="20"/>
                <w:szCs w:val="20"/>
              </w:rPr>
            </w:pPr>
            <w:r>
              <w:rPr>
                <w:rFonts w:ascii="宋体" w:hAnsi="宋体" w:cs="宋体" w:eastAsia="宋体" w:hint="default"/>
                <w:sz w:val="20"/>
                <w:szCs w:val="20"/>
              </w:rPr>
              <w:t>关联交易完成后投资比</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99"/>
                <w:sz w:val="20"/>
                <w:szCs w:val="20"/>
              </w:rPr>
              <w:t>例</w:t>
            </w:r>
            <w:r>
              <w:rPr>
                <w:rFonts w:ascii="宋体" w:hAnsi="宋体" w:cs="宋体" w:eastAsia="宋体" w:hint="default"/>
                <w:sz w:val="20"/>
                <w:szCs w:val="20"/>
              </w:rPr>
            </w:r>
          </w:p>
        </w:tc>
      </w:tr>
      <w:tr>
        <w:trPr>
          <w:trHeight w:val="797"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w w:val="99"/>
                <w:sz w:val="20"/>
              </w:rPr>
              <w:t>1</w:t>
            </w:r>
            <w:r>
              <w:rPr>
                <w:rFonts w:ascii="宋体"/>
                <w:sz w:val="20"/>
              </w:rPr>
            </w:r>
          </w:p>
        </w:tc>
        <w:tc>
          <w:tcPr>
            <w:tcW w:w="1671"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123"/>
              <w:ind w:left="96" w:right="157"/>
              <w:jc w:val="left"/>
              <w:rPr>
                <w:rFonts w:ascii="宋体" w:hAnsi="宋体" w:cs="宋体" w:eastAsia="宋体" w:hint="default"/>
                <w:sz w:val="20"/>
                <w:szCs w:val="20"/>
              </w:rPr>
            </w:pPr>
            <w:r>
              <w:rPr>
                <w:rFonts w:ascii="宋体" w:hAnsi="宋体" w:cs="宋体" w:eastAsia="宋体" w:hint="default"/>
                <w:sz w:val="20"/>
                <w:szCs w:val="20"/>
              </w:rPr>
              <w:t>成都无糖信息技</w:t>
            </w:r>
            <w:r>
              <w:rPr>
                <w:rFonts w:ascii="宋体" w:hAnsi="宋体" w:cs="宋体" w:eastAsia="宋体" w:hint="default"/>
                <w:w w:val="99"/>
                <w:sz w:val="20"/>
                <w:szCs w:val="20"/>
              </w:rPr>
              <w:t> </w:t>
            </w:r>
            <w:r>
              <w:rPr>
                <w:rFonts w:ascii="宋体" w:hAnsi="宋体" w:cs="宋体" w:eastAsia="宋体" w:hint="default"/>
                <w:sz w:val="20"/>
                <w:szCs w:val="20"/>
              </w:rPr>
              <w:t>术有限公司</w:t>
            </w: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123"/>
              <w:ind w:left="98" w:right="180"/>
              <w:jc w:val="left"/>
              <w:rPr>
                <w:rFonts w:ascii="宋体" w:hAnsi="宋体" w:cs="宋体" w:eastAsia="宋体" w:hint="default"/>
                <w:sz w:val="20"/>
                <w:szCs w:val="20"/>
              </w:rPr>
            </w:pPr>
            <w:r>
              <w:rPr>
                <w:rFonts w:ascii="宋体" w:hAnsi="宋体" w:cs="宋体" w:eastAsia="宋体" w:hint="default"/>
                <w:sz w:val="20"/>
                <w:szCs w:val="20"/>
              </w:rPr>
              <w:t>北京奇安信科技</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123"/>
              <w:ind w:left="98" w:right="106"/>
              <w:jc w:val="left"/>
              <w:rPr>
                <w:rFonts w:ascii="宋体" w:hAnsi="宋体" w:cs="宋体" w:eastAsia="宋体" w:hint="default"/>
                <w:sz w:val="20"/>
                <w:szCs w:val="20"/>
              </w:rPr>
            </w:pPr>
            <w:r>
              <w:rPr>
                <w:rFonts w:ascii="宋体" w:hAnsi="宋体" w:cs="宋体" w:eastAsia="宋体" w:hint="default"/>
                <w:sz w:val="20"/>
                <w:szCs w:val="20"/>
              </w:rPr>
              <w:t>成都茂绩创业</w:t>
            </w:r>
            <w:r>
              <w:rPr>
                <w:rFonts w:ascii="宋体" w:hAnsi="宋体" w:cs="宋体" w:eastAsia="宋体" w:hint="default"/>
                <w:w w:val="99"/>
                <w:sz w:val="20"/>
                <w:szCs w:val="20"/>
              </w:rPr>
              <w:t> </w:t>
            </w:r>
            <w:r>
              <w:rPr>
                <w:rFonts w:ascii="宋体" w:hAnsi="宋体" w:cs="宋体" w:eastAsia="宋体" w:hint="default"/>
                <w:sz w:val="20"/>
                <w:szCs w:val="20"/>
              </w:rPr>
              <w:t>投资有限公司</w:t>
            </w:r>
          </w:p>
        </w:tc>
        <w:tc>
          <w:tcPr>
            <w:tcW w:w="1272"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97"/>
              <w:ind w:left="254" w:right="0"/>
              <w:jc w:val="lef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11</w:t>
            </w:r>
          </w:p>
          <w:p>
            <w:pPr>
              <w:pStyle w:val="TableParagraph"/>
              <w:spacing w:line="260" w:lineRule="exact"/>
              <w:ind w:left="554"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405" w:type="dxa"/>
            <w:tcBorders>
              <w:top w:val="single" w:sz="8" w:space="0" w:color="000000"/>
              <w:left w:val="single" w:sz="8" w:space="0" w:color="000000"/>
              <w:bottom w:val="single" w:sz="8" w:space="0" w:color="000000"/>
              <w:right w:val="single" w:sz="8" w:space="0" w:color="000000"/>
            </w:tcBorders>
          </w:tcPr>
          <w:p>
            <w:pPr>
              <w:pStyle w:val="TableParagraph"/>
              <w:spacing w:line="228" w:lineRule="exact"/>
              <w:ind w:left="98" w:right="0"/>
              <w:jc w:val="left"/>
              <w:rPr>
                <w:rFonts w:ascii="宋体" w:hAnsi="宋体" w:cs="宋体" w:eastAsia="宋体" w:hint="default"/>
                <w:sz w:val="20"/>
                <w:szCs w:val="20"/>
              </w:rPr>
            </w:pPr>
            <w:r>
              <w:rPr>
                <w:rFonts w:ascii="宋体" w:hAnsi="宋体" w:cs="宋体" w:eastAsia="宋体" w:hint="default"/>
                <w:sz w:val="20"/>
                <w:szCs w:val="20"/>
              </w:rPr>
              <w:t>成都茂绩创业投资有限</w:t>
            </w:r>
          </w:p>
          <w:p>
            <w:pPr>
              <w:pStyle w:val="TableParagraph"/>
              <w:spacing w:line="260" w:lineRule="exact" w:before="24"/>
              <w:ind w:left="98" w:right="137"/>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2"/>
                <w:sz w:val="20"/>
                <w:szCs w:val="20"/>
              </w:rPr>
              <w:t> </w:t>
            </w:r>
            <w:r>
              <w:rPr>
                <w:rFonts w:ascii="宋体" w:hAnsi="宋体" w:cs="宋体" w:eastAsia="宋体" w:hint="default"/>
                <w:sz w:val="20"/>
                <w:szCs w:val="20"/>
              </w:rPr>
              <w:t>9.00%</w:t>
            </w:r>
            <w:r>
              <w:rPr>
                <w:rFonts w:ascii="宋体" w:hAnsi="宋体" w:cs="宋体" w:eastAsia="宋体" w:hint="default"/>
                <w:sz w:val="20"/>
                <w:szCs w:val="20"/>
              </w:rPr>
              <w:t>；北京奇安信</w:t>
            </w:r>
            <w:r>
              <w:rPr>
                <w:rFonts w:ascii="宋体" w:hAnsi="宋体" w:cs="宋体" w:eastAsia="宋体" w:hint="default"/>
                <w:w w:val="99"/>
                <w:sz w:val="20"/>
                <w:szCs w:val="20"/>
              </w:rPr>
              <w:t> </w:t>
            </w:r>
            <w:r>
              <w:rPr>
                <w:rFonts w:ascii="宋体" w:hAnsi="宋体" w:cs="宋体" w:eastAsia="宋体" w:hint="default"/>
                <w:sz w:val="20"/>
                <w:szCs w:val="20"/>
              </w:rPr>
              <w:t>科技有限公司</w:t>
            </w:r>
            <w:r>
              <w:rPr>
                <w:rFonts w:ascii="宋体" w:hAnsi="宋体" w:cs="宋体" w:eastAsia="宋体" w:hint="default"/>
                <w:spacing w:val="-49"/>
                <w:sz w:val="20"/>
                <w:szCs w:val="20"/>
              </w:rPr>
              <w:t> </w:t>
            </w:r>
            <w:r>
              <w:rPr>
                <w:rFonts w:ascii="宋体" w:hAnsi="宋体" w:cs="宋体" w:eastAsia="宋体" w:hint="default"/>
                <w:sz w:val="20"/>
                <w:szCs w:val="20"/>
              </w:rPr>
              <w:t>10.00%</w:t>
            </w:r>
          </w:p>
        </w:tc>
      </w:tr>
      <w:tr>
        <w:trPr>
          <w:trHeight w:val="756"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0"/>
                <w:szCs w:val="20"/>
              </w:rPr>
            </w:pPr>
            <w:r>
              <w:rPr>
                <w:rFonts w:ascii="宋体"/>
                <w:w w:val="99"/>
                <w:sz w:val="20"/>
              </w:rPr>
              <w:t>2</w:t>
            </w:r>
            <w:r>
              <w:rPr>
                <w:rFonts w:ascii="宋体"/>
                <w:sz w:val="20"/>
              </w:rPr>
            </w:r>
          </w:p>
        </w:tc>
        <w:tc>
          <w:tcPr>
            <w:tcW w:w="1671"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104"/>
              <w:ind w:left="96" w:right="157"/>
              <w:jc w:val="left"/>
              <w:rPr>
                <w:rFonts w:ascii="宋体" w:hAnsi="宋体" w:cs="宋体" w:eastAsia="宋体" w:hint="default"/>
                <w:sz w:val="20"/>
                <w:szCs w:val="20"/>
              </w:rPr>
            </w:pPr>
            <w:r>
              <w:rPr>
                <w:rFonts w:ascii="宋体" w:hAnsi="宋体" w:cs="宋体" w:eastAsia="宋体" w:hint="default"/>
                <w:sz w:val="20"/>
                <w:szCs w:val="20"/>
              </w:rPr>
              <w:t>上海犇众信息技</w:t>
            </w:r>
            <w:r>
              <w:rPr>
                <w:rFonts w:ascii="宋体" w:hAnsi="宋体" w:cs="宋体" w:eastAsia="宋体" w:hint="default"/>
                <w:w w:val="99"/>
                <w:sz w:val="20"/>
                <w:szCs w:val="20"/>
              </w:rPr>
              <w:t> </w:t>
            </w:r>
            <w:r>
              <w:rPr>
                <w:rFonts w:ascii="宋体" w:hAnsi="宋体" w:cs="宋体" w:eastAsia="宋体" w:hint="default"/>
                <w:sz w:val="20"/>
                <w:szCs w:val="20"/>
              </w:rPr>
              <w:t>术有限公司</w:t>
            </w: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104"/>
              <w:ind w:left="98" w:right="180"/>
              <w:jc w:val="left"/>
              <w:rPr>
                <w:rFonts w:ascii="宋体" w:hAnsi="宋体" w:cs="宋体" w:eastAsia="宋体" w:hint="default"/>
                <w:sz w:val="20"/>
                <w:szCs w:val="20"/>
              </w:rPr>
            </w:pPr>
            <w:r>
              <w:rPr>
                <w:rFonts w:ascii="宋体" w:hAnsi="宋体" w:cs="宋体" w:eastAsia="宋体" w:hint="default"/>
                <w:sz w:val="20"/>
                <w:szCs w:val="20"/>
              </w:rPr>
              <w:t>北京奇安信科技</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104"/>
              <w:ind w:left="98" w:right="106"/>
              <w:jc w:val="left"/>
              <w:rPr>
                <w:rFonts w:ascii="宋体" w:hAnsi="宋体" w:cs="宋体" w:eastAsia="宋体" w:hint="default"/>
                <w:sz w:val="20"/>
                <w:szCs w:val="20"/>
              </w:rPr>
            </w:pPr>
            <w:r>
              <w:rPr>
                <w:rFonts w:ascii="宋体" w:hAnsi="宋体" w:cs="宋体" w:eastAsia="宋体" w:hint="default"/>
                <w:sz w:val="20"/>
                <w:szCs w:val="20"/>
              </w:rPr>
              <w:t>成都茂绩创业</w:t>
            </w:r>
            <w:r>
              <w:rPr>
                <w:rFonts w:ascii="宋体" w:hAnsi="宋体" w:cs="宋体" w:eastAsia="宋体" w:hint="default"/>
                <w:w w:val="99"/>
                <w:sz w:val="20"/>
                <w:szCs w:val="20"/>
              </w:rPr>
              <w:t> </w:t>
            </w:r>
            <w:r>
              <w:rPr>
                <w:rFonts w:ascii="宋体" w:hAnsi="宋体" w:cs="宋体" w:eastAsia="宋体" w:hint="default"/>
                <w:sz w:val="20"/>
                <w:szCs w:val="20"/>
              </w:rPr>
              <w:t>投资有限公司</w:t>
            </w:r>
          </w:p>
        </w:tc>
        <w:tc>
          <w:tcPr>
            <w:tcW w:w="1272"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79"/>
              <w:ind w:left="158" w:right="0"/>
              <w:jc w:val="center"/>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12</w:t>
            </w:r>
          </w:p>
          <w:p>
            <w:pPr>
              <w:pStyle w:val="TableParagraph"/>
              <w:spacing w:line="260" w:lineRule="exact"/>
              <w:ind w:left="355" w:right="0"/>
              <w:jc w:val="center"/>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20</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405"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104"/>
              <w:ind w:left="98" w:right="137"/>
              <w:jc w:val="left"/>
              <w:rPr>
                <w:rFonts w:ascii="宋体" w:hAnsi="宋体" w:cs="宋体" w:eastAsia="宋体" w:hint="default"/>
                <w:sz w:val="20"/>
                <w:szCs w:val="20"/>
              </w:rPr>
            </w:pPr>
            <w:r>
              <w:rPr>
                <w:rFonts w:ascii="宋体" w:hAnsi="宋体" w:cs="宋体" w:eastAsia="宋体" w:hint="default"/>
                <w:sz w:val="20"/>
                <w:szCs w:val="20"/>
              </w:rPr>
              <w:t>成都茂绩创业投资有限</w:t>
            </w:r>
            <w:r>
              <w:rPr>
                <w:rFonts w:ascii="宋体" w:hAnsi="宋体" w:cs="宋体" w:eastAsia="宋体" w:hint="default"/>
                <w:w w:val="99"/>
                <w:sz w:val="20"/>
                <w:szCs w:val="20"/>
              </w:rPr>
              <w:t> </w:t>
            </w:r>
            <w:r>
              <w:rPr>
                <w:rFonts w:ascii="宋体" w:hAnsi="宋体" w:cs="宋体" w:eastAsia="宋体" w:hint="default"/>
                <w:sz w:val="20"/>
                <w:szCs w:val="20"/>
              </w:rPr>
              <w:t>公司</w:t>
            </w:r>
            <w:r>
              <w:rPr>
                <w:rFonts w:ascii="宋体" w:hAnsi="宋体" w:cs="宋体" w:eastAsia="宋体" w:hint="default"/>
                <w:spacing w:val="-53"/>
                <w:sz w:val="20"/>
                <w:szCs w:val="20"/>
              </w:rPr>
              <w:t> </w:t>
            </w:r>
            <w:r>
              <w:rPr>
                <w:rFonts w:ascii="宋体" w:hAnsi="宋体" w:cs="宋体" w:eastAsia="宋体" w:hint="default"/>
                <w:sz w:val="20"/>
                <w:szCs w:val="20"/>
              </w:rPr>
              <w:t>36.13%;</w:t>
            </w:r>
            <w:r>
              <w:rPr>
                <w:rFonts w:ascii="宋体" w:hAnsi="宋体" w:cs="宋体" w:eastAsia="宋体" w:hint="default"/>
                <w:sz w:val="20"/>
                <w:szCs w:val="20"/>
              </w:rPr>
              <w:t>北京奇安信</w:t>
            </w:r>
          </w:p>
        </w:tc>
      </w:tr>
    </w:tbl>
    <w:p>
      <w:pPr>
        <w:spacing w:after="0" w:line="260" w:lineRule="exact"/>
        <w:jc w:val="left"/>
        <w:rPr>
          <w:rFonts w:ascii="宋体" w:hAnsi="宋体" w:cs="宋体" w:eastAsia="宋体" w:hint="default"/>
          <w:sz w:val="20"/>
          <w:szCs w:val="20"/>
        </w:rPr>
        <w:sectPr>
          <w:pgSz w:w="11910" w:h="16840"/>
          <w:pgMar w:header="857" w:footer="1217" w:top="1320" w:bottom="1400" w:left="1580" w:right="1040"/>
        </w:sectPr>
      </w:pPr>
    </w:p>
    <w:p>
      <w:pPr>
        <w:spacing w:line="240" w:lineRule="auto" w:before="6"/>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581"/>
        <w:gridCol w:w="1671"/>
        <w:gridCol w:w="1697"/>
        <w:gridCol w:w="1424"/>
        <w:gridCol w:w="1272"/>
        <w:gridCol w:w="2405"/>
      </w:tblGrid>
      <w:tr>
        <w:trPr>
          <w:trHeight w:val="54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180" w:right="0"/>
              <w:jc w:val="left"/>
              <w:rPr>
                <w:rFonts w:ascii="宋体" w:hAnsi="宋体" w:cs="宋体" w:eastAsia="宋体" w:hint="default"/>
                <w:sz w:val="20"/>
                <w:szCs w:val="20"/>
              </w:rPr>
            </w:pPr>
            <w:r>
              <w:rPr>
                <w:rFonts w:ascii="宋体" w:hAnsi="宋体" w:cs="宋体" w:eastAsia="宋体" w:hint="default"/>
                <w:w w:val="99"/>
                <w:sz w:val="20"/>
                <w:szCs w:val="20"/>
              </w:rPr>
              <w:t>序</w:t>
            </w:r>
            <w:r>
              <w:rPr>
                <w:rFonts w:ascii="宋体" w:hAnsi="宋体" w:cs="宋体" w:eastAsia="宋体" w:hint="default"/>
                <w:sz w:val="20"/>
                <w:szCs w:val="20"/>
              </w:rPr>
            </w:r>
          </w:p>
          <w:p>
            <w:pPr>
              <w:pStyle w:val="TableParagraph"/>
              <w:spacing w:line="260" w:lineRule="exact"/>
              <w:ind w:left="180" w:right="0"/>
              <w:jc w:val="left"/>
              <w:rPr>
                <w:rFonts w:ascii="宋体" w:hAnsi="宋体" w:cs="宋体" w:eastAsia="宋体" w:hint="default"/>
                <w:sz w:val="20"/>
                <w:szCs w:val="20"/>
              </w:rPr>
            </w:pPr>
            <w:r>
              <w:rPr>
                <w:rFonts w:ascii="宋体" w:hAnsi="宋体" w:cs="宋体" w:eastAsia="宋体" w:hint="default"/>
                <w:w w:val="99"/>
                <w:sz w:val="20"/>
                <w:szCs w:val="20"/>
              </w:rPr>
              <w:t>号</w:t>
            </w:r>
            <w:r>
              <w:rPr>
                <w:rFonts w:ascii="宋体" w:hAnsi="宋体" w:cs="宋体" w:eastAsia="宋体" w:hint="default"/>
                <w:sz w:val="20"/>
                <w:szCs w:val="20"/>
              </w:rPr>
            </w:r>
          </w:p>
        </w:tc>
        <w:tc>
          <w:tcPr>
            <w:tcW w:w="16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122" w:right="0"/>
              <w:jc w:val="left"/>
              <w:rPr>
                <w:rFonts w:ascii="宋体" w:hAnsi="宋体" w:cs="宋体" w:eastAsia="宋体" w:hint="default"/>
                <w:sz w:val="20"/>
                <w:szCs w:val="20"/>
              </w:rPr>
            </w:pPr>
            <w:r>
              <w:rPr>
                <w:rFonts w:ascii="宋体" w:hAnsi="宋体" w:cs="宋体" w:eastAsia="宋体" w:hint="default"/>
                <w:sz w:val="20"/>
                <w:szCs w:val="20"/>
              </w:rPr>
              <w:t>被投资公司名称</w:t>
            </w: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38" w:right="0"/>
              <w:jc w:val="left"/>
              <w:rPr>
                <w:rFonts w:ascii="宋体" w:hAnsi="宋体" w:cs="宋体" w:eastAsia="宋体" w:hint="default"/>
                <w:sz w:val="20"/>
                <w:szCs w:val="20"/>
              </w:rPr>
            </w:pPr>
            <w:r>
              <w:rPr>
                <w:rFonts w:ascii="宋体" w:hAnsi="宋体" w:cs="宋体" w:eastAsia="宋体" w:hint="default"/>
                <w:sz w:val="20"/>
                <w:szCs w:val="20"/>
              </w:rPr>
              <w:t>关联方股东</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100" w:right="0"/>
              <w:jc w:val="left"/>
              <w:rPr>
                <w:rFonts w:ascii="宋体" w:hAnsi="宋体" w:cs="宋体" w:eastAsia="宋体" w:hint="default"/>
                <w:sz w:val="20"/>
                <w:szCs w:val="20"/>
              </w:rPr>
            </w:pPr>
            <w:r>
              <w:rPr>
                <w:rFonts w:ascii="宋体" w:hAnsi="宋体" w:cs="宋体" w:eastAsia="宋体" w:hint="default"/>
                <w:sz w:val="20"/>
                <w:szCs w:val="20"/>
              </w:rPr>
              <w:t>公司投资主体</w:t>
            </w:r>
          </w:p>
        </w:tc>
        <w:tc>
          <w:tcPr>
            <w:tcW w:w="127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3"/>
              <w:jc w:val="center"/>
              <w:rPr>
                <w:rFonts w:ascii="宋体" w:hAnsi="宋体" w:cs="宋体" w:eastAsia="宋体" w:hint="default"/>
                <w:sz w:val="20"/>
                <w:szCs w:val="20"/>
              </w:rPr>
            </w:pPr>
            <w:r>
              <w:rPr>
                <w:rFonts w:ascii="宋体" w:hAnsi="宋体" w:cs="宋体" w:eastAsia="宋体" w:hint="default"/>
                <w:sz w:val="20"/>
                <w:szCs w:val="20"/>
              </w:rPr>
              <w:t>关联交易发</w:t>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sz w:val="20"/>
                <w:szCs w:val="20"/>
              </w:rPr>
              <w:t>生时间</w:t>
            </w:r>
          </w:p>
        </w:tc>
        <w:tc>
          <w:tcPr>
            <w:tcW w:w="2405"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3"/>
              <w:jc w:val="center"/>
              <w:rPr>
                <w:rFonts w:ascii="宋体" w:hAnsi="宋体" w:cs="宋体" w:eastAsia="宋体" w:hint="default"/>
                <w:sz w:val="20"/>
                <w:szCs w:val="20"/>
              </w:rPr>
            </w:pPr>
            <w:r>
              <w:rPr>
                <w:rFonts w:ascii="宋体" w:hAnsi="宋体" w:cs="宋体" w:eastAsia="宋体" w:hint="default"/>
                <w:sz w:val="20"/>
                <w:szCs w:val="20"/>
              </w:rPr>
              <w:t>关联交易完成后投资比</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99"/>
                <w:sz w:val="20"/>
                <w:szCs w:val="20"/>
              </w:rPr>
              <w:t>例</w:t>
            </w:r>
            <w:r>
              <w:rPr>
                <w:rFonts w:ascii="宋体" w:hAnsi="宋体" w:cs="宋体" w:eastAsia="宋体" w:hint="default"/>
                <w:sz w:val="20"/>
                <w:szCs w:val="20"/>
              </w:rPr>
            </w:r>
          </w:p>
        </w:tc>
      </w:tr>
      <w:tr>
        <w:trPr>
          <w:trHeight w:val="754" w:hRule="exact"/>
        </w:trPr>
        <w:tc>
          <w:tcPr>
            <w:tcW w:w="581" w:type="dxa"/>
            <w:tcBorders>
              <w:top w:val="single" w:sz="8" w:space="0" w:color="000000"/>
              <w:left w:val="single" w:sz="8" w:space="0" w:color="000000"/>
              <w:bottom w:val="single" w:sz="8" w:space="0" w:color="000000"/>
              <w:right w:val="single" w:sz="8" w:space="0" w:color="000000"/>
            </w:tcBorders>
          </w:tcPr>
          <w:p>
            <w:pPr/>
          </w:p>
        </w:tc>
        <w:tc>
          <w:tcPr>
            <w:tcW w:w="1671" w:type="dxa"/>
            <w:tcBorders>
              <w:top w:val="single" w:sz="8" w:space="0" w:color="000000"/>
              <w:left w:val="single" w:sz="8" w:space="0" w:color="000000"/>
              <w:bottom w:val="single" w:sz="8" w:space="0" w:color="000000"/>
              <w:right w:val="single" w:sz="8" w:space="0" w:color="000000"/>
            </w:tcBorders>
          </w:tcPr>
          <w:p>
            <w:pPr/>
          </w:p>
        </w:tc>
        <w:tc>
          <w:tcPr>
            <w:tcW w:w="1697" w:type="dxa"/>
            <w:tcBorders>
              <w:top w:val="single" w:sz="8" w:space="0" w:color="000000"/>
              <w:left w:val="single" w:sz="8" w:space="0" w:color="000000"/>
              <w:bottom w:val="single" w:sz="8" w:space="0" w:color="000000"/>
              <w:right w:val="single" w:sz="8" w:space="0" w:color="000000"/>
            </w:tcBorders>
          </w:tcPr>
          <w:p>
            <w:pPr/>
          </w:p>
        </w:tc>
        <w:tc>
          <w:tcPr>
            <w:tcW w:w="1424" w:type="dxa"/>
            <w:tcBorders>
              <w:top w:val="single" w:sz="8" w:space="0" w:color="000000"/>
              <w:left w:val="single" w:sz="8" w:space="0" w:color="000000"/>
              <w:bottom w:val="single" w:sz="8" w:space="0" w:color="000000"/>
              <w:right w:val="single" w:sz="8" w:space="0" w:color="000000"/>
            </w:tcBorders>
          </w:tcPr>
          <w:p>
            <w:pPr/>
          </w:p>
        </w:tc>
        <w:tc>
          <w:tcPr>
            <w:tcW w:w="1272" w:type="dxa"/>
            <w:tcBorders>
              <w:top w:val="single" w:sz="8" w:space="0" w:color="000000"/>
              <w:left w:val="single" w:sz="8" w:space="0" w:color="000000"/>
              <w:bottom w:val="single" w:sz="8" w:space="0" w:color="000000"/>
              <w:right w:val="single" w:sz="8" w:space="0" w:color="000000"/>
            </w:tcBorders>
          </w:tcPr>
          <w:p>
            <w:pPr/>
          </w:p>
        </w:tc>
        <w:tc>
          <w:tcPr>
            <w:tcW w:w="2405"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98" w:right="0"/>
              <w:jc w:val="left"/>
              <w:rPr>
                <w:rFonts w:ascii="宋体" w:hAnsi="宋体" w:cs="宋体" w:eastAsia="宋体" w:hint="default"/>
                <w:sz w:val="20"/>
                <w:szCs w:val="20"/>
              </w:rPr>
            </w:pPr>
            <w:r>
              <w:rPr>
                <w:rFonts w:ascii="宋体" w:hAnsi="宋体" w:cs="宋体" w:eastAsia="宋体" w:hint="default"/>
                <w:sz w:val="20"/>
                <w:szCs w:val="20"/>
              </w:rPr>
              <w:t>科技有限公司</w:t>
            </w:r>
            <w:r>
              <w:rPr>
                <w:rFonts w:ascii="宋体" w:hAnsi="宋体" w:cs="宋体" w:eastAsia="宋体" w:hint="default"/>
                <w:spacing w:val="-49"/>
                <w:sz w:val="20"/>
                <w:szCs w:val="20"/>
              </w:rPr>
              <w:t> </w:t>
            </w:r>
            <w:r>
              <w:rPr>
                <w:rFonts w:ascii="宋体" w:hAnsi="宋体" w:cs="宋体" w:eastAsia="宋体" w:hint="default"/>
                <w:sz w:val="20"/>
                <w:szCs w:val="20"/>
              </w:rPr>
              <w:t>36.13%</w:t>
            </w:r>
          </w:p>
        </w:tc>
      </w:tr>
      <w:tr>
        <w:trPr>
          <w:trHeight w:val="1058"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0"/>
                <w:szCs w:val="20"/>
              </w:rPr>
            </w:pPr>
            <w:r>
              <w:rPr>
                <w:rFonts w:ascii="宋体"/>
                <w:w w:val="99"/>
                <w:sz w:val="20"/>
              </w:rPr>
              <w:t>3</w:t>
            </w:r>
            <w:r>
              <w:rPr>
                <w:rFonts w:ascii="宋体"/>
                <w:sz w:val="20"/>
              </w:rPr>
            </w:r>
          </w:p>
        </w:tc>
        <w:tc>
          <w:tcPr>
            <w:tcW w:w="16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60" w:lineRule="exact"/>
              <w:ind w:left="96" w:right="157"/>
              <w:jc w:val="left"/>
              <w:rPr>
                <w:rFonts w:ascii="宋体" w:hAnsi="宋体" w:cs="宋体" w:eastAsia="宋体" w:hint="default"/>
                <w:sz w:val="20"/>
                <w:szCs w:val="20"/>
              </w:rPr>
            </w:pPr>
            <w:r>
              <w:rPr>
                <w:rFonts w:ascii="宋体" w:hAnsi="宋体" w:cs="宋体" w:eastAsia="宋体" w:hint="default"/>
                <w:sz w:val="20"/>
                <w:szCs w:val="20"/>
              </w:rPr>
              <w:t>上海月螺信息技</w:t>
            </w:r>
            <w:r>
              <w:rPr>
                <w:rFonts w:ascii="宋体" w:hAnsi="宋体" w:cs="宋体" w:eastAsia="宋体" w:hint="default"/>
                <w:w w:val="99"/>
                <w:sz w:val="20"/>
                <w:szCs w:val="20"/>
              </w:rPr>
              <w:t> </w:t>
            </w:r>
            <w:r>
              <w:rPr>
                <w:rFonts w:ascii="宋体" w:hAnsi="宋体" w:cs="宋体" w:eastAsia="宋体" w:hint="default"/>
                <w:sz w:val="20"/>
                <w:szCs w:val="20"/>
              </w:rPr>
              <w:t>术有限公司</w:t>
            </w: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125"/>
              <w:ind w:left="98" w:right="180"/>
              <w:jc w:val="both"/>
              <w:rPr>
                <w:rFonts w:ascii="宋体" w:hAnsi="宋体" w:cs="宋体" w:eastAsia="宋体" w:hint="default"/>
                <w:sz w:val="20"/>
                <w:szCs w:val="20"/>
              </w:rPr>
            </w:pPr>
            <w:r>
              <w:rPr>
                <w:rFonts w:ascii="宋体" w:hAnsi="宋体" w:cs="宋体" w:eastAsia="宋体" w:hint="default"/>
                <w:sz w:val="20"/>
                <w:szCs w:val="20"/>
              </w:rPr>
              <w:t>上海黑桃互动网</w:t>
            </w:r>
            <w:r>
              <w:rPr>
                <w:rFonts w:ascii="宋体" w:hAnsi="宋体" w:cs="宋体" w:eastAsia="宋体" w:hint="default"/>
                <w:w w:val="99"/>
                <w:sz w:val="20"/>
                <w:szCs w:val="20"/>
              </w:rPr>
              <w:t> </w:t>
            </w:r>
            <w:r>
              <w:rPr>
                <w:rFonts w:ascii="宋体" w:hAnsi="宋体" w:cs="宋体" w:eastAsia="宋体" w:hint="default"/>
                <w:sz w:val="20"/>
                <w:szCs w:val="20"/>
              </w:rPr>
              <w:t>络科技股份有限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125"/>
              <w:ind w:left="98" w:right="106"/>
              <w:jc w:val="both"/>
              <w:rPr>
                <w:rFonts w:ascii="宋体" w:hAnsi="宋体" w:cs="宋体" w:eastAsia="宋体" w:hint="default"/>
                <w:sz w:val="20"/>
                <w:szCs w:val="20"/>
              </w:rPr>
            </w:pPr>
            <w:r>
              <w:rPr>
                <w:rFonts w:ascii="宋体" w:hAnsi="宋体" w:cs="宋体" w:eastAsia="宋体" w:hint="default"/>
                <w:sz w:val="20"/>
                <w:szCs w:val="20"/>
              </w:rPr>
              <w:t>北京世界星辉</w:t>
            </w:r>
            <w:r>
              <w:rPr>
                <w:rFonts w:ascii="宋体" w:hAnsi="宋体" w:cs="宋体" w:eastAsia="宋体" w:hint="default"/>
                <w:w w:val="99"/>
                <w:sz w:val="20"/>
                <w:szCs w:val="20"/>
              </w:rPr>
              <w:t> </w:t>
            </w:r>
            <w:r>
              <w:rPr>
                <w:rFonts w:ascii="宋体" w:hAnsi="宋体" w:cs="宋体" w:eastAsia="宋体" w:hint="default"/>
                <w:sz w:val="20"/>
                <w:szCs w:val="20"/>
              </w:rPr>
              <w:t>科技有限责任</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2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7</w:t>
            </w:r>
            <w:r>
              <w:rPr>
                <w:rFonts w:ascii="宋体" w:hAnsi="宋体" w:cs="宋体" w:eastAsia="宋体" w:hint="default"/>
                <w:spacing w:val="-50"/>
                <w:sz w:val="20"/>
                <w:szCs w:val="20"/>
              </w:rPr>
              <w:t> </w:t>
            </w:r>
            <w:r>
              <w:rPr>
                <w:rFonts w:ascii="宋体" w:hAnsi="宋体" w:cs="宋体" w:eastAsia="宋体" w:hint="default"/>
                <w:sz w:val="20"/>
                <w:szCs w:val="20"/>
              </w:rPr>
              <w:t>月</w:t>
            </w:r>
          </w:p>
          <w:p>
            <w:pPr>
              <w:pStyle w:val="TableParagraph"/>
              <w:spacing w:line="260" w:lineRule="exact"/>
              <w:ind w:left="703" w:right="0"/>
              <w:jc w:val="left"/>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405"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98" w:right="0"/>
              <w:jc w:val="left"/>
              <w:rPr>
                <w:rFonts w:ascii="宋体" w:hAnsi="宋体" w:cs="宋体" w:eastAsia="宋体" w:hint="default"/>
                <w:sz w:val="20"/>
                <w:szCs w:val="20"/>
              </w:rPr>
            </w:pPr>
            <w:r>
              <w:rPr>
                <w:rFonts w:ascii="宋体" w:hAnsi="宋体" w:cs="宋体" w:eastAsia="宋体" w:hint="default"/>
                <w:sz w:val="20"/>
                <w:szCs w:val="20"/>
              </w:rPr>
              <w:t>北京世界星辉科技有限</w:t>
            </w:r>
          </w:p>
          <w:p>
            <w:pPr>
              <w:pStyle w:val="TableParagraph"/>
              <w:spacing w:line="260" w:lineRule="exact" w:before="24"/>
              <w:ind w:left="98" w:right="98"/>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3"/>
                <w:sz w:val="20"/>
                <w:szCs w:val="20"/>
              </w:rPr>
              <w:t> </w:t>
            </w:r>
            <w:r>
              <w:rPr>
                <w:rFonts w:ascii="宋体" w:hAnsi="宋体" w:cs="宋体" w:eastAsia="宋体" w:hint="default"/>
                <w:spacing w:val="-5"/>
                <w:sz w:val="20"/>
                <w:szCs w:val="20"/>
              </w:rPr>
              <w:t>20.00%</w:t>
            </w:r>
            <w:r>
              <w:rPr>
                <w:rFonts w:ascii="宋体" w:hAnsi="宋体" w:cs="宋体" w:eastAsia="宋体" w:hint="default"/>
                <w:spacing w:val="-5"/>
                <w:sz w:val="20"/>
                <w:szCs w:val="20"/>
              </w:rPr>
              <w:t>；上海黑桃互</w:t>
            </w:r>
            <w:r>
              <w:rPr>
                <w:rFonts w:ascii="宋体" w:hAnsi="宋体" w:cs="宋体" w:eastAsia="宋体" w:hint="default"/>
                <w:w w:val="99"/>
                <w:sz w:val="20"/>
                <w:szCs w:val="20"/>
              </w:rPr>
              <w:t> </w:t>
            </w:r>
            <w:r>
              <w:rPr>
                <w:rFonts w:ascii="宋体" w:hAnsi="宋体" w:cs="宋体" w:eastAsia="宋体" w:hint="default"/>
                <w:sz w:val="20"/>
                <w:szCs w:val="20"/>
              </w:rPr>
              <w:t>动网络科技股份有限公</w:t>
            </w:r>
            <w:r>
              <w:rPr>
                <w:rFonts w:ascii="宋体" w:hAnsi="宋体" w:cs="宋体" w:eastAsia="宋体" w:hint="default"/>
                <w:w w:val="99"/>
                <w:sz w:val="20"/>
                <w:szCs w:val="20"/>
              </w:rPr>
              <w:t> </w:t>
            </w:r>
            <w:r>
              <w:rPr>
                <w:rFonts w:ascii="宋体" w:hAnsi="宋体" w:cs="宋体" w:eastAsia="宋体" w:hint="default"/>
                <w:sz w:val="20"/>
                <w:szCs w:val="20"/>
              </w:rPr>
              <w:t>司</w:t>
            </w:r>
            <w:r>
              <w:rPr>
                <w:rFonts w:ascii="宋体" w:hAnsi="宋体" w:cs="宋体" w:eastAsia="宋体" w:hint="default"/>
                <w:spacing w:val="-52"/>
                <w:sz w:val="20"/>
                <w:szCs w:val="20"/>
              </w:rPr>
              <w:t> </w:t>
            </w:r>
            <w:r>
              <w:rPr>
                <w:rFonts w:ascii="宋体" w:hAnsi="宋体" w:cs="宋体" w:eastAsia="宋体" w:hint="default"/>
                <w:sz w:val="20"/>
                <w:szCs w:val="20"/>
              </w:rPr>
              <w:t>12.00%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7" w:footer="1217" w:top="1320" w:bottom="1400" w:left="1580" w:right="1040"/>
        </w:sectPr>
      </w:pPr>
    </w:p>
    <w:p>
      <w:pPr>
        <w:pStyle w:val="Heading5"/>
        <w:spacing w:line="290" w:lineRule="auto" w:before="177"/>
        <w:ind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rFonts w:ascii="宋体" w:hAnsi="宋体" w:cs="宋体" w:eastAsia="宋体" w:hint="default"/>
          <w:spacing w:val="-44"/>
        </w:rPr>
        <w:t> </w:t>
      </w:r>
      <w:r>
        <w:rPr/>
        <w:t>应收项目</w:t>
      </w:r>
      <w:r>
        <w:rPr>
          <w:b w:val="0"/>
          <w:bCs w:val="0"/>
        </w:rPr>
      </w:r>
    </w:p>
    <w:p>
      <w:pPr>
        <w:pStyle w:val="BodyText"/>
        <w:tabs>
          <w:tab w:pos="1060" w:val="left" w:leader="none"/>
        </w:tabs>
        <w:spacing w:line="240" w:lineRule="auto" w:before="12"/>
        <w:ind w:left="218"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tabs>
          <w:tab w:pos="1375"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千元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320" w:bottom="1400" w:left="1580" w:right="1040"/>
          <w:cols w:num="2" w:equalWidth="0">
            <w:col w:w="2544" w:space="3978"/>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47"/>
        <w:gridCol w:w="3121"/>
        <w:gridCol w:w="1136"/>
        <w:gridCol w:w="1133"/>
        <w:gridCol w:w="992"/>
        <w:gridCol w:w="1068"/>
      </w:tblGrid>
      <w:tr>
        <w:trPr>
          <w:trHeight w:val="283"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107"/>
              <w:ind w:left="29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121"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3"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47" w:type="dxa"/>
            <w:vMerge/>
            <w:tcBorders>
              <w:left w:val="single" w:sz="4" w:space="0" w:color="000000"/>
              <w:bottom w:val="single" w:sz="4" w:space="0" w:color="000000"/>
              <w:right w:val="single" w:sz="4" w:space="0" w:color="000000"/>
            </w:tcBorders>
          </w:tcPr>
          <w:p>
            <w:pPr/>
          </w:p>
        </w:tc>
        <w:tc>
          <w:tcPr>
            <w:tcW w:w="3121" w:type="dxa"/>
            <w:vMerge/>
            <w:tcBorders>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上海淇毓信息科技有限公司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21,578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1,912</w:t>
            </w: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北京密境和风科技有限公司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10,653</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在线途游</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10,145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11,961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468</w:t>
            </w: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北京奇安信科技有限公司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6,473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18,643</w:t>
            </w: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天津安果科技有限公司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6,464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1,993</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奇酷互联网络科技</w:t>
            </w:r>
            <w:r>
              <w:rPr>
                <w:rFonts w:ascii="宋体" w:hAnsi="宋体" w:cs="宋体" w:eastAsia="宋体" w:hint="default"/>
                <w:spacing w:val="5"/>
                <w:sz w:val="21"/>
                <w:szCs w:val="21"/>
              </w:rPr>
              <w:t>(</w:t>
            </w:r>
            <w:r>
              <w:rPr>
                <w:rFonts w:ascii="宋体" w:hAnsi="宋体" w:cs="宋体" w:eastAsia="宋体" w:hint="default"/>
                <w:spacing w:val="5"/>
                <w:sz w:val="21"/>
                <w:szCs w:val="21"/>
              </w:rPr>
              <w:t>深圳</w:t>
            </w:r>
            <w:r>
              <w:rPr>
                <w:rFonts w:ascii="宋体" w:hAnsi="宋体" w:cs="宋体" w:eastAsia="宋体" w:hint="default"/>
                <w:spacing w:val="5"/>
                <w:sz w:val="21"/>
                <w:szCs w:val="21"/>
              </w:rPr>
              <w:t>)</w:t>
            </w:r>
            <w:r>
              <w:rPr>
                <w:rFonts w:ascii="宋体" w:hAnsi="宋体" w:cs="宋体" w:eastAsia="宋体" w:hint="default"/>
                <w:spacing w:val="5"/>
                <w:sz w:val="21"/>
                <w:szCs w:val="21"/>
              </w:rPr>
              <w:t>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宋体" w:hAnsi="宋体" w:cs="宋体" w:eastAsia="宋体" w:hint="default"/>
                <w:sz w:val="21"/>
                <w:szCs w:val="21"/>
              </w:rPr>
            </w:pPr>
            <w:r>
              <w:rPr>
                <w:rFonts w:ascii="宋体"/>
                <w:sz w:val="21"/>
              </w:rPr>
              <w:t>1,542</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宋体" w:hAnsi="宋体" w:cs="宋体" w:eastAsia="宋体" w:hint="default"/>
                <w:sz w:val="21"/>
                <w:szCs w:val="21"/>
              </w:rPr>
            </w:pPr>
            <w:r>
              <w:rPr>
                <w:rFonts w:ascii="宋体"/>
                <w:sz w:val="21"/>
              </w:rPr>
              <w:t>2,475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宋体" w:hAnsi="宋体" w:cs="宋体" w:eastAsia="宋体" w:hint="default"/>
                <w:sz w:val="21"/>
                <w:szCs w:val="21"/>
              </w:rPr>
            </w:pPr>
            <w:r>
              <w:rPr>
                <w:rFonts w:ascii="宋体"/>
                <w:sz w:val="21"/>
              </w:rPr>
              <w:t>50</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Opera software</w:t>
            </w:r>
            <w:r>
              <w:rPr>
                <w:rFonts w:ascii="宋体" w:hAnsi="宋体" w:cs="宋体" w:eastAsia="宋体" w:hint="default"/>
                <w:spacing w:val="1"/>
                <w:sz w:val="21"/>
                <w:szCs w:val="21"/>
              </w:rPr>
              <w:t> </w:t>
            </w:r>
            <w:r>
              <w:rPr>
                <w:rFonts w:ascii="宋体" w:hAnsi="宋体" w:cs="宋体" w:eastAsia="宋体" w:hint="default"/>
                <w:sz w:val="21"/>
                <w:szCs w:val="21"/>
              </w:rPr>
              <w:t>AS(</w:t>
            </w:r>
            <w:r>
              <w:rPr>
                <w:rFonts w:ascii="宋体" w:hAnsi="宋体" w:cs="宋体" w:eastAsia="宋体" w:hint="default"/>
                <w:sz w:val="21"/>
                <w:szCs w:val="21"/>
              </w:rPr>
              <w:t>注</w:t>
            </w:r>
            <w:r>
              <w:rPr>
                <w:rFonts w:ascii="宋体" w:hAnsi="宋体" w:cs="宋体" w:eastAsia="宋体" w:hint="default"/>
                <w:sz w:val="21"/>
                <w:szCs w:val="21"/>
              </w:rPr>
              <w:t>)</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21,294</w:t>
            </w: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6,943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6,550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2</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63,798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2,543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62,835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520</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上海凭安征信服务有限公司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3,401</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3,305</w:t>
            </w: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上海广升信息技术股份有限公司</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1,138</w:t>
            </w: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1,170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1,221</w:t>
            </w: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4,571</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5,664</w:t>
            </w: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上海黑桃互动网络科技有限公司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4,375</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4,375</w:t>
            </w: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4,375</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4,375</w:t>
            </w: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其他非流动资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洛阳市景安计算机网络技术有限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宋体" w:hAnsi="宋体" w:cs="宋体" w:eastAsia="宋体" w:hint="default"/>
                <w:sz w:val="21"/>
                <w:szCs w:val="21"/>
              </w:rPr>
            </w:pPr>
            <w:r>
              <w:rPr>
                <w:rFonts w:ascii="宋体"/>
                <w:sz w:val="21"/>
              </w:rPr>
              <w:t>19,700</w:t>
            </w: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19,700</w:t>
            </w: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一年内到期的</w:t>
            </w:r>
          </w:p>
          <w:p>
            <w:pPr>
              <w:pStyle w:val="TableParagraph"/>
              <w:spacing w:line="240" w:lineRule="auto"/>
              <w:ind w:left="26" w:right="146"/>
              <w:jc w:val="left"/>
              <w:rPr>
                <w:rFonts w:ascii="宋体" w:hAnsi="宋体" w:cs="宋体" w:eastAsia="宋体" w:hint="default"/>
                <w:sz w:val="21"/>
                <w:szCs w:val="21"/>
              </w:rPr>
            </w:pPr>
            <w:r>
              <w:rPr>
                <w:rFonts w:ascii="宋体" w:hAnsi="宋体" w:cs="宋体" w:eastAsia="宋体" w:hint="default"/>
                <w:sz w:val="21"/>
                <w:szCs w:val="21"/>
              </w:rPr>
              <w:t>其他非流动资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25"/>
              <w:jc w:val="left"/>
              <w:rPr>
                <w:rFonts w:ascii="宋体" w:hAnsi="宋体" w:cs="宋体" w:eastAsia="宋体" w:hint="default"/>
                <w:sz w:val="21"/>
                <w:szCs w:val="21"/>
              </w:rPr>
            </w:pPr>
            <w:r>
              <w:rPr>
                <w:rFonts w:ascii="宋体" w:hAnsi="宋体" w:cs="宋体" w:eastAsia="宋体" w:hint="default"/>
                <w:spacing w:val="5"/>
                <w:sz w:val="21"/>
                <w:szCs w:val="21"/>
              </w:rPr>
              <w:t>洛阳市景安计算机网络技术有限</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18,934</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36,000</w:t>
            </w: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18,934</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36,000</w:t>
            </w: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洛阳市景安计算机网络技术有限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140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1,311</w:t>
            </w: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140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1,311</w:t>
            </w:r>
          </w:p>
        </w:tc>
        <w:tc>
          <w:tcPr>
            <w:tcW w:w="10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218" w:right="234"/>
        <w:jc w:val="left"/>
      </w:pPr>
      <w:r>
        <w:rPr/>
        <w:t>注：为本公司的联营企业的子公司。</w:t>
      </w:r>
    </w:p>
    <w:p>
      <w:pPr>
        <w:spacing w:line="240" w:lineRule="auto" w:before="3"/>
        <w:rPr>
          <w:rFonts w:ascii="宋体" w:hAnsi="宋体" w:cs="宋体" w:eastAsia="宋体" w:hint="default"/>
          <w:sz w:val="25"/>
          <w:szCs w:val="25"/>
        </w:rPr>
      </w:pPr>
    </w:p>
    <w:p>
      <w:pPr>
        <w:pStyle w:val="Heading5"/>
        <w:spacing w:line="240" w:lineRule="auto"/>
        <w:ind w:right="234"/>
        <w:jc w:val="left"/>
        <w:rPr>
          <w:b w:val="0"/>
          <w:bCs w:val="0"/>
        </w:rPr>
      </w:pPr>
      <w:r>
        <w:rPr>
          <w:rFonts w:ascii="宋体" w:hAnsi="宋体" w:cs="宋体" w:eastAsia="宋体" w:hint="default"/>
        </w:rPr>
        <w:t>(2).</w:t>
      </w:r>
      <w:r>
        <w:rPr>
          <w:rFonts w:ascii="宋体" w:hAnsi="宋体" w:cs="宋体" w:eastAsia="宋体" w:hint="default"/>
          <w:spacing w:val="-44"/>
        </w:rPr>
        <w:t> </w:t>
      </w:r>
      <w:r>
        <w:rPr/>
        <w:t>应付项目</w:t>
      </w:r>
      <w:r>
        <w:rPr>
          <w:b w:val="0"/>
          <w:bCs w:val="0"/>
        </w:rPr>
      </w:r>
    </w:p>
    <w:p>
      <w:pPr>
        <w:pStyle w:val="BodyText"/>
        <w:tabs>
          <w:tab w:pos="1060" w:val="left" w:leader="none"/>
        </w:tabs>
        <w:spacing w:line="240" w:lineRule="auto" w:before="56"/>
        <w:ind w:left="218" w:right="234"/>
        <w:jc w:val="left"/>
      </w:pPr>
      <w:r>
        <w:rPr>
          <w:spacing w:val="-1"/>
        </w:rPr>
        <w:t>√适用</w:t>
        <w:tab/>
      </w:r>
      <w:r>
        <w:rPr>
          <w:spacing w:val="-2"/>
        </w:rPr>
        <w:t>□不适用</w:t>
      </w:r>
    </w:p>
    <w:p>
      <w:pPr>
        <w:spacing w:after="0" w:line="240" w:lineRule="auto"/>
        <w:jc w:val="left"/>
        <w:sectPr>
          <w:type w:val="continuous"/>
          <w:pgSz w:w="11910" w:h="16840"/>
          <w:pgMar w:top="1320" w:bottom="1400" w:left="1580" w:right="1040"/>
        </w:sectPr>
      </w:pPr>
    </w:p>
    <w:p>
      <w:pPr>
        <w:spacing w:line="240" w:lineRule="auto" w:before="2"/>
        <w:rPr>
          <w:rFonts w:ascii="宋体" w:hAnsi="宋体" w:cs="宋体" w:eastAsia="宋体" w:hint="default"/>
          <w:sz w:val="9"/>
          <w:szCs w:val="9"/>
        </w:rPr>
      </w:pPr>
    </w:p>
    <w:p>
      <w:pPr>
        <w:pStyle w:val="BodyText"/>
        <w:tabs>
          <w:tab w:pos="1157" w:val="left" w:leader="none"/>
        </w:tabs>
        <w:spacing w:line="240" w:lineRule="auto" w:before="36"/>
        <w:ind w:left="0" w:right="150"/>
        <w:jc w:val="right"/>
      </w:pPr>
      <w:r>
        <w:rPr>
          <w:spacing w:val="-1"/>
        </w:rPr>
        <w:t>单位</w:t>
      </w:r>
      <w:r>
        <w:rPr>
          <w:rFonts w:ascii="宋体" w:hAnsi="宋体" w:cs="宋体" w:eastAsia="宋体" w:hint="default"/>
          <w:spacing w:val="-1"/>
        </w:rPr>
        <w:t>:</w:t>
      </w:r>
      <w:r>
        <w:rPr>
          <w:spacing w:val="-1"/>
        </w:rPr>
        <w:t>千元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29"/>
        <w:gridCol w:w="3430"/>
        <w:gridCol w:w="1418"/>
        <w:gridCol w:w="1918"/>
      </w:tblGrid>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
              <w:jc w:val="right"/>
              <w:rPr>
                <w:rFonts w:ascii="宋体" w:hAnsi="宋体" w:cs="宋体" w:eastAsia="宋体" w:hint="default"/>
                <w:sz w:val="21"/>
                <w:szCs w:val="21"/>
              </w:rPr>
            </w:pPr>
            <w:r>
              <w:rPr>
                <w:rFonts w:ascii="宋体" w:hAnsi="宋体" w:cs="宋体" w:eastAsia="宋体" w:hint="default"/>
                <w:spacing w:val="-1"/>
                <w:sz w:val="21"/>
                <w:szCs w:val="21"/>
              </w:rPr>
              <w:t>期末账面余额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西安欧思奇软件有限公司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21,426</w:t>
            </w: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在线途游</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13,643</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29,550</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北京奇安信科技有限公司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7,006</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16,667</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洛阳市景安计算机网络技术有限公司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6,597</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7,072</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奇酷软件</w:t>
            </w:r>
            <w:r>
              <w:rPr>
                <w:rFonts w:ascii="宋体" w:hAnsi="宋体" w:cs="宋体" w:eastAsia="宋体" w:hint="default"/>
                <w:sz w:val="21"/>
                <w:szCs w:val="21"/>
              </w:rPr>
              <w:t>(</w:t>
            </w:r>
            <w:r>
              <w:rPr>
                <w:rFonts w:ascii="宋体" w:hAnsi="宋体" w:cs="宋体" w:eastAsia="宋体" w:hint="default"/>
                <w:sz w:val="21"/>
                <w:szCs w:val="21"/>
              </w:rPr>
              <w:t>深圳</w:t>
            </w:r>
            <w:r>
              <w:rPr>
                <w:rFonts w:ascii="宋体" w:hAnsi="宋体" w:cs="宋体" w:eastAsia="宋体" w:hint="default"/>
                <w:sz w:val="21"/>
                <w:szCs w:val="21"/>
              </w:rPr>
              <w:t>)</w:t>
            </w:r>
            <w:r>
              <w:rPr>
                <w:rFonts w:ascii="宋体" w:hAnsi="宋体" w:cs="宋体" w:eastAsia="宋体" w:hint="default"/>
                <w:sz w:val="21"/>
                <w:szCs w:val="21"/>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6,011</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507</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上海犇众信息技术有限公司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5,100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2,500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上海黑桃互动网络科技股份有限公司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662</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4,299</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北京安云世纪科技有限公司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9,871</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成都奇鲁科技有限公司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418"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4,806</w:t>
            </w:r>
          </w:p>
        </w:tc>
      </w:tr>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1,679</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6,057</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62,124</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81,329</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Opera Software</w:t>
            </w:r>
            <w:r>
              <w:rPr>
                <w:rFonts w:ascii="宋体" w:hAnsi="宋体" w:cs="宋体" w:eastAsia="宋体" w:hint="default"/>
                <w:spacing w:val="1"/>
                <w:sz w:val="21"/>
                <w:szCs w:val="21"/>
              </w:rPr>
              <w:t> </w:t>
            </w:r>
            <w:r>
              <w:rPr>
                <w:rFonts w:ascii="宋体" w:hAnsi="宋体" w:cs="宋体" w:eastAsia="宋体" w:hint="default"/>
                <w:sz w:val="21"/>
                <w:szCs w:val="21"/>
              </w:rPr>
              <w:t>AS(</w:t>
            </w:r>
            <w:r>
              <w:rPr>
                <w:rFonts w:ascii="宋体" w:hAnsi="宋体" w:cs="宋体" w:eastAsia="宋体" w:hint="default"/>
                <w:sz w:val="21"/>
                <w:szCs w:val="21"/>
              </w:rPr>
              <w:t>注</w:t>
            </w:r>
            <w:r>
              <w:rPr>
                <w:rFonts w:ascii="宋体" w:hAnsi="宋体" w:cs="宋体" w:eastAsia="宋体" w:hint="default"/>
                <w:sz w:val="21"/>
                <w:szCs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76,797</w:t>
            </w: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北京奇智商务咨询有限公司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25,725</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120,885</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北京奇飞翔艺商务咨询有限公司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18,870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93,684</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北京奇安信科技有限公司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12,502</w:t>
            </w: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10,835</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7,412</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144,729</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221,981</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深圳岂凡网络有限公司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3,779</w:t>
            </w: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北京奇安信科技有限公司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3,566</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125</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412</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3,904</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3,978</w:t>
            </w:r>
          </w:p>
        </w:tc>
      </w:tr>
    </w:tbl>
    <w:p>
      <w:pPr>
        <w:pStyle w:val="BodyText"/>
        <w:spacing w:line="241" w:lineRule="exact"/>
        <w:ind w:right="148"/>
        <w:jc w:val="left"/>
      </w:pPr>
      <w:r>
        <w:rPr/>
        <w:t>注：为本公司的联营企业的子公司。</w:t>
      </w:r>
    </w:p>
    <w:p>
      <w:pPr>
        <w:spacing w:line="240" w:lineRule="auto" w:before="3"/>
        <w:rPr>
          <w:rFonts w:ascii="宋体" w:hAnsi="宋体" w:cs="宋体" w:eastAsia="宋体" w:hint="default"/>
          <w:sz w:val="25"/>
          <w:szCs w:val="25"/>
        </w:rPr>
      </w:pPr>
    </w:p>
    <w:p>
      <w:pPr>
        <w:pStyle w:val="Heading5"/>
        <w:spacing w:line="240" w:lineRule="auto"/>
        <w:ind w:left="138" w:right="5592"/>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tabs>
          <w:tab w:pos="980" w:val="left" w:leader="none"/>
        </w:tabs>
        <w:spacing w:line="240" w:lineRule="auto" w:before="58"/>
        <w:ind w:right="5592"/>
        <w:jc w:val="left"/>
      </w:pPr>
      <w:r>
        <w:rPr>
          <w:spacing w:val="-1"/>
        </w:rPr>
        <w:t>□适用</w:t>
        <w:tab/>
      </w:r>
      <w:r>
        <w:rPr>
          <w:spacing w:val="-2"/>
        </w:rPr>
        <w:t>√不适用</w:t>
      </w:r>
    </w:p>
    <w:p>
      <w:pPr>
        <w:spacing w:line="240" w:lineRule="auto" w:before="4"/>
        <w:rPr>
          <w:rFonts w:ascii="宋体" w:hAnsi="宋体" w:cs="宋体" w:eastAsia="宋体" w:hint="default"/>
          <w:sz w:val="22"/>
          <w:szCs w:val="22"/>
        </w:rPr>
      </w:pPr>
    </w:p>
    <w:p>
      <w:pPr>
        <w:spacing w:before="0"/>
        <w:ind w:left="138" w:right="5592"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980" w:val="left" w:leader="none"/>
        </w:tabs>
        <w:spacing w:line="240" w:lineRule="auto" w:before="56"/>
        <w:ind w:right="5592"/>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tabs>
          <w:tab w:pos="977" w:val="left" w:leader="none"/>
        </w:tabs>
        <w:spacing w:line="240" w:lineRule="auto"/>
        <w:ind w:left="138" w:right="5592"/>
        <w:jc w:val="left"/>
        <w:rPr>
          <w:b w:val="0"/>
          <w:bCs w:val="0"/>
        </w:rPr>
      </w:pPr>
      <w:r>
        <w:rPr/>
        <w:t>十三、</w:t>
        <w:tab/>
        <w:t>股份支付</w:t>
      </w:r>
      <w:r>
        <w:rPr>
          <w:b w:val="0"/>
          <w:bCs w:val="0"/>
        </w:rPr>
      </w:r>
    </w:p>
    <w:p>
      <w:pPr>
        <w:pStyle w:val="Heading5"/>
        <w:spacing w:line="240" w:lineRule="auto" w:before="58"/>
        <w:ind w:left="138" w:right="5592"/>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right="5592"/>
        <w:jc w:val="left"/>
      </w:pPr>
      <w:r>
        <w:rPr/>
        <w:t>□适用</w:t>
      </w:r>
      <w:r>
        <w:rPr>
          <w:spacing w:val="-1"/>
        </w:rPr>
        <w:t> </w:t>
      </w:r>
      <w:r>
        <w:rPr/>
        <w:t>√不适用</w:t>
      </w:r>
    </w:p>
    <w:p>
      <w:pPr>
        <w:spacing w:line="240" w:lineRule="auto" w:before="3"/>
        <w:rPr>
          <w:rFonts w:ascii="宋体" w:hAnsi="宋体" w:cs="宋体" w:eastAsia="宋体" w:hint="default"/>
          <w:sz w:val="28"/>
          <w:szCs w:val="28"/>
        </w:rPr>
      </w:pPr>
    </w:p>
    <w:p>
      <w:pPr>
        <w:pStyle w:val="Heading5"/>
        <w:spacing w:line="240" w:lineRule="auto"/>
        <w:ind w:left="138" w:right="5592"/>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right="5592"/>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5"/>
        <w:spacing w:line="240" w:lineRule="auto"/>
        <w:ind w:left="138" w:right="5592"/>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6"/>
        <w:ind w:right="5592"/>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5"/>
        <w:spacing w:line="240" w:lineRule="auto"/>
        <w:ind w:left="138" w:right="5592"/>
        <w:jc w:val="left"/>
        <w:rPr>
          <w:b w:val="0"/>
          <w:bCs w:val="0"/>
        </w:rPr>
      </w:pPr>
      <w:r>
        <w:rPr>
          <w:rFonts w:ascii="宋体" w:hAnsi="宋体" w:cs="宋体" w:eastAsia="宋体" w:hint="default"/>
        </w:rPr>
        <w:t>4</w:t>
      </w:r>
      <w:r>
        <w:rPr/>
        <w:t>、 股份支付的修改、终止情况</w:t>
      </w:r>
      <w:r>
        <w:rPr>
          <w:b w:val="0"/>
          <w:bCs w:val="0"/>
        </w:rPr>
      </w:r>
    </w:p>
    <w:p>
      <w:pPr>
        <w:pStyle w:val="BodyText"/>
        <w:tabs>
          <w:tab w:pos="980" w:val="left" w:leader="none"/>
        </w:tabs>
        <w:spacing w:line="240" w:lineRule="auto" w:before="56"/>
        <w:ind w:right="5592"/>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spacing w:line="240" w:lineRule="auto"/>
        <w:ind w:left="138" w:right="5592"/>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tabs>
          <w:tab w:pos="980" w:val="left" w:leader="none"/>
        </w:tabs>
        <w:spacing w:line="240" w:lineRule="auto" w:before="58"/>
        <w:ind w:right="5592"/>
        <w:jc w:val="left"/>
      </w:pPr>
      <w:r>
        <w:rPr>
          <w:spacing w:val="-1"/>
        </w:rPr>
        <w:t>□适用</w:t>
        <w:tab/>
      </w:r>
      <w:r>
        <w:rPr>
          <w:spacing w:val="-2"/>
        </w:rPr>
        <w:t>√不适用</w:t>
      </w:r>
    </w:p>
    <w:p>
      <w:pPr>
        <w:spacing w:after="0" w:line="240" w:lineRule="auto"/>
        <w:jc w:val="left"/>
        <w:sectPr>
          <w:footerReference w:type="default" r:id="rId92"/>
          <w:pgSz w:w="11910" w:h="16840"/>
          <w:pgMar w:footer="1217" w:header="857" w:top="1320" w:bottom="1400" w:left="1660" w:right="1120"/>
          <w:pgNumType w:start="206"/>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57" w:footer="1217" w:top="1320" w:bottom="1400" w:left="1580" w:right="1040"/>
        </w:sectPr>
      </w:pPr>
    </w:p>
    <w:p>
      <w:pPr>
        <w:pStyle w:val="Heading5"/>
        <w:tabs>
          <w:tab w:pos="1057" w:val="left" w:leader="none"/>
        </w:tabs>
        <w:spacing w:line="290" w:lineRule="auto" w:before="36"/>
        <w:ind w:right="2093"/>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72" w:lineRule="exact" w:before="42"/>
        <w:ind w:left="218" w:right="0"/>
        <w:jc w:val="left"/>
      </w:pPr>
      <w:r>
        <w:rPr/>
        <w:t>√适用</w:t>
      </w:r>
      <w:r>
        <w:rPr>
          <w:spacing w:val="-2"/>
        </w:rPr>
        <w:t> </w:t>
      </w:r>
      <w:r>
        <w:rPr/>
        <w:t>□不适用</w:t>
      </w:r>
      <w:r>
        <w:rPr>
          <w:w w:val="100"/>
        </w:rPr>
        <w:t> </w:t>
      </w:r>
      <w:r>
        <w:rPr>
          <w:spacing w:val="-2"/>
        </w:rPr>
        <w:t>资产负债表日存在的对外重要承诺、性质、金额</w:t>
      </w:r>
    </w:p>
    <w:p>
      <w:pPr>
        <w:pStyle w:val="BodyText"/>
        <w:spacing w:line="249" w:lineRule="exact"/>
        <w:ind w:left="638" w:right="2093"/>
        <w:jc w:val="left"/>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资本承诺</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218" w:right="0"/>
        <w:jc w:val="left"/>
      </w:pPr>
      <w:r>
        <w:rPr/>
        <w:t>单位：千元</w:t>
      </w:r>
      <w:r>
        <w:rPr>
          <w:spacing w:val="-1"/>
        </w:rPr>
        <w:t> </w:t>
      </w:r>
      <w:r>
        <w:rPr/>
        <w:t>币种：人民币</w:t>
      </w:r>
    </w:p>
    <w:p>
      <w:pPr>
        <w:spacing w:after="0" w:line="240" w:lineRule="auto"/>
        <w:jc w:val="left"/>
        <w:sectPr>
          <w:type w:val="continuous"/>
          <w:pgSz w:w="11910" w:h="16840"/>
          <w:pgMar w:top="1320" w:bottom="1400" w:left="1580" w:right="1040"/>
          <w:cols w:num="2" w:equalWidth="0">
            <w:col w:w="4633" w:space="1786"/>
            <w:col w:w="2871"/>
          </w:cols>
        </w:sectPr>
      </w:pPr>
    </w:p>
    <w:p>
      <w:pPr>
        <w:spacing w:line="240" w:lineRule="auto" w:before="7"/>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5264"/>
        <w:gridCol w:w="1841"/>
        <w:gridCol w:w="1843"/>
      </w:tblGrid>
      <w:tr>
        <w:trPr>
          <w:trHeight w:val="281" w:hRule="exact"/>
        </w:trPr>
        <w:tc>
          <w:tcPr>
            <w:tcW w:w="526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期初金额</w:t>
            </w:r>
          </w:p>
        </w:tc>
      </w:tr>
      <w:tr>
        <w:trPr>
          <w:trHeight w:val="302" w:hRule="exact"/>
        </w:trPr>
        <w:tc>
          <w:tcPr>
            <w:tcW w:w="52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已签约但尚未于财务报表中确认的</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526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购建长期资产承诺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879,844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130,814</w:t>
            </w:r>
          </w:p>
        </w:tc>
      </w:tr>
      <w:tr>
        <w:trPr>
          <w:trHeight w:val="300" w:hRule="exact"/>
        </w:trPr>
        <w:tc>
          <w:tcPr>
            <w:tcW w:w="52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对外投资承诺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233,681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352,163</w:t>
            </w:r>
          </w:p>
        </w:tc>
      </w:tr>
      <w:tr>
        <w:trPr>
          <w:trHeight w:val="301" w:hRule="exact"/>
        </w:trPr>
        <w:tc>
          <w:tcPr>
            <w:tcW w:w="526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1,113,525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482,977</w:t>
            </w:r>
          </w:p>
        </w:tc>
      </w:tr>
    </w:tbl>
    <w:p>
      <w:pPr>
        <w:spacing w:line="240" w:lineRule="auto" w:before="7"/>
        <w:rPr>
          <w:rFonts w:ascii="宋体" w:hAnsi="宋体" w:cs="宋体" w:eastAsia="宋体" w:hint="default"/>
          <w:sz w:val="15"/>
          <w:szCs w:val="15"/>
        </w:rPr>
      </w:pPr>
    </w:p>
    <w:p>
      <w:pPr>
        <w:pStyle w:val="BodyText"/>
        <w:spacing w:line="355" w:lineRule="auto" w:before="36"/>
        <w:ind w:left="638" w:right="345"/>
        <w:jc w:val="left"/>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经营租赁承诺</w:t>
      </w:r>
      <w:r>
        <w:rPr>
          <w:w w:val="100"/>
        </w:rPr>
      </w:r>
      <w:r>
        <w:rPr>
          <w:w w:val="100"/>
        </w:rPr>
        <w:t> </w:t>
      </w:r>
      <w:r>
        <w:rPr>
          <w:spacing w:val="-2"/>
        </w:rPr>
        <w:t>截至资产负债表日止，本集团对外签订的不可撤销的经营租赁合约情况如下：</w:t>
      </w:r>
    </w:p>
    <w:p>
      <w:pPr>
        <w:pStyle w:val="BodyText"/>
        <w:spacing w:line="240" w:lineRule="auto" w:before="32"/>
        <w:ind w:left="638" w:right="234"/>
        <w:jc w:val="left"/>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作为承租人</w:t>
      </w:r>
      <w:r>
        <w:rPr/>
      </w:r>
    </w:p>
    <w:p>
      <w:pPr>
        <w:pStyle w:val="BodyText"/>
        <w:spacing w:line="240" w:lineRule="auto" w:before="135"/>
        <w:ind w:left="0" w:right="230"/>
        <w:jc w:val="right"/>
      </w:pPr>
      <w:r>
        <w:rPr/>
        <w:t>单位：千元</w:t>
      </w:r>
      <w:r>
        <w:rPr>
          <w:spacing w:val="-1"/>
        </w:rPr>
        <w:t> </w:t>
      </w:r>
      <w:r>
        <w:rPr/>
        <w:t>币种：人民币</w:t>
      </w:r>
    </w:p>
    <w:p>
      <w:pPr>
        <w:spacing w:line="240" w:lineRule="auto" w:before="10"/>
        <w:rPr>
          <w:rFonts w:ascii="宋体" w:hAnsi="宋体" w:cs="宋体" w:eastAsia="宋体" w:hint="default"/>
          <w:sz w:val="12"/>
          <w:szCs w:val="12"/>
        </w:rPr>
      </w:pPr>
    </w:p>
    <w:tbl>
      <w:tblPr>
        <w:tblW w:w="0" w:type="auto"/>
        <w:jc w:val="left"/>
        <w:tblInd w:w="213" w:type="dxa"/>
        <w:tblLayout w:type="fixed"/>
        <w:tblCellMar>
          <w:top w:w="0" w:type="dxa"/>
          <w:left w:w="0" w:type="dxa"/>
          <w:bottom w:w="0" w:type="dxa"/>
          <w:right w:w="0" w:type="dxa"/>
        </w:tblCellMar>
        <w:tblLook w:val="01E0"/>
      </w:tblPr>
      <w:tblGrid>
        <w:gridCol w:w="5185"/>
        <w:gridCol w:w="1874"/>
        <w:gridCol w:w="1873"/>
      </w:tblGrid>
      <w:tr>
        <w:trPr>
          <w:trHeight w:val="281" w:hRule="exact"/>
        </w:trPr>
        <w:tc>
          <w:tcPr>
            <w:tcW w:w="5185"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期初金额</w:t>
            </w:r>
          </w:p>
        </w:tc>
      </w:tr>
      <w:tr>
        <w:trPr>
          <w:trHeight w:val="283" w:hRule="exact"/>
        </w:trPr>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不可撤销经营租赁的最低租赁付款额</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121,843</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121,278</w:t>
            </w:r>
          </w:p>
        </w:tc>
      </w:tr>
      <w:tr>
        <w:trPr>
          <w:trHeight w:val="281" w:hRule="exact"/>
        </w:trPr>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113,444</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112,024</w:t>
            </w:r>
          </w:p>
        </w:tc>
      </w:tr>
      <w:tr>
        <w:trPr>
          <w:trHeight w:val="283" w:hRule="exact"/>
        </w:trPr>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102,694</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106,430</w:t>
            </w:r>
          </w:p>
        </w:tc>
      </w:tr>
      <w:tr>
        <w:trPr>
          <w:trHeight w:val="283" w:hRule="exact"/>
        </w:trPr>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以后年度</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158,828</w:t>
            </w:r>
          </w:p>
        </w:tc>
      </w:tr>
      <w:tr>
        <w:trPr>
          <w:trHeight w:val="281" w:hRule="exact"/>
        </w:trPr>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337,981</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498,560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20" w:bottom="1400" w:left="1580" w:right="1040"/>
        </w:sectPr>
      </w:pPr>
    </w:p>
    <w:p>
      <w:pPr>
        <w:pStyle w:val="Heading5"/>
        <w:spacing w:line="240" w:lineRule="auto" w:before="36"/>
        <w:ind w:right="2093"/>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Heading5"/>
        <w:spacing w:line="240" w:lineRule="auto" w:before="56"/>
        <w:ind w:right="0"/>
        <w:jc w:val="left"/>
        <w:rPr>
          <w:b w:val="0"/>
          <w:bCs w:val="0"/>
        </w:rPr>
      </w:pPr>
      <w:r>
        <w:rPr>
          <w:rFonts w:ascii="宋体" w:hAnsi="宋体" w:cs="宋体" w:eastAsia="宋体" w:hint="default"/>
        </w:rPr>
        <w:t>(1).</w:t>
      </w:r>
      <w:r>
        <w:rPr>
          <w:rFonts w:ascii="宋体" w:hAnsi="宋体" w:cs="宋体" w:eastAsia="宋体" w:hint="default"/>
          <w:spacing w:val="-46"/>
        </w:rPr>
        <w:t> </w:t>
      </w:r>
      <w:r>
        <w:rPr/>
        <w:t>资产负债表日存在的重要或有事项</w:t>
      </w:r>
      <w:r>
        <w:rPr>
          <w:b w:val="0"/>
          <w:bCs w:val="0"/>
        </w:rPr>
      </w:r>
    </w:p>
    <w:p>
      <w:pPr>
        <w:pStyle w:val="BodyText"/>
        <w:tabs>
          <w:tab w:pos="1060" w:val="left" w:leader="none"/>
        </w:tabs>
        <w:spacing w:line="272" w:lineRule="exact" w:before="86"/>
        <w:ind w:left="218" w:right="0"/>
        <w:jc w:val="left"/>
      </w:pPr>
      <w:r>
        <w:rPr>
          <w:spacing w:val="-1"/>
        </w:rPr>
        <w:t>√适用</w:t>
        <w:tab/>
      </w:r>
      <w:r>
        <w:rPr>
          <w:spacing w:val="-2"/>
        </w:rPr>
        <w:t>□不适用</w:t>
      </w:r>
      <w:r>
        <w:rPr>
          <w:spacing w:val="-99"/>
        </w:rPr>
        <w:t> </w:t>
      </w:r>
      <w:r>
        <w:rPr>
          <w:spacing w:val="-99"/>
        </w:rPr>
      </w:r>
      <w:r>
        <w:rPr>
          <w:spacing w:val="-2"/>
        </w:rPr>
        <w:t>重大未决诉讼仲裁形成的或有负债及其财务影响</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218" w:right="0"/>
        <w:jc w:val="left"/>
      </w:pPr>
      <w:r>
        <w:rPr/>
        <w:t>单位：千元</w:t>
      </w:r>
      <w:r>
        <w:rPr>
          <w:spacing w:val="-1"/>
        </w:rPr>
        <w:t> </w:t>
      </w:r>
      <w:r>
        <w:rPr/>
        <w:t>币种：人民币</w:t>
      </w:r>
    </w:p>
    <w:p>
      <w:pPr>
        <w:spacing w:after="0" w:line="240" w:lineRule="auto"/>
        <w:jc w:val="left"/>
        <w:sectPr>
          <w:type w:val="continuous"/>
          <w:pgSz w:w="11910" w:h="16840"/>
          <w:pgMar w:top="1320" w:bottom="1400" w:left="1580" w:right="1040"/>
          <w:cols w:num="2" w:equalWidth="0">
            <w:col w:w="4633" w:space="1786"/>
            <w:col w:w="2871"/>
          </w:cols>
        </w:sectPr>
      </w:pP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093"/>
        <w:gridCol w:w="2835"/>
        <w:gridCol w:w="1843"/>
        <w:gridCol w:w="2278"/>
      </w:tblGrid>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1" w:right="0"/>
              <w:jc w:val="left"/>
              <w:rPr>
                <w:rFonts w:ascii="宋体" w:hAnsi="宋体" w:cs="宋体" w:eastAsia="宋体" w:hint="default"/>
                <w:sz w:val="21"/>
                <w:szCs w:val="21"/>
              </w:rPr>
            </w:pPr>
            <w:r>
              <w:rPr>
                <w:rFonts w:ascii="宋体" w:hAnsi="宋体" w:cs="宋体" w:eastAsia="宋体" w:hint="default"/>
                <w:sz w:val="21"/>
                <w:szCs w:val="21"/>
              </w:rPr>
              <w:t>相关单位</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诉讼内容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诉讼标的</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诉讼状态</w:t>
            </w:r>
          </w:p>
        </w:tc>
      </w:tr>
      <w:tr>
        <w:trPr>
          <w:trHeight w:val="1100"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295"/>
              <w:jc w:val="left"/>
              <w:rPr>
                <w:rFonts w:ascii="宋体" w:hAnsi="宋体" w:cs="宋体" w:eastAsia="宋体" w:hint="default"/>
                <w:sz w:val="21"/>
                <w:szCs w:val="21"/>
              </w:rPr>
            </w:pPr>
            <w:r>
              <w:rPr>
                <w:rFonts w:ascii="宋体" w:hAnsi="宋体" w:cs="宋体" w:eastAsia="宋体" w:hint="default"/>
                <w:sz w:val="21"/>
                <w:szCs w:val="21"/>
              </w:rPr>
              <w:t>北京四维图新科技</w:t>
            </w:r>
            <w:r>
              <w:rPr>
                <w:rFonts w:ascii="宋体" w:hAnsi="宋体" w:cs="宋体" w:eastAsia="宋体" w:hint="default"/>
                <w:w w:val="100"/>
                <w:sz w:val="21"/>
                <w:szCs w:val="21"/>
              </w:rPr>
              <w:t> </w:t>
            </w:r>
            <w:r>
              <w:rPr>
                <w:rFonts w:ascii="宋体" w:hAnsi="宋体" w:cs="宋体" w:eastAsia="宋体" w:hint="default"/>
                <w:sz w:val="21"/>
                <w:szCs w:val="21"/>
              </w:rPr>
              <w:t>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本集团、北京秀友科技有限</w:t>
            </w:r>
          </w:p>
          <w:p>
            <w:pPr>
              <w:pStyle w:val="TableParagraph"/>
              <w:spacing w:line="237" w:lineRule="auto"/>
              <w:ind w:left="101" w:right="199"/>
              <w:jc w:val="both"/>
              <w:rPr>
                <w:rFonts w:ascii="宋体" w:hAnsi="宋体" w:cs="宋体" w:eastAsia="宋体" w:hint="default"/>
                <w:sz w:val="21"/>
                <w:szCs w:val="21"/>
              </w:rPr>
            </w:pPr>
            <w:r>
              <w:rPr>
                <w:rFonts w:ascii="宋体" w:hAnsi="宋体" w:cs="宋体" w:eastAsia="宋体" w:hint="default"/>
                <w:spacing w:val="-2"/>
                <w:sz w:val="21"/>
                <w:szCs w:val="21"/>
              </w:rPr>
              <w:t>公司及立得空间信息技术股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份有限公司</w:t>
            </w:r>
            <w:r>
              <w:rPr>
                <w:rFonts w:ascii="宋体" w:hAnsi="宋体" w:cs="宋体" w:eastAsia="宋体" w:hint="default"/>
                <w:spacing w:val="-53"/>
                <w:sz w:val="21"/>
                <w:szCs w:val="21"/>
              </w:rPr>
              <w:t> </w:t>
            </w:r>
            <w:r>
              <w:rPr>
                <w:rFonts w:ascii="宋体" w:hAnsi="宋体" w:cs="宋体" w:eastAsia="宋体" w:hint="default"/>
                <w:sz w:val="21"/>
                <w:szCs w:val="21"/>
              </w:rPr>
              <w:t>360</w:t>
            </w:r>
            <w:r>
              <w:rPr>
                <w:rFonts w:ascii="宋体" w:hAnsi="宋体" w:cs="宋体" w:eastAsia="宋体" w:hint="default"/>
                <w:spacing w:val="-55"/>
                <w:sz w:val="21"/>
                <w:szCs w:val="21"/>
              </w:rPr>
              <w:t> </w:t>
            </w:r>
            <w:r>
              <w:rPr>
                <w:rFonts w:ascii="宋体" w:hAnsi="宋体" w:cs="宋体" w:eastAsia="宋体" w:hint="default"/>
                <w:sz w:val="21"/>
                <w:szCs w:val="21"/>
              </w:rPr>
              <w:t>地图著作权</w:t>
            </w:r>
            <w:r>
              <w:rPr>
                <w:rFonts w:ascii="宋体" w:hAnsi="宋体" w:cs="宋体" w:eastAsia="宋体" w:hint="default"/>
                <w:w w:val="100"/>
                <w:sz w:val="21"/>
                <w:szCs w:val="21"/>
              </w:rPr>
              <w:t> </w:t>
            </w:r>
            <w:r>
              <w:rPr>
                <w:rFonts w:ascii="宋体" w:hAnsi="宋体" w:cs="宋体" w:eastAsia="宋体" w:hint="default"/>
                <w:sz w:val="21"/>
                <w:szCs w:val="21"/>
              </w:rPr>
              <w:t>侵权及不正当竞争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93" w:right="0"/>
              <w:jc w:val="left"/>
              <w:rPr>
                <w:rFonts w:ascii="宋体" w:hAnsi="宋体" w:cs="宋体" w:eastAsia="宋体" w:hint="default"/>
                <w:sz w:val="21"/>
                <w:szCs w:val="21"/>
              </w:rPr>
            </w:pPr>
            <w:r>
              <w:rPr>
                <w:rFonts w:ascii="宋体"/>
                <w:sz w:val="21"/>
              </w:rPr>
              <w:t>101,000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103" w:right="96" w:firstLine="105"/>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月法院驳</w:t>
            </w:r>
            <w:r>
              <w:rPr>
                <w:rFonts w:ascii="宋体" w:hAnsi="宋体" w:cs="宋体" w:eastAsia="宋体" w:hint="default"/>
                <w:w w:val="100"/>
                <w:sz w:val="21"/>
                <w:szCs w:val="21"/>
              </w:rPr>
              <w:t> </w:t>
            </w:r>
            <w:r>
              <w:rPr>
                <w:rFonts w:ascii="宋体" w:hAnsi="宋体" w:cs="宋体" w:eastAsia="宋体" w:hint="default"/>
                <w:spacing w:val="-5"/>
                <w:sz w:val="21"/>
                <w:szCs w:val="21"/>
              </w:rPr>
              <w:t>回四维的起诉，本集团</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胜诉，对方已上诉</w:t>
            </w:r>
          </w:p>
        </w:tc>
      </w:tr>
      <w:tr>
        <w:trPr>
          <w:trHeight w:val="1099"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295"/>
              <w:jc w:val="left"/>
              <w:rPr>
                <w:rFonts w:ascii="宋体" w:hAnsi="宋体" w:cs="宋体" w:eastAsia="宋体" w:hint="default"/>
                <w:sz w:val="21"/>
                <w:szCs w:val="21"/>
              </w:rPr>
            </w:pPr>
            <w:r>
              <w:rPr>
                <w:rFonts w:ascii="宋体" w:hAnsi="宋体" w:cs="宋体" w:eastAsia="宋体" w:hint="default"/>
                <w:sz w:val="21"/>
                <w:szCs w:val="21"/>
              </w:rPr>
              <w:t>央视国际网络有限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1" w:right="199"/>
              <w:jc w:val="both"/>
              <w:rPr>
                <w:rFonts w:ascii="宋体" w:hAnsi="宋体" w:cs="宋体" w:eastAsia="宋体" w:hint="default"/>
                <w:sz w:val="21"/>
                <w:szCs w:val="21"/>
              </w:rPr>
            </w:pPr>
            <w:r>
              <w:rPr>
                <w:rFonts w:ascii="宋体" w:hAnsi="宋体" w:cs="宋体" w:eastAsia="宋体" w:hint="default"/>
                <w:spacing w:val="-2"/>
                <w:sz w:val="21"/>
                <w:szCs w:val="21"/>
              </w:rPr>
              <w:t>本集团通过信息网络向用户</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提供赛事节目的点播与下载</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服务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99" w:right="0"/>
              <w:jc w:val="left"/>
              <w:rPr>
                <w:rFonts w:ascii="宋体" w:hAnsi="宋体" w:cs="宋体" w:eastAsia="宋体" w:hint="default"/>
                <w:sz w:val="21"/>
                <w:szCs w:val="21"/>
              </w:rPr>
            </w:pPr>
            <w:r>
              <w:rPr>
                <w:rFonts w:ascii="宋体"/>
                <w:sz w:val="21"/>
              </w:rPr>
              <w:t>10,000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月法院开庭</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审理，</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pacing w:val="-3"/>
                <w:sz w:val="21"/>
                <w:szCs w:val="21"/>
              </w:rPr>
              <w:t>月收</w:t>
            </w:r>
            <w:r>
              <w:rPr>
                <w:rFonts w:ascii="宋体" w:hAnsi="宋体" w:cs="宋体" w:eastAsia="宋体" w:hint="default"/>
                <w:spacing w:val="-3"/>
                <w:w w:val="100"/>
                <w:sz w:val="21"/>
                <w:szCs w:val="21"/>
              </w:rPr>
              <w:t> </w:t>
            </w:r>
            <w:r>
              <w:rPr>
                <w:rFonts w:ascii="宋体" w:hAnsi="宋体" w:cs="宋体" w:eastAsia="宋体" w:hint="default"/>
                <w:spacing w:val="-5"/>
                <w:sz w:val="21"/>
                <w:szCs w:val="21"/>
              </w:rPr>
              <w:t>到中止审理裁定，尚未</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判决</w:t>
            </w:r>
          </w:p>
        </w:tc>
      </w:tr>
      <w:tr>
        <w:trPr>
          <w:trHeight w:val="82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400"/>
              <w:jc w:val="left"/>
              <w:rPr>
                <w:rFonts w:ascii="宋体" w:hAnsi="宋体" w:cs="宋体" w:eastAsia="宋体" w:hint="default"/>
                <w:sz w:val="21"/>
                <w:szCs w:val="21"/>
              </w:rPr>
            </w:pPr>
            <w:r>
              <w:rPr>
                <w:rFonts w:ascii="宋体"/>
                <w:sz w:val="21"/>
              </w:rPr>
              <w:t>Red 5</w:t>
            </w:r>
            <w:r>
              <w:rPr>
                <w:rFonts w:ascii="宋体"/>
                <w:spacing w:val="-1"/>
                <w:sz w:val="21"/>
              </w:rPr>
              <w:t> </w:t>
            </w:r>
            <w:r>
              <w:rPr>
                <w:rFonts w:ascii="宋体"/>
                <w:sz w:val="21"/>
              </w:rPr>
              <w:t>Singapore</w:t>
            </w:r>
            <w:r>
              <w:rPr>
                <w:rFonts w:ascii="宋体"/>
                <w:w w:val="100"/>
                <w:sz w:val="21"/>
              </w:rPr>
              <w:t> </w:t>
            </w:r>
            <w:r>
              <w:rPr>
                <w:rFonts w:ascii="宋体"/>
                <w:sz w:val="21"/>
              </w:rPr>
              <w:t>Pte.</w:t>
            </w:r>
            <w:r>
              <w:rPr>
                <w:rFonts w:ascii="宋体"/>
                <w:spacing w:val="1"/>
                <w:sz w:val="21"/>
              </w:rPr>
              <w:t> </w:t>
            </w:r>
            <w:r>
              <w:rPr>
                <w:rFonts w:ascii="宋体"/>
                <w:sz w:val="21"/>
              </w:rPr>
              <w:t>Ltd.</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本集团合资设立的公司未支</w:t>
            </w:r>
          </w:p>
          <w:p>
            <w:pPr>
              <w:pStyle w:val="TableParagraph"/>
              <w:spacing w:line="240" w:lineRule="auto"/>
              <w:ind w:left="101" w:right="199"/>
              <w:jc w:val="left"/>
              <w:rPr>
                <w:rFonts w:ascii="宋体" w:hAnsi="宋体" w:cs="宋体" w:eastAsia="宋体" w:hint="default"/>
                <w:sz w:val="21"/>
                <w:szCs w:val="21"/>
              </w:rPr>
            </w:pPr>
            <w:r>
              <w:rPr>
                <w:rFonts w:ascii="宋体" w:hAnsi="宋体" w:cs="宋体" w:eastAsia="宋体" w:hint="default"/>
                <w:spacing w:val="-2"/>
                <w:sz w:val="21"/>
                <w:szCs w:val="21"/>
              </w:rPr>
              <w:t>付任何包括保底分成在内的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游戏收入分成</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pacing w:val="-6"/>
                <w:sz w:val="21"/>
                <w:szCs w:val="21"/>
              </w:rPr>
              <w:t>150,000</w:t>
            </w:r>
            <w:r>
              <w:rPr>
                <w:rFonts w:ascii="宋体" w:hAnsi="宋体" w:cs="宋体" w:eastAsia="宋体" w:hint="default"/>
                <w:spacing w:val="-6"/>
                <w:sz w:val="21"/>
                <w:szCs w:val="21"/>
              </w:rPr>
              <w:t>（千美元）</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13"/>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月已开庭，</w:t>
            </w:r>
            <w:r>
              <w:rPr>
                <w:rFonts w:ascii="宋体" w:hAnsi="宋体" w:cs="宋体" w:eastAsia="宋体" w:hint="default"/>
                <w:w w:val="100"/>
                <w:sz w:val="21"/>
                <w:szCs w:val="21"/>
              </w:rPr>
              <w:t> </w:t>
            </w:r>
            <w:r>
              <w:rPr>
                <w:rFonts w:ascii="宋体" w:hAnsi="宋体" w:cs="宋体" w:eastAsia="宋体" w:hint="default"/>
                <w:sz w:val="21"/>
                <w:szCs w:val="21"/>
              </w:rPr>
              <w:t>尚未判决</w:t>
            </w:r>
          </w:p>
        </w:tc>
      </w:tr>
      <w:tr>
        <w:trPr>
          <w:trHeight w:val="82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715"/>
              <w:jc w:val="left"/>
              <w:rPr>
                <w:rFonts w:ascii="宋体" w:hAnsi="宋体" w:cs="宋体" w:eastAsia="宋体" w:hint="default"/>
                <w:sz w:val="21"/>
                <w:szCs w:val="21"/>
              </w:rPr>
            </w:pPr>
            <w:r>
              <w:rPr>
                <w:rFonts w:ascii="宋体"/>
                <w:sz w:val="21"/>
              </w:rPr>
              <w:t>City Channel</w:t>
            </w:r>
            <w:r>
              <w:rPr>
                <w:rFonts w:ascii="宋体"/>
                <w:w w:val="100"/>
                <w:sz w:val="21"/>
              </w:rPr>
              <w:t> </w:t>
            </w:r>
            <w:r>
              <w:rPr>
                <w:rFonts w:ascii="宋体"/>
                <w:sz w:val="21"/>
              </w:rPr>
              <w:t>Limited</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本集团未履行合资合同出资</w:t>
            </w:r>
          </w:p>
          <w:p>
            <w:pPr>
              <w:pStyle w:val="TableParagraph"/>
              <w:spacing w:line="240" w:lineRule="auto"/>
              <w:ind w:left="101" w:right="199"/>
              <w:jc w:val="left"/>
              <w:rPr>
                <w:rFonts w:ascii="宋体" w:hAnsi="宋体" w:cs="宋体" w:eastAsia="宋体" w:hint="default"/>
                <w:sz w:val="21"/>
                <w:szCs w:val="21"/>
              </w:rPr>
            </w:pPr>
            <w:r>
              <w:rPr>
                <w:rFonts w:ascii="宋体" w:hAnsi="宋体" w:cs="宋体" w:eastAsia="宋体" w:hint="default"/>
                <w:spacing w:val="-2"/>
                <w:sz w:val="21"/>
                <w:szCs w:val="21"/>
              </w:rPr>
              <w:t>义务导致游戏《火瀑》运营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受损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82" w:right="0"/>
              <w:jc w:val="left"/>
              <w:rPr>
                <w:rFonts w:ascii="宋体" w:hAnsi="宋体" w:cs="宋体" w:eastAsia="宋体" w:hint="default"/>
                <w:sz w:val="21"/>
                <w:szCs w:val="21"/>
              </w:rPr>
            </w:pPr>
            <w:r>
              <w:rPr>
                <w:rFonts w:ascii="宋体"/>
                <w:sz w:val="21"/>
              </w:rPr>
              <w:t>2,230,971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269"/>
              <w:jc w:val="left"/>
              <w:rPr>
                <w:rFonts w:ascii="宋体" w:hAnsi="宋体" w:cs="宋体" w:eastAsia="宋体" w:hint="default"/>
                <w:sz w:val="21"/>
                <w:szCs w:val="21"/>
              </w:rPr>
            </w:pPr>
            <w:r>
              <w:rPr>
                <w:rFonts w:ascii="宋体" w:hAnsi="宋体" w:cs="宋体" w:eastAsia="宋体" w:hint="default"/>
                <w:sz w:val="21"/>
                <w:szCs w:val="21"/>
              </w:rPr>
              <w:t>本集团已收到仲裁材</w:t>
            </w:r>
            <w:r>
              <w:rPr>
                <w:rFonts w:ascii="宋体" w:hAnsi="宋体" w:cs="宋体" w:eastAsia="宋体" w:hint="default"/>
                <w:w w:val="100"/>
                <w:sz w:val="21"/>
                <w:szCs w:val="21"/>
              </w:rPr>
              <w:t> </w:t>
            </w:r>
            <w:r>
              <w:rPr>
                <w:rFonts w:ascii="宋体" w:hAnsi="宋体" w:cs="宋体" w:eastAsia="宋体" w:hint="default"/>
                <w:sz w:val="21"/>
                <w:szCs w:val="21"/>
              </w:rPr>
              <w:t>料，待开庭。</w:t>
            </w:r>
          </w:p>
        </w:tc>
      </w:tr>
    </w:tbl>
    <w:p>
      <w:pPr>
        <w:spacing w:after="0" w:line="240" w:lineRule="auto"/>
        <w:jc w:val="left"/>
        <w:rPr>
          <w:rFonts w:ascii="宋体" w:hAnsi="宋体" w:cs="宋体" w:eastAsia="宋体" w:hint="default"/>
          <w:sz w:val="21"/>
          <w:szCs w:val="21"/>
        </w:rPr>
        <w:sectPr>
          <w:type w:val="continuous"/>
          <w:pgSz w:w="11910" w:h="16840"/>
          <w:pgMar w:top="1320" w:bottom="140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5"/>
        <w:spacing w:line="240" w:lineRule="auto" w:before="36"/>
        <w:ind w:left="138" w:right="0"/>
        <w:jc w:val="both"/>
        <w:rPr>
          <w:b w:val="0"/>
          <w:bCs w:val="0"/>
        </w:rPr>
      </w:pPr>
      <w:r>
        <w:rPr>
          <w:rFonts w:ascii="宋体" w:hAnsi="宋体" w:cs="宋体" w:eastAsia="宋体" w:hint="default"/>
        </w:rPr>
        <w:t>(2).</w:t>
      </w:r>
      <w:r>
        <w:rPr>
          <w:rFonts w:ascii="宋体" w:hAnsi="宋体" w:cs="宋体" w:eastAsia="宋体" w:hint="default"/>
          <w:spacing w:val="-49"/>
        </w:rPr>
        <w:t> </w:t>
      </w:r>
      <w:r>
        <w:rPr/>
        <w:t>公司没有需要披露的重要或有事项，也应予以说明：</w:t>
      </w:r>
      <w:r>
        <w:rPr>
          <w:b w:val="0"/>
          <w:bCs w:val="0"/>
        </w:rPr>
      </w:r>
    </w:p>
    <w:p>
      <w:pPr>
        <w:pStyle w:val="BodyText"/>
        <w:spacing w:line="240" w:lineRule="auto" w:before="58"/>
        <w:ind w:right="0"/>
        <w:jc w:val="both"/>
      </w:pPr>
      <w:r>
        <w:rPr/>
        <w:t>□适用</w:t>
      </w:r>
      <w:r>
        <w:rPr>
          <w:spacing w:val="104"/>
        </w:rPr>
        <w:t> </w:t>
      </w:r>
      <w:r>
        <w:rPr/>
        <w:t>√不适用</w:t>
      </w:r>
    </w:p>
    <w:p>
      <w:pPr>
        <w:spacing w:line="240" w:lineRule="auto" w:before="9"/>
        <w:rPr>
          <w:rFonts w:ascii="宋体" w:hAnsi="宋体" w:cs="宋体" w:eastAsia="宋体" w:hint="default"/>
          <w:sz w:val="26"/>
          <w:szCs w:val="26"/>
        </w:rPr>
      </w:pPr>
    </w:p>
    <w:p>
      <w:pPr>
        <w:pStyle w:val="Heading5"/>
        <w:spacing w:line="240" w:lineRule="auto"/>
        <w:ind w:left="138" w:right="0"/>
        <w:jc w:val="both"/>
        <w:rPr>
          <w:b w:val="0"/>
          <w:bCs w:val="0"/>
        </w:rPr>
      </w:pPr>
      <w:r>
        <w:rPr>
          <w:rFonts w:ascii="宋体" w:hAnsi="宋体" w:cs="宋体" w:eastAsia="宋体" w:hint="default"/>
        </w:rPr>
        <w:t>3</w:t>
      </w:r>
      <w:r>
        <w:rPr/>
        <w:t>、</w:t>
      </w:r>
      <w:r>
        <w:rPr>
          <w:spacing w:val="2"/>
        </w:rPr>
        <w:t> </w:t>
      </w:r>
      <w:r>
        <w:rPr/>
        <w:t>其他</w:t>
      </w:r>
      <w:r>
        <w:rPr>
          <w:b w:val="0"/>
          <w:bCs w:val="0"/>
        </w:rPr>
      </w:r>
    </w:p>
    <w:p>
      <w:pPr>
        <w:pStyle w:val="BodyText"/>
        <w:spacing w:line="240" w:lineRule="auto" w:before="58"/>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5"/>
        <w:spacing w:line="240" w:lineRule="auto"/>
        <w:ind w:left="138" w:right="0"/>
        <w:jc w:val="both"/>
        <w:rPr>
          <w:b w:val="0"/>
          <w:bCs w:val="0"/>
        </w:rPr>
      </w:pPr>
      <w:r>
        <w:rPr/>
        <w:t>十五、</w:t>
      </w:r>
      <w:r>
        <w:rPr>
          <w:spacing w:val="104"/>
        </w:rPr>
        <w:t> </w:t>
      </w:r>
      <w:r>
        <w:rPr/>
        <w:t>资产负债表日后事项</w:t>
      </w:r>
      <w:r>
        <w:rPr>
          <w:b w:val="0"/>
          <w:bCs w:val="0"/>
        </w:rPr>
      </w:r>
    </w:p>
    <w:p>
      <w:pPr>
        <w:pStyle w:val="Heading5"/>
        <w:spacing w:line="240" w:lineRule="auto" w:before="56"/>
        <w:ind w:left="138" w:right="0"/>
        <w:jc w:val="both"/>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right="0"/>
        <w:jc w:val="both"/>
      </w:pPr>
      <w:r>
        <w:rPr/>
        <w:t>□适用</w:t>
      </w:r>
      <w:r>
        <w:rPr>
          <w:spacing w:val="-1"/>
        </w:rPr>
        <w:t> </w:t>
      </w:r>
      <w:r>
        <w:rPr/>
        <w:t>√不适用</w:t>
      </w:r>
    </w:p>
    <w:p>
      <w:pPr>
        <w:spacing w:line="240" w:lineRule="auto" w:before="3"/>
        <w:rPr>
          <w:rFonts w:ascii="宋体" w:hAnsi="宋体" w:cs="宋体" w:eastAsia="宋体" w:hint="default"/>
          <w:sz w:val="28"/>
          <w:szCs w:val="28"/>
        </w:rPr>
      </w:pPr>
    </w:p>
    <w:p>
      <w:pPr>
        <w:pStyle w:val="Heading5"/>
        <w:spacing w:line="240" w:lineRule="auto"/>
        <w:ind w:left="138" w:right="0"/>
        <w:jc w:val="both"/>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29"/>
        <w:ind w:right="0"/>
        <w:jc w:val="both"/>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5"/>
        <w:spacing w:line="240" w:lineRule="auto"/>
        <w:ind w:left="138"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2"/>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left="138"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74" w:lineRule="exact" w:before="29"/>
        <w:ind w:right="0"/>
        <w:jc w:val="both"/>
      </w:pPr>
      <w:r>
        <w:rPr/>
        <w:t>√适用</w:t>
      </w:r>
      <w:r>
        <w:rPr>
          <w:spacing w:val="104"/>
        </w:rPr>
        <w:t> </w:t>
      </w:r>
      <w:r>
        <w:rPr/>
        <w:t>□不适用</w:t>
      </w:r>
    </w:p>
    <w:p>
      <w:pPr>
        <w:pStyle w:val="BodyText"/>
        <w:spacing w:line="274" w:lineRule="exact"/>
        <w:ind w:left="618" w:right="0"/>
        <w:jc w:val="left"/>
      </w:pPr>
      <w:r>
        <w:rPr/>
        <w:t>根据</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2"/>
        </w:rPr>
        <w:t> </w:t>
      </w:r>
      <w:r>
        <w:rPr>
          <w:rFonts w:ascii="宋体" w:hAnsi="宋体" w:cs="宋体" w:eastAsia="宋体" w:hint="default"/>
        </w:rPr>
        <w:t>12</w:t>
      </w:r>
      <w:r>
        <w:rPr>
          <w:rFonts w:ascii="宋体" w:hAnsi="宋体" w:cs="宋体" w:eastAsia="宋体" w:hint="default"/>
          <w:spacing w:val="-55"/>
        </w:rPr>
        <w:t> </w:t>
      </w:r>
      <w:r>
        <w:rPr/>
        <w:t>日董事会决议，董事会提议本公司以董事会审议当日的总股本</w:t>
      </w:r>
    </w:p>
    <w:p>
      <w:pPr>
        <w:pStyle w:val="BodyText"/>
        <w:spacing w:line="240" w:lineRule="auto" w:before="133"/>
        <w:ind w:right="0"/>
        <w:jc w:val="both"/>
      </w:pPr>
      <w:r>
        <w:rPr>
          <w:rFonts w:ascii="宋体" w:hAnsi="宋体" w:cs="宋体" w:eastAsia="宋体" w:hint="default"/>
        </w:rPr>
        <w:t>6,764,055,167</w:t>
      </w:r>
      <w:r>
        <w:rPr>
          <w:rFonts w:ascii="宋体" w:hAnsi="宋体" w:cs="宋体" w:eastAsia="宋体" w:hint="default"/>
          <w:spacing w:val="-55"/>
        </w:rPr>
        <w:t> </w:t>
      </w:r>
      <w:r>
        <w:rPr/>
        <w:t>股为基数，向全体股东每</w:t>
      </w:r>
      <w:r>
        <w:rPr>
          <w:spacing w:val="-1"/>
        </w:rPr>
        <w:t> </w:t>
      </w:r>
      <w:r>
        <w:rPr>
          <w:rFonts w:ascii="宋体" w:hAnsi="宋体" w:cs="宋体" w:eastAsia="宋体" w:hint="default"/>
        </w:rPr>
        <w:t>10</w:t>
      </w:r>
      <w:r>
        <w:rPr>
          <w:rFonts w:ascii="宋体" w:hAnsi="宋体" w:cs="宋体" w:eastAsia="宋体" w:hint="default"/>
          <w:spacing w:val="-1"/>
        </w:rPr>
        <w:t> </w:t>
      </w:r>
      <w:r>
        <w:rPr/>
        <w:t>股派发现金股利人民币</w:t>
      </w:r>
      <w:r>
        <w:rPr>
          <w:spacing w:val="-53"/>
        </w:rPr>
        <w:t> </w:t>
      </w:r>
      <w:r>
        <w:rPr>
          <w:rFonts w:ascii="宋体" w:hAnsi="宋体" w:cs="宋体" w:eastAsia="宋体" w:hint="default"/>
        </w:rPr>
        <w:t>0.53</w:t>
      </w:r>
      <w:r>
        <w:rPr>
          <w:rFonts w:ascii="宋体" w:hAnsi="宋体" w:cs="宋体" w:eastAsia="宋体" w:hint="default"/>
          <w:spacing w:val="-55"/>
        </w:rPr>
        <w:t> </w:t>
      </w:r>
      <w:r>
        <w:rPr/>
        <w:t>元</w:t>
      </w:r>
      <w:r>
        <w:rPr>
          <w:spacing w:val="-1"/>
        </w:rPr>
        <w:t> </w:t>
      </w:r>
      <w:r>
        <w:rPr>
          <w:rFonts w:ascii="宋体" w:hAnsi="宋体" w:cs="宋体" w:eastAsia="宋体" w:hint="default"/>
        </w:rPr>
        <w:t>(</w:t>
      </w:r>
      <w:r>
        <w:rPr/>
        <w:t>含税</w:t>
      </w:r>
      <w:r>
        <w:rPr>
          <w:rFonts w:ascii="宋体" w:hAnsi="宋体" w:cs="宋体" w:eastAsia="宋体" w:hint="default"/>
        </w:rPr>
        <w:t>)</w:t>
      </w:r>
      <w:r>
        <w:rPr/>
        <w:t>，共计分配</w:t>
      </w:r>
    </w:p>
    <w:p>
      <w:pPr>
        <w:pStyle w:val="BodyText"/>
        <w:spacing w:line="355" w:lineRule="auto" w:before="133"/>
        <w:ind w:right="0"/>
        <w:jc w:val="left"/>
      </w:pPr>
      <w:r>
        <w:rPr/>
        <w:t>现金股利人民币</w:t>
      </w:r>
      <w:r>
        <w:rPr>
          <w:spacing w:val="-28"/>
        </w:rPr>
        <w:t> </w:t>
      </w:r>
      <w:r>
        <w:rPr>
          <w:rFonts w:ascii="宋体" w:hAnsi="宋体" w:cs="宋体" w:eastAsia="宋体" w:hint="default"/>
        </w:rPr>
        <w:t>3.58</w:t>
      </w:r>
      <w:r>
        <w:rPr>
          <w:rFonts w:ascii="宋体" w:hAnsi="宋体" w:cs="宋体" w:eastAsia="宋体" w:hint="default"/>
          <w:spacing w:val="-28"/>
        </w:rPr>
        <w:t> </w:t>
      </w:r>
      <w:r>
        <w:rPr>
          <w:spacing w:val="-5"/>
        </w:rPr>
        <w:t>亿元。该股利分配尚未经本公司股东大会批准，故未在财务报表中确认为负</w:t>
      </w:r>
      <w:r>
        <w:rPr>
          <w:spacing w:val="-95"/>
        </w:rPr>
        <w:t> </w:t>
      </w:r>
      <w:r>
        <w:rPr>
          <w:spacing w:val="-95"/>
        </w:rPr>
      </w:r>
      <w:r>
        <w:rPr/>
        <w:t>债。</w:t>
      </w:r>
    </w:p>
    <w:p>
      <w:pPr>
        <w:spacing w:line="240" w:lineRule="auto" w:before="13"/>
        <w:rPr>
          <w:rFonts w:ascii="宋体" w:hAnsi="宋体" w:cs="宋体" w:eastAsia="宋体" w:hint="default"/>
          <w:sz w:val="27"/>
          <w:szCs w:val="27"/>
        </w:rPr>
      </w:pPr>
    </w:p>
    <w:p>
      <w:pPr>
        <w:pStyle w:val="Heading5"/>
        <w:spacing w:line="290" w:lineRule="auto"/>
        <w:ind w:left="138" w:right="683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43"/>
        </w:rPr>
        <w:t> </w:t>
      </w:r>
      <w:r>
        <w:rPr/>
        <w:t>追溯重述法</w:t>
      </w:r>
      <w:r>
        <w:rPr>
          <w:b w:val="0"/>
          <w:bCs w:val="0"/>
        </w:rPr>
      </w:r>
    </w:p>
    <w:p>
      <w:pPr>
        <w:pStyle w:val="BodyText"/>
        <w:spacing w:line="240" w:lineRule="auto" w:before="12"/>
        <w:ind w:right="0"/>
        <w:jc w:val="both"/>
      </w:pPr>
      <w:r>
        <w:rPr/>
        <w:t>□适用</w:t>
      </w:r>
      <w:r>
        <w:rPr>
          <w:spacing w:val="-1"/>
        </w:rPr>
        <w:t> </w:t>
      </w:r>
      <w:r>
        <w:rPr/>
        <w:t>√不适用</w:t>
      </w:r>
    </w:p>
    <w:p>
      <w:pPr>
        <w:spacing w:line="240" w:lineRule="auto" w:before="5"/>
        <w:rPr>
          <w:rFonts w:ascii="宋体" w:hAnsi="宋体" w:cs="宋体" w:eastAsia="宋体" w:hint="default"/>
          <w:sz w:val="28"/>
          <w:szCs w:val="28"/>
        </w:rPr>
      </w:pPr>
    </w:p>
    <w:p>
      <w:pPr>
        <w:pStyle w:val="Heading5"/>
        <w:spacing w:line="240" w:lineRule="auto"/>
        <w:ind w:left="138" w:right="0"/>
        <w:jc w:val="both"/>
        <w:rPr>
          <w:b w:val="0"/>
          <w:bCs w:val="0"/>
        </w:rPr>
      </w:pPr>
      <w:r>
        <w:rPr>
          <w:rFonts w:ascii="宋体" w:hAnsi="宋体" w:cs="宋体" w:eastAsia="宋体" w:hint="default"/>
        </w:rPr>
        <w:t>(2).</w:t>
      </w:r>
      <w:r>
        <w:rPr>
          <w:rFonts w:ascii="宋体" w:hAnsi="宋体" w:cs="宋体" w:eastAsia="宋体" w:hint="default"/>
          <w:spacing w:val="-43"/>
        </w:rPr>
        <w:t> </w:t>
      </w:r>
      <w:r>
        <w:rPr/>
        <w:t>未来适用法</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5"/>
        <w:spacing w:line="240" w:lineRule="auto"/>
        <w:ind w:left="138" w:right="0"/>
        <w:jc w:val="both"/>
        <w:rPr>
          <w:b w:val="0"/>
          <w:bCs w:val="0"/>
        </w:rPr>
      </w:pPr>
      <w:r>
        <w:rPr>
          <w:rFonts w:ascii="宋体" w:hAnsi="宋体" w:cs="宋体" w:eastAsia="宋体" w:hint="default"/>
        </w:rPr>
        <w:t>2</w:t>
      </w:r>
      <w:r>
        <w:rPr/>
        <w:t>、</w:t>
      </w:r>
      <w:r>
        <w:rPr>
          <w:spacing w:val="3"/>
        </w:rPr>
        <w:t> </w:t>
      </w:r>
      <w:r>
        <w:rPr/>
        <w:t>债务重组</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left="138" w:right="0"/>
        <w:jc w:val="both"/>
        <w:rPr>
          <w:b w:val="0"/>
          <w:bCs w:val="0"/>
        </w:rPr>
      </w:pPr>
      <w:r>
        <w:rPr>
          <w:rFonts w:ascii="宋体" w:hAnsi="宋体" w:cs="宋体" w:eastAsia="宋体" w:hint="default"/>
        </w:rPr>
        <w:t>3</w:t>
      </w:r>
      <w:r>
        <w:rPr/>
        <w:t>、</w:t>
      </w:r>
      <w:r>
        <w:rPr>
          <w:spacing w:val="3"/>
        </w:rPr>
        <w:t> </w:t>
      </w:r>
      <w:r>
        <w:rPr/>
        <w:t>资产置换</w:t>
      </w:r>
      <w:r>
        <w:rPr>
          <w:b w:val="0"/>
          <w:bCs w:val="0"/>
        </w:rPr>
      </w:r>
    </w:p>
    <w:p>
      <w:pPr>
        <w:pStyle w:val="Heading5"/>
        <w:spacing w:line="240" w:lineRule="auto" w:before="56"/>
        <w:ind w:left="138" w:right="0"/>
        <w:jc w:val="both"/>
        <w:rPr>
          <w:b w:val="0"/>
          <w:bCs w:val="0"/>
        </w:rPr>
      </w:pPr>
      <w:r>
        <w:rPr>
          <w:rFonts w:ascii="宋体" w:hAnsi="宋体" w:cs="宋体" w:eastAsia="宋体" w:hint="default"/>
        </w:rPr>
        <w:t>(1).</w:t>
      </w:r>
      <w:r>
        <w:rPr>
          <w:rFonts w:ascii="宋体" w:hAnsi="宋体" w:cs="宋体" w:eastAsia="宋体" w:hint="default"/>
          <w:spacing w:val="-42"/>
        </w:rPr>
        <w:t> </w:t>
      </w:r>
      <w:r>
        <w:rPr/>
        <w:t>非货币性资产交换</w:t>
      </w:r>
      <w:r>
        <w:rPr>
          <w:b w:val="0"/>
          <w:bCs w:val="0"/>
        </w:rPr>
      </w:r>
    </w:p>
    <w:p>
      <w:pPr>
        <w:pStyle w:val="BodyText"/>
        <w:tabs>
          <w:tab w:pos="980" w:val="left" w:leader="none"/>
        </w:tabs>
        <w:spacing w:line="314" w:lineRule="auto" w:before="135"/>
        <w:ind w:right="1065"/>
        <w:jc w:val="left"/>
      </w:pPr>
      <w:r>
        <w:rPr>
          <w:spacing w:val="-1"/>
        </w:rPr>
        <w:t>√适用</w:t>
        <w:tab/>
      </w:r>
      <w:r>
        <w:rPr>
          <w:spacing w:val="-2"/>
        </w:rPr>
        <w:t>□不适用</w:t>
      </w:r>
      <w:r>
        <w:rPr>
          <w:spacing w:val="-99"/>
        </w:rPr>
        <w:t> </w:t>
      </w:r>
      <w:r>
        <w:rPr>
          <w:spacing w:val="-99"/>
        </w:rPr>
      </w:r>
      <w:r>
        <w:rPr>
          <w:spacing w:val="-2"/>
        </w:rPr>
        <w:t>具体见附注三、</w:t>
      </w:r>
      <w:r>
        <w:rPr>
          <w:rFonts w:ascii="宋体" w:hAnsi="宋体" w:cs="宋体" w:eastAsia="宋体" w:hint="default"/>
          <w:spacing w:val="-2"/>
        </w:rPr>
        <w:t>1.</w:t>
      </w:r>
      <w:r>
        <w:rPr>
          <w:spacing w:val="-2"/>
        </w:rPr>
        <w:t>公司概况及附注十二、</w:t>
      </w:r>
      <w:r>
        <w:rPr>
          <w:rFonts w:ascii="宋体" w:hAnsi="宋体" w:cs="宋体" w:eastAsia="宋体" w:hint="default"/>
          <w:spacing w:val="-2"/>
        </w:rPr>
        <w:t>5</w:t>
      </w:r>
      <w:r>
        <w:rPr>
          <w:spacing w:val="-2"/>
        </w:rPr>
        <w:t>、（</w:t>
      </w:r>
      <w:r>
        <w:rPr>
          <w:rFonts w:ascii="宋体" w:hAnsi="宋体" w:cs="宋体" w:eastAsia="宋体" w:hint="default"/>
          <w:spacing w:val="-2"/>
        </w:rPr>
        <w:t>6</w:t>
      </w:r>
      <w:r>
        <w:rPr>
          <w:spacing w:val="-2"/>
        </w:rPr>
        <w:t>）</w:t>
      </w:r>
      <w:r>
        <w:rPr>
          <w:rFonts w:ascii="宋体" w:hAnsi="宋体" w:cs="宋体" w:eastAsia="宋体" w:hint="default"/>
          <w:spacing w:val="-2"/>
        </w:rPr>
        <w:t>.</w:t>
      </w:r>
      <w:r>
        <w:rPr>
          <w:spacing w:val="-2"/>
        </w:rPr>
        <w:t>关联方资产转让、债务重组情况。</w:t>
      </w:r>
    </w:p>
    <w:p>
      <w:pPr>
        <w:spacing w:after="0" w:line="314" w:lineRule="auto"/>
        <w:jc w:val="left"/>
        <w:sectPr>
          <w:pgSz w:w="11910" w:h="16840"/>
          <w:pgMar w:header="857" w:footer="1217" w:top="1320" w:bottom="1400" w:left="1660" w:right="1160"/>
        </w:sectPr>
      </w:pPr>
    </w:p>
    <w:p>
      <w:pPr>
        <w:spacing w:line="240" w:lineRule="auto" w:before="2"/>
        <w:rPr>
          <w:rFonts w:ascii="宋体" w:hAnsi="宋体" w:cs="宋体" w:eastAsia="宋体" w:hint="default"/>
          <w:sz w:val="9"/>
          <w:szCs w:val="9"/>
        </w:rPr>
      </w:pPr>
    </w:p>
    <w:p>
      <w:pPr>
        <w:pStyle w:val="Heading5"/>
        <w:spacing w:line="240" w:lineRule="auto" w:before="36"/>
        <w:ind w:right="234"/>
        <w:jc w:val="left"/>
        <w:rPr>
          <w:b w:val="0"/>
          <w:bCs w:val="0"/>
        </w:rPr>
      </w:pPr>
      <w:r>
        <w:rPr>
          <w:rFonts w:ascii="宋体" w:hAnsi="宋体" w:cs="宋体" w:eastAsia="宋体" w:hint="default"/>
        </w:rPr>
        <w:t>(2).</w:t>
      </w:r>
      <w:r>
        <w:rPr>
          <w:rFonts w:ascii="宋体" w:hAnsi="宋体" w:cs="宋体" w:eastAsia="宋体" w:hint="default"/>
          <w:spacing w:val="-43"/>
        </w:rPr>
        <w:t> </w:t>
      </w:r>
      <w:r>
        <w:rPr/>
        <w:t>其他资产置换</w:t>
      </w:r>
      <w:r>
        <w:rPr>
          <w:b w:val="0"/>
          <w:bCs w:val="0"/>
        </w:rPr>
      </w:r>
    </w:p>
    <w:p>
      <w:pPr>
        <w:pStyle w:val="BodyText"/>
        <w:tabs>
          <w:tab w:pos="1060" w:val="left" w:leader="none"/>
        </w:tabs>
        <w:spacing w:line="240" w:lineRule="auto" w:before="58"/>
        <w:ind w:left="218" w:right="234"/>
        <w:jc w:val="left"/>
      </w:pPr>
      <w:r>
        <w:rPr>
          <w:spacing w:val="-1"/>
        </w:rPr>
        <w:t>□适用</w:t>
        <w:tab/>
      </w:r>
      <w:r>
        <w:rPr>
          <w:spacing w:val="-2"/>
        </w:rPr>
        <w:t>√不适用</w:t>
      </w:r>
    </w:p>
    <w:p>
      <w:pPr>
        <w:spacing w:line="240" w:lineRule="auto" w:before="2"/>
        <w:rPr>
          <w:rFonts w:ascii="宋体" w:hAnsi="宋体" w:cs="宋体" w:eastAsia="宋体" w:hint="default"/>
          <w:sz w:val="28"/>
          <w:szCs w:val="28"/>
        </w:rPr>
      </w:pPr>
    </w:p>
    <w:p>
      <w:pPr>
        <w:pStyle w:val="Heading5"/>
        <w:spacing w:line="240" w:lineRule="auto"/>
        <w:ind w:right="234"/>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8"/>
        <w:ind w:left="218" w:right="234"/>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5"/>
        <w:spacing w:line="240" w:lineRule="auto"/>
        <w:ind w:right="234"/>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8"/>
        <w:ind w:left="218" w:right="234"/>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5"/>
        <w:spacing w:line="240" w:lineRule="auto"/>
        <w:ind w:right="234"/>
        <w:jc w:val="left"/>
        <w:rPr>
          <w:b w:val="0"/>
          <w:bCs w:val="0"/>
        </w:rPr>
      </w:pPr>
      <w:r>
        <w:rPr>
          <w:rFonts w:ascii="宋体" w:hAnsi="宋体" w:cs="宋体" w:eastAsia="宋体" w:hint="default"/>
        </w:rPr>
        <w:t>6</w:t>
      </w:r>
      <w:r>
        <w:rPr/>
        <w:t>、</w:t>
      </w:r>
      <w:r>
        <w:rPr>
          <w:spacing w:val="3"/>
        </w:rPr>
        <w:t> </w:t>
      </w:r>
      <w:r>
        <w:rPr/>
        <w:t>分部信息</w:t>
      </w:r>
      <w:r>
        <w:rPr>
          <w:b w:val="0"/>
          <w:bCs w:val="0"/>
        </w:rPr>
      </w:r>
    </w:p>
    <w:p>
      <w:pPr>
        <w:pStyle w:val="Heading5"/>
        <w:spacing w:line="240" w:lineRule="auto" w:before="59"/>
        <w:ind w:right="234"/>
        <w:jc w:val="left"/>
        <w:rPr>
          <w:b w:val="0"/>
          <w:bCs w:val="0"/>
        </w:rPr>
      </w:pPr>
      <w:r>
        <w:rPr>
          <w:rFonts w:ascii="宋体" w:hAnsi="宋体" w:cs="宋体" w:eastAsia="宋体" w:hint="default"/>
        </w:rPr>
        <w:t>(1).</w:t>
      </w:r>
      <w:r>
        <w:rPr>
          <w:rFonts w:ascii="宋体" w:hAnsi="宋体" w:cs="宋体" w:eastAsia="宋体" w:hint="default"/>
          <w:spacing w:val="-46"/>
        </w:rPr>
        <w:t> </w:t>
      </w:r>
      <w:r>
        <w:rPr/>
        <w:t>报告分部的确定依据与会计政策</w:t>
      </w:r>
      <w:r>
        <w:rPr>
          <w:b w:val="0"/>
          <w:bCs w:val="0"/>
        </w:rPr>
      </w:r>
    </w:p>
    <w:p>
      <w:pPr>
        <w:pStyle w:val="BodyText"/>
        <w:tabs>
          <w:tab w:pos="1060" w:val="left" w:leader="none"/>
        </w:tabs>
        <w:spacing w:line="240" w:lineRule="auto" w:before="56"/>
        <w:ind w:left="218" w:right="234"/>
        <w:jc w:val="left"/>
      </w:pPr>
      <w:r>
        <w:rPr>
          <w:spacing w:val="-1"/>
        </w:rPr>
        <w:t>□适用</w:t>
        <w:tab/>
      </w:r>
      <w:r>
        <w:rPr>
          <w:spacing w:val="-2"/>
        </w:rPr>
        <w:t>√不适用</w:t>
      </w:r>
    </w:p>
    <w:p>
      <w:pPr>
        <w:spacing w:line="240" w:lineRule="auto" w:before="2"/>
        <w:rPr>
          <w:rFonts w:ascii="宋体" w:hAnsi="宋体" w:cs="宋体" w:eastAsia="宋体" w:hint="default"/>
          <w:sz w:val="28"/>
          <w:szCs w:val="28"/>
        </w:rPr>
      </w:pPr>
    </w:p>
    <w:p>
      <w:pPr>
        <w:pStyle w:val="Heading5"/>
        <w:spacing w:line="240" w:lineRule="auto"/>
        <w:ind w:right="234"/>
        <w:jc w:val="left"/>
        <w:rPr>
          <w:b w:val="0"/>
          <w:bCs w:val="0"/>
        </w:rPr>
      </w:pPr>
      <w:r>
        <w:rPr>
          <w:rFonts w:ascii="宋体" w:hAnsi="宋体" w:cs="宋体" w:eastAsia="宋体" w:hint="default"/>
        </w:rPr>
        <w:t>(2).</w:t>
      </w:r>
      <w:r>
        <w:rPr/>
        <w:t>报告分部的财务信息</w:t>
      </w:r>
      <w:r>
        <w:rPr>
          <w:b w:val="0"/>
          <w:bCs w:val="0"/>
        </w:rPr>
      </w:r>
    </w:p>
    <w:p>
      <w:pPr>
        <w:pStyle w:val="BodyText"/>
        <w:tabs>
          <w:tab w:pos="1060" w:val="left" w:leader="none"/>
        </w:tabs>
        <w:spacing w:line="240" w:lineRule="auto" w:before="58"/>
        <w:ind w:left="218" w:right="234"/>
        <w:jc w:val="left"/>
      </w:pPr>
      <w:r>
        <w:rPr>
          <w:spacing w:val="-1"/>
        </w:rPr>
        <w:t>□适用</w:t>
        <w:tab/>
      </w:r>
      <w:r>
        <w:rPr>
          <w:spacing w:val="-2"/>
        </w:rPr>
        <w:t>√不适用</w:t>
      </w:r>
    </w:p>
    <w:p>
      <w:pPr>
        <w:pStyle w:val="Heading5"/>
        <w:spacing w:line="240" w:lineRule="auto" w:before="56"/>
        <w:ind w:right="234"/>
        <w:jc w:val="left"/>
        <w:rPr>
          <w:b w:val="0"/>
          <w:bCs w:val="0"/>
        </w:rPr>
      </w:pPr>
      <w:r>
        <w:rPr>
          <w:rFonts w:ascii="宋体" w:hAnsi="宋体" w:cs="宋体" w:eastAsia="宋体" w:hint="default"/>
        </w:rPr>
        <w:t>(3).</w:t>
      </w:r>
      <w:r>
        <w:rPr>
          <w:rFonts w:ascii="宋体" w:hAnsi="宋体" w:cs="宋体" w:eastAsia="宋体" w:hint="default"/>
          <w:spacing w:val="-49"/>
        </w:rPr>
        <w:t> </w:t>
      </w:r>
      <w:r>
        <w:rPr/>
        <w:t>公司无报告分部的，或者不能披露各报告分部的资产总额和负债总额的，应说明原因</w:t>
      </w:r>
      <w:r>
        <w:rPr>
          <w:b w:val="0"/>
          <w:bCs w:val="0"/>
        </w:rPr>
      </w:r>
    </w:p>
    <w:p>
      <w:pPr>
        <w:pStyle w:val="BodyText"/>
        <w:tabs>
          <w:tab w:pos="1060" w:val="left" w:leader="none"/>
        </w:tabs>
        <w:spacing w:line="240" w:lineRule="auto" w:before="58"/>
        <w:ind w:left="218" w:right="234"/>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spacing w:line="240" w:lineRule="auto"/>
        <w:ind w:right="234"/>
        <w:jc w:val="left"/>
        <w:rPr>
          <w:b w:val="0"/>
          <w:bCs w:val="0"/>
        </w:rPr>
      </w:pPr>
      <w:r>
        <w:rPr>
          <w:rFonts w:ascii="宋体" w:hAnsi="宋体" w:cs="宋体" w:eastAsia="宋体" w:hint="default"/>
        </w:rPr>
        <w:t>(4).</w:t>
      </w:r>
      <w:r>
        <w:rPr>
          <w:rFonts w:ascii="宋体" w:hAnsi="宋体" w:cs="宋体" w:eastAsia="宋体" w:hint="default"/>
          <w:spacing w:val="-44"/>
        </w:rPr>
        <w:t> </w:t>
      </w:r>
      <w:r>
        <w:rPr/>
        <w:t>其他说明</w:t>
      </w:r>
      <w:r>
        <w:rPr>
          <w:b w:val="0"/>
          <w:bCs w:val="0"/>
        </w:rPr>
      </w:r>
    </w:p>
    <w:p>
      <w:pPr>
        <w:pStyle w:val="BodyText"/>
        <w:tabs>
          <w:tab w:pos="1060" w:val="left" w:leader="none"/>
        </w:tabs>
        <w:spacing w:line="240" w:lineRule="auto" w:before="56"/>
        <w:ind w:left="638" w:right="249" w:hanging="420"/>
        <w:jc w:val="left"/>
      </w:pPr>
      <w:r>
        <w:rPr>
          <w:spacing w:val="-1"/>
        </w:rPr>
        <w:t>√适用</w:t>
        <w:tab/>
      </w:r>
      <w:r>
        <w:rPr>
          <w:spacing w:val="-2"/>
        </w:rPr>
        <w:t>□不适用</w:t>
      </w:r>
      <w:r>
        <w:rPr>
          <w:spacing w:val="-99"/>
        </w:rPr>
        <w:t> </w:t>
      </w:r>
      <w:r>
        <w:rPr>
          <w:spacing w:val="-99"/>
        </w:rPr>
      </w:r>
      <w:r>
        <w:rPr>
          <w:spacing w:val="-2"/>
        </w:rPr>
        <w:t>本集团的管理层根据本集团的内部组织结构、管理要求及内部报告制度划分为经营分部，本</w:t>
      </w:r>
    </w:p>
    <w:p>
      <w:pPr>
        <w:pStyle w:val="BodyText"/>
        <w:spacing w:line="355" w:lineRule="auto" w:before="133"/>
        <w:ind w:left="218" w:right="234"/>
        <w:jc w:val="left"/>
      </w:pPr>
      <w:r>
        <w:rPr>
          <w:spacing w:val="-2"/>
        </w:rPr>
        <w:t>集团的管理层定期评价这些分部的经营成果，以决定向其分配资源及评价其业绩。以经营分部为</w:t>
      </w:r>
      <w:r>
        <w:rPr>
          <w:spacing w:val="-25"/>
        </w:rPr>
        <w:t> </w:t>
      </w:r>
      <w:r>
        <w:rPr>
          <w:spacing w:val="-25"/>
        </w:rPr>
      </w:r>
      <w:r>
        <w:rPr/>
        <w:t>基础确定报告分部并披露分部信息。</w:t>
      </w:r>
    </w:p>
    <w:p>
      <w:pPr>
        <w:pStyle w:val="BodyText"/>
        <w:spacing w:line="357" w:lineRule="auto" w:before="32"/>
        <w:ind w:left="218" w:right="228" w:firstLine="419"/>
        <w:jc w:val="both"/>
      </w:pPr>
      <w:r>
        <w:rPr>
          <w:spacing w:val="-4"/>
        </w:rPr>
        <w:t>由于本集团主要在中国境内经营互联网产品及服务，</w:t>
      </w:r>
      <w:r>
        <w:rPr>
          <w:rFonts w:ascii="宋体" w:hAnsi="宋体" w:cs="宋体" w:eastAsia="宋体" w:hint="default"/>
          <w:spacing w:val="-4"/>
        </w:rPr>
        <w:t>90%</w:t>
      </w:r>
      <w:r>
        <w:rPr>
          <w:spacing w:val="-4"/>
        </w:rPr>
        <w:t>以上的收入来源于中国境内客户，以</w:t>
      </w:r>
      <w:r>
        <w:rPr>
          <w:w w:val="100"/>
        </w:rPr>
        <w:t> </w:t>
      </w:r>
      <w:r>
        <w:rPr/>
        <w:t>及</w:t>
      </w:r>
      <w:r>
        <w:rPr>
          <w:spacing w:val="-55"/>
        </w:rPr>
        <w:t> </w:t>
      </w:r>
      <w:r>
        <w:rPr>
          <w:rFonts w:ascii="宋体" w:hAnsi="宋体" w:cs="宋体" w:eastAsia="宋体" w:hint="default"/>
        </w:rPr>
        <w:t>70%</w:t>
      </w:r>
      <w:r>
        <w:rPr/>
        <w:t>以上的主要资产位于中国境内。本集团在内部组织结构和管理要求方面，将本集团的业务</w:t>
      </w:r>
      <w:r>
        <w:rPr>
          <w:w w:val="100"/>
        </w:rPr>
        <w:t> </w:t>
      </w:r>
      <w:r>
        <w:rPr>
          <w:spacing w:val="-2"/>
        </w:rPr>
        <w:t>作为一个整体进行内部报告的复核、资源配置及业绩评价。故本集团在编制本财务报表时，未列</w:t>
      </w:r>
      <w:r>
        <w:rPr>
          <w:spacing w:val="-25"/>
        </w:rPr>
        <w:t> </w:t>
      </w:r>
      <w:r>
        <w:rPr>
          <w:spacing w:val="-25"/>
        </w:rPr>
      </w:r>
      <w:r>
        <w:rPr/>
        <w:t>示分部信息。</w:t>
      </w:r>
    </w:p>
    <w:p>
      <w:pPr>
        <w:pStyle w:val="BodyText"/>
        <w:spacing w:line="240" w:lineRule="auto" w:before="30"/>
        <w:ind w:left="638" w:right="234"/>
        <w:jc w:val="left"/>
      </w:pPr>
      <w:r>
        <w:rPr/>
        <w:t>按收入来源地划分的对外交易收入</w:t>
      </w:r>
    </w:p>
    <w:p>
      <w:pPr>
        <w:pStyle w:val="BodyText"/>
        <w:spacing w:line="240" w:lineRule="auto" w:before="133"/>
        <w:ind w:left="0" w:right="451"/>
        <w:jc w:val="right"/>
      </w:pPr>
      <w:r>
        <w:rPr/>
        <w:t>单位：千元</w:t>
      </w:r>
      <w:r>
        <w:rPr>
          <w:spacing w:val="2"/>
        </w:rPr>
        <w:t> </w:t>
      </w:r>
      <w:r>
        <w:rPr/>
        <w:t>币种：人民币</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162"/>
        <w:gridCol w:w="2734"/>
        <w:gridCol w:w="2153"/>
      </w:tblGrid>
      <w:tr>
        <w:trPr>
          <w:trHeight w:val="281"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来源于中国境内的对外交易收入</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12,946,313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11,727,857</w:t>
            </w:r>
          </w:p>
        </w:tc>
      </w:tr>
      <w:tr>
        <w:trPr>
          <w:trHeight w:val="281"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来源于境外的对外交易收入</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182,950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510,256</w:t>
            </w:r>
          </w:p>
        </w:tc>
      </w:tr>
      <w:tr>
        <w:trPr>
          <w:trHeight w:val="283"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13,129,263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12,238,113</w:t>
            </w:r>
          </w:p>
        </w:tc>
      </w:tr>
    </w:tbl>
    <w:p>
      <w:pPr>
        <w:pStyle w:val="BodyText"/>
        <w:spacing w:line="241" w:lineRule="exact"/>
        <w:ind w:left="638" w:right="0"/>
        <w:jc w:val="left"/>
      </w:pPr>
      <w:r>
        <w:rPr>
          <w:rFonts w:ascii="宋体" w:hAnsi="宋体" w:cs="宋体" w:eastAsia="宋体" w:hint="default"/>
        </w:rPr>
        <w:t>2018</w:t>
      </w:r>
      <w:r>
        <w:rPr>
          <w:rFonts w:ascii="宋体" w:hAnsi="宋体" w:cs="宋体" w:eastAsia="宋体" w:hint="default"/>
          <w:spacing w:val="-54"/>
        </w:rPr>
        <w:t> </w:t>
      </w:r>
      <w:r>
        <w:rPr/>
        <w:t>年度，来源于利欧集团股份有限公司及其控制的子公司的收入占本集团收入的</w:t>
      </w:r>
      <w:r>
        <w:rPr>
          <w:spacing w:val="-51"/>
        </w:rPr>
        <w:t> </w:t>
      </w:r>
      <w:r>
        <w:rPr>
          <w:rFonts w:ascii="宋体" w:hAnsi="宋体" w:cs="宋体" w:eastAsia="宋体" w:hint="default"/>
        </w:rPr>
        <w:t>15.02%</w:t>
      </w:r>
      <w:r>
        <w:rPr/>
        <w:t>。</w:t>
      </w:r>
    </w:p>
    <w:p>
      <w:pPr>
        <w:pStyle w:val="BodyText"/>
        <w:spacing w:line="240" w:lineRule="auto" w:before="133"/>
        <w:ind w:left="638" w:right="234"/>
        <w:jc w:val="left"/>
      </w:pPr>
      <w:r>
        <w:rPr/>
        <w:t>按资产所在地划分的非流动资产</w:t>
      </w:r>
    </w:p>
    <w:p>
      <w:pPr>
        <w:pStyle w:val="BodyText"/>
        <w:spacing w:line="240" w:lineRule="auto" w:before="135"/>
        <w:ind w:left="0" w:right="451"/>
        <w:jc w:val="right"/>
      </w:pPr>
      <w:r>
        <w:rPr/>
        <w:t>单位：千元</w:t>
      </w:r>
      <w:r>
        <w:rPr>
          <w:spacing w:val="2"/>
        </w:rPr>
        <w:t> </w:t>
      </w:r>
      <w:r>
        <w:rPr/>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162"/>
        <w:gridCol w:w="2734"/>
        <w:gridCol w:w="2153"/>
      </w:tblGrid>
      <w:tr>
        <w:trPr>
          <w:trHeight w:val="283"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位于中国境内的非流动资产</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5,331,313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4,785,243</w:t>
            </w:r>
          </w:p>
        </w:tc>
      </w:tr>
      <w:tr>
        <w:trPr>
          <w:trHeight w:val="284"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位于境外的非流动资产</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1,645,689</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1,543,116</w:t>
            </w:r>
          </w:p>
        </w:tc>
      </w:tr>
      <w:tr>
        <w:trPr>
          <w:trHeight w:val="283"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6,977,002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6,328,359</w:t>
            </w:r>
          </w:p>
        </w:tc>
      </w:tr>
    </w:tbl>
    <w:p>
      <w:pPr>
        <w:spacing w:after="0" w:line="241" w:lineRule="exact"/>
        <w:jc w:val="right"/>
        <w:rPr>
          <w:rFonts w:ascii="宋体" w:hAnsi="宋体" w:cs="宋体" w:eastAsia="宋体" w:hint="default"/>
          <w:sz w:val="21"/>
          <w:szCs w:val="21"/>
        </w:rPr>
        <w:sectPr>
          <w:pgSz w:w="11910" w:h="16840"/>
          <w:pgMar w:header="857" w:footer="1217" w:top="1320" w:bottom="140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5"/>
        <w:spacing w:line="240" w:lineRule="auto"/>
        <w:ind w:right="234"/>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tabs>
          <w:tab w:pos="1060" w:val="left" w:leader="none"/>
        </w:tabs>
        <w:spacing w:line="240" w:lineRule="auto" w:before="133"/>
        <w:ind w:left="218" w:right="234"/>
        <w:jc w:val="left"/>
      </w:pPr>
      <w:r>
        <w:rPr>
          <w:spacing w:val="-1"/>
        </w:rPr>
        <w:t>□适用</w:t>
        <w:tab/>
      </w:r>
      <w:r>
        <w:rPr>
          <w:spacing w:val="-2"/>
        </w:rPr>
        <w:t>√不适用</w:t>
      </w: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57" w:footer="1217" w:top="1320" w:bottom="1400" w:left="1580" w:right="1040"/>
        </w:sectPr>
      </w:pPr>
    </w:p>
    <w:p>
      <w:pPr>
        <w:pStyle w:val="Heading5"/>
        <w:spacing w:line="240" w:lineRule="auto" w:before="36"/>
        <w:ind w:right="0"/>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tabs>
          <w:tab w:pos="1060" w:val="left" w:leader="none"/>
        </w:tabs>
        <w:spacing w:line="240" w:lineRule="auto" w:before="56"/>
        <w:ind w:left="218" w:right="0"/>
        <w:jc w:val="left"/>
      </w:pPr>
      <w:r>
        <w:rPr>
          <w:spacing w:val="-1"/>
        </w:rPr>
        <w:t>□适用</w:t>
        <w:tab/>
      </w:r>
      <w:r>
        <w:rPr>
          <w:spacing w:val="-2"/>
        </w:rPr>
        <w:t>√不适用</w:t>
      </w:r>
    </w:p>
    <w:p>
      <w:pPr>
        <w:pStyle w:val="Heading5"/>
        <w:tabs>
          <w:tab w:pos="1057" w:val="left" w:leader="none"/>
        </w:tabs>
        <w:spacing w:line="290" w:lineRule="auto" w:before="58"/>
        <w:ind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5"/>
        </w:rPr>
        <w:t> </w:t>
      </w:r>
      <w:r>
        <w:rPr/>
        <w:t>应收票据及应收账款</w:t>
      </w:r>
      <w:r>
        <w:rPr>
          <w:b w:val="0"/>
          <w:bCs w:val="0"/>
        </w:rPr>
      </w:r>
    </w:p>
    <w:p>
      <w:pPr>
        <w:pStyle w:val="Heading5"/>
        <w:spacing w:line="240" w:lineRule="auto" w:before="13"/>
        <w:ind w:right="0"/>
        <w:jc w:val="left"/>
        <w:rPr>
          <w:b w:val="0"/>
          <w:bCs w:val="0"/>
        </w:rPr>
      </w:pPr>
      <w:r>
        <w:rPr/>
        <w:t>总表情况</w:t>
      </w:r>
      <w:r>
        <w:rPr>
          <w:b w:val="0"/>
          <w:bCs w:val="0"/>
        </w:rPr>
      </w:r>
    </w:p>
    <w:p>
      <w:pPr>
        <w:pStyle w:val="Heading5"/>
        <w:spacing w:line="240" w:lineRule="auto" w:before="58"/>
        <w:ind w:right="0"/>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6"/>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tabs>
          <w:tab w:pos="1481" w:val="left" w:leader="none"/>
        </w:tabs>
        <w:spacing w:line="240" w:lineRule="auto"/>
        <w:ind w:left="218"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580" w:right="1040"/>
          <w:cols w:num="2" w:equalWidth="0">
            <w:col w:w="3799" w:space="2408"/>
            <w:col w:w="3083"/>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927</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869,065</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869,992</w:t>
            </w:r>
          </w:p>
        </w:tc>
      </w:tr>
    </w:tbl>
    <w:p>
      <w:pPr>
        <w:spacing w:line="240" w:lineRule="auto" w:before="6"/>
        <w:rPr>
          <w:rFonts w:ascii="宋体" w:hAnsi="宋体" w:cs="宋体" w:eastAsia="宋体" w:hint="default"/>
          <w:sz w:val="18"/>
          <w:szCs w:val="18"/>
        </w:rPr>
      </w:pPr>
    </w:p>
    <w:p>
      <w:pPr>
        <w:pStyle w:val="BodyText"/>
        <w:spacing w:line="273" w:lineRule="exact" w:before="36"/>
        <w:ind w:left="218" w:right="234"/>
        <w:jc w:val="left"/>
      </w:pPr>
      <w:r>
        <w:rPr/>
        <w:t>其他说明：</w:t>
      </w:r>
    </w:p>
    <w:p>
      <w:pPr>
        <w:pStyle w:val="BodyText"/>
        <w:spacing w:line="273" w:lineRule="exact"/>
        <w:ind w:left="218" w:right="234"/>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5"/>
        <w:spacing w:line="240" w:lineRule="auto"/>
        <w:ind w:right="234"/>
        <w:jc w:val="left"/>
        <w:rPr>
          <w:b w:val="0"/>
          <w:bCs w:val="0"/>
        </w:rPr>
      </w:pPr>
      <w:r>
        <w:rPr/>
        <w:t>应收票据</w:t>
      </w:r>
      <w:r>
        <w:rPr>
          <w:b w:val="0"/>
          <w:bCs w:val="0"/>
        </w:rPr>
      </w:r>
    </w:p>
    <w:p>
      <w:pPr>
        <w:pStyle w:val="Heading5"/>
        <w:spacing w:line="240" w:lineRule="auto" w:before="58"/>
        <w:ind w:right="234"/>
        <w:jc w:val="left"/>
        <w:rPr>
          <w:b w:val="0"/>
          <w:bCs w:val="0"/>
        </w:rPr>
      </w:pPr>
      <w:r>
        <w:rPr>
          <w:rFonts w:ascii="宋体" w:hAnsi="宋体" w:cs="宋体" w:eastAsia="宋体" w:hint="default"/>
        </w:rPr>
        <w:t>(2).</w:t>
      </w:r>
      <w:r>
        <w:rPr>
          <w:rFonts w:ascii="宋体" w:hAnsi="宋体" w:cs="宋体" w:eastAsia="宋体" w:hint="default"/>
          <w:spacing w:val="1"/>
        </w:rPr>
        <w:t> </w:t>
      </w:r>
      <w:r>
        <w:rPr/>
        <w:t>应收票据分类列示</w:t>
      </w:r>
      <w:r>
        <w:rPr>
          <w:b w:val="0"/>
          <w:bCs w:val="0"/>
        </w:rPr>
      </w:r>
    </w:p>
    <w:p>
      <w:pPr>
        <w:pStyle w:val="BodyText"/>
        <w:spacing w:line="240" w:lineRule="auto" w:before="56"/>
        <w:ind w:left="218" w:right="234"/>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5"/>
        <w:spacing w:line="240" w:lineRule="auto"/>
        <w:ind w:right="234"/>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期末公司已质押的应收票据</w:t>
      </w:r>
      <w:r>
        <w:rPr>
          <w:b w:val="0"/>
          <w:bCs w:val="0"/>
        </w:rPr>
      </w:r>
    </w:p>
    <w:p>
      <w:pPr>
        <w:pStyle w:val="BodyText"/>
        <w:spacing w:line="240" w:lineRule="auto" w:before="56"/>
        <w:ind w:left="218" w:right="234"/>
        <w:jc w:val="left"/>
      </w:pPr>
      <w:r>
        <w:rPr/>
        <w:t>□适用</w:t>
      </w:r>
      <w:r>
        <w:rPr>
          <w:spacing w:val="-1"/>
        </w:rPr>
        <w:t> </w:t>
      </w:r>
      <w:r>
        <w:rPr/>
        <w:t>√不适用</w:t>
      </w:r>
    </w:p>
    <w:p>
      <w:pPr>
        <w:pStyle w:val="Heading5"/>
        <w:spacing w:line="240" w:lineRule="auto" w:before="58"/>
        <w:ind w:right="234"/>
        <w:jc w:val="left"/>
        <w:rPr>
          <w:b w:val="0"/>
          <w:bCs w:val="0"/>
        </w:rPr>
      </w:pPr>
      <w:r>
        <w:rPr>
          <w:rFonts w:ascii="宋体" w:hAnsi="宋体" w:cs="宋体" w:eastAsia="宋体" w:hint="default"/>
        </w:rPr>
        <w:t>(4).</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left="218" w:right="234"/>
        <w:jc w:val="left"/>
      </w:pPr>
      <w:r>
        <w:rPr/>
        <w:t>□适用</w:t>
      </w:r>
      <w:r>
        <w:rPr>
          <w:spacing w:val="-1"/>
        </w:rPr>
        <w:t> </w:t>
      </w:r>
      <w:r>
        <w:rPr/>
        <w:t>√不适用</w:t>
      </w:r>
    </w:p>
    <w:p>
      <w:pPr>
        <w:pStyle w:val="Heading5"/>
        <w:spacing w:line="240" w:lineRule="auto" w:before="56"/>
        <w:ind w:right="234"/>
        <w:jc w:val="left"/>
        <w:rPr>
          <w:b w:val="0"/>
          <w:bCs w:val="0"/>
        </w:rPr>
      </w:pPr>
      <w:r>
        <w:rPr>
          <w:rFonts w:ascii="宋体" w:hAnsi="宋体" w:cs="宋体" w:eastAsia="宋体" w:hint="default"/>
        </w:rPr>
        <w:t>(5).</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2" w:lineRule="exact" w:before="87"/>
        <w:ind w:left="218" w:right="7474"/>
        <w:jc w:val="left"/>
      </w:pPr>
      <w:r>
        <w:rPr/>
        <w:t>□适用</w:t>
      </w:r>
      <w:r>
        <w:rPr>
          <w:spacing w:val="-1"/>
        </w:rPr>
        <w:t> </w:t>
      </w:r>
      <w:r>
        <w:rPr/>
        <w:t>√不适用</w:t>
      </w:r>
      <w:r>
        <w:rPr>
          <w:w w:val="100"/>
        </w:rPr>
        <w:t> </w:t>
      </w:r>
      <w:r>
        <w:rPr/>
        <w:t>其他说明：</w:t>
      </w:r>
    </w:p>
    <w:p>
      <w:pPr>
        <w:pStyle w:val="BodyText"/>
        <w:spacing w:line="249" w:lineRule="exact"/>
        <w:ind w:left="218" w:right="234"/>
        <w:jc w:val="left"/>
      </w:pPr>
      <w:r>
        <w:rPr/>
        <w:t>□适用</w:t>
      </w:r>
      <w:r>
        <w:rPr>
          <w:spacing w:val="-1"/>
        </w:rPr>
        <w:t> </w:t>
      </w:r>
      <w:r>
        <w:rPr/>
        <w:t>√不适用</w:t>
      </w:r>
    </w:p>
    <w:p>
      <w:pPr>
        <w:spacing w:after="0" w:line="249" w:lineRule="exact"/>
        <w:jc w:val="left"/>
        <w:sectPr>
          <w:type w:val="continuous"/>
          <w:pgSz w:w="11910" w:h="16840"/>
          <w:pgMar w:top="1320" w:bottom="1400" w:left="1580" w:right="1040"/>
        </w:sectPr>
      </w:pPr>
    </w:p>
    <w:p>
      <w:pPr>
        <w:spacing w:line="240" w:lineRule="auto" w:before="11"/>
        <w:rPr>
          <w:rFonts w:ascii="宋体" w:hAnsi="宋体" w:cs="宋体" w:eastAsia="宋体" w:hint="default"/>
          <w:sz w:val="15"/>
          <w:szCs w:val="15"/>
        </w:rPr>
      </w:pPr>
    </w:p>
    <w:p>
      <w:pPr>
        <w:spacing w:before="44"/>
        <w:ind w:left="3640" w:right="7889" w:firstLine="0"/>
        <w:jc w:val="left"/>
        <w:rPr>
          <w:rFonts w:ascii="宋体" w:hAnsi="宋体" w:cs="宋体" w:eastAsia="宋体" w:hint="default"/>
          <w:sz w:val="18"/>
          <w:szCs w:val="18"/>
        </w:rPr>
      </w:pPr>
      <w:r>
        <w:rPr/>
        <w:pict>
          <v:shape style="position:absolute;margin-left:72pt;margin-top:-6.848299pt;width:69.361pt;height:19.52pt;mso-position-horizontal-relative:page;mso-position-vertical-relative:paragraph;z-index:1624" type="#_x0000_t75" stroked="false">
            <v:imagedata r:id="rId21" o:title=""/>
          </v:shape>
        </w:pic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headerReference w:type="default" r:id="rId93"/>
          <w:footerReference w:type="default" r:id="rId94"/>
          <w:pgSz w:w="16840" w:h="11910" w:orient="landscape"/>
          <w:pgMar w:header="0" w:footer="0" w:top="780" w:bottom="280" w:left="1300" w:right="1380"/>
        </w:sectPr>
      </w:pPr>
    </w:p>
    <w:p>
      <w:pPr>
        <w:pStyle w:val="Heading5"/>
        <w:spacing w:line="240" w:lineRule="auto" w:before="36"/>
        <w:ind w:left="140" w:right="-19"/>
        <w:jc w:val="left"/>
        <w:rPr>
          <w:b w:val="0"/>
          <w:bCs w:val="0"/>
        </w:rPr>
      </w:pPr>
      <w:r>
        <w:rPr/>
        <w:t>应收账款</w:t>
      </w:r>
      <w:r>
        <w:rPr>
          <w:b w:val="0"/>
          <w:bCs w:val="0"/>
        </w:rPr>
      </w:r>
    </w:p>
    <w:p>
      <w:pPr>
        <w:pStyle w:val="Heading5"/>
        <w:spacing w:line="240" w:lineRule="auto" w:before="58"/>
        <w:ind w:left="140" w:right="-19"/>
        <w:jc w:val="left"/>
        <w:rPr>
          <w:b w:val="0"/>
          <w:bCs w:val="0"/>
        </w:rPr>
      </w:pPr>
      <w:r>
        <w:rPr>
          <w:rFonts w:ascii="宋体" w:hAnsi="宋体" w:cs="宋体" w:eastAsia="宋体" w:hint="default"/>
        </w:rPr>
        <w:t>(1).</w:t>
      </w:r>
      <w:r>
        <w:rPr>
          <w:rFonts w:ascii="宋体" w:hAnsi="宋体" w:cs="宋体" w:eastAsia="宋体" w:hint="default"/>
          <w:spacing w:val="-42"/>
        </w:rPr>
        <w:t> </w:t>
      </w:r>
      <w:r>
        <w:rPr/>
        <w:t>应收账款分类披露</w:t>
      </w:r>
      <w:r>
        <w:rPr>
          <w:b w:val="0"/>
          <w:bCs w:val="0"/>
        </w:rPr>
      </w:r>
    </w:p>
    <w:p>
      <w:pPr>
        <w:pStyle w:val="BodyText"/>
        <w:tabs>
          <w:tab w:pos="982" w:val="left" w:leader="none"/>
        </w:tabs>
        <w:spacing w:line="240" w:lineRule="auto" w:before="56"/>
        <w:ind w:left="140"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402" w:val="left" w:leader="none"/>
        </w:tabs>
        <w:spacing w:line="240" w:lineRule="auto"/>
        <w:ind w:left="140" w:right="0"/>
        <w:jc w:val="left"/>
      </w:pPr>
      <w:r>
        <w:rPr>
          <w:spacing w:val="-1"/>
        </w:rPr>
        <w:t>单位：千元</w:t>
        <w:tab/>
      </w:r>
      <w:r>
        <w:rPr>
          <w:spacing w:val="-2"/>
        </w:rPr>
        <w:t>币种：人民币</w:t>
      </w:r>
    </w:p>
    <w:p>
      <w:pPr>
        <w:spacing w:after="0" w:line="240" w:lineRule="auto"/>
        <w:jc w:val="left"/>
        <w:sectPr>
          <w:type w:val="continuous"/>
          <w:pgSz w:w="16840" w:h="11910" w:orient="landscape"/>
          <w:pgMar w:top="1320" w:bottom="1400" w:left="1300" w:right="1380"/>
          <w:cols w:num="2" w:equalWidth="0">
            <w:col w:w="2315" w:space="9036"/>
            <w:col w:w="280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68"/>
        <w:gridCol w:w="710"/>
        <w:gridCol w:w="850"/>
        <w:gridCol w:w="708"/>
        <w:gridCol w:w="1274"/>
        <w:gridCol w:w="696"/>
        <w:gridCol w:w="1008"/>
        <w:gridCol w:w="850"/>
        <w:gridCol w:w="991"/>
        <w:gridCol w:w="1421"/>
        <w:gridCol w:w="860"/>
      </w:tblGrid>
      <w:tr>
        <w:trPr>
          <w:trHeight w:val="283" w:hRule="exact"/>
        </w:trPr>
        <w:tc>
          <w:tcPr>
            <w:tcW w:w="456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42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1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4568" w:type="dxa"/>
            <w:vMerge/>
            <w:tcBorders>
              <w:left w:val="single" w:sz="4" w:space="0" w:color="000000"/>
              <w:right w:val="single" w:sz="4" w:space="0" w:color="000000"/>
            </w:tcBorders>
          </w:tcPr>
          <w:p>
            <w:pP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696" w:type="dxa"/>
            <w:vMerge w:val="restart"/>
            <w:tcBorders>
              <w:top w:val="single" w:sz="4" w:space="0" w:color="000000"/>
              <w:left w:val="single" w:sz="4" w:space="0" w:color="000000"/>
              <w:right w:val="single" w:sz="4" w:space="0" w:color="000000"/>
            </w:tcBorders>
          </w:tcPr>
          <w:p>
            <w:pPr>
              <w:pStyle w:val="TableParagraph"/>
              <w:spacing w:line="272" w:lineRule="exact" w:before="51"/>
              <w:ind w:left="134" w:right="127"/>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8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60" w:type="dxa"/>
            <w:vMerge w:val="restart"/>
            <w:tcBorders>
              <w:top w:val="single" w:sz="4" w:space="0" w:color="000000"/>
              <w:left w:val="single" w:sz="4" w:space="0" w:color="000000"/>
              <w:right w:val="single" w:sz="4" w:space="0" w:color="000000"/>
            </w:tcBorders>
          </w:tcPr>
          <w:p>
            <w:pPr>
              <w:pStyle w:val="TableParagraph"/>
              <w:spacing w:line="272" w:lineRule="exact" w:before="51"/>
              <w:ind w:left="214" w:right="21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384" w:hRule="exact"/>
        </w:trPr>
        <w:tc>
          <w:tcPr>
            <w:tcW w:w="4568"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3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3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c>
          <w:tcPr>
            <w:tcW w:w="696" w:type="dxa"/>
            <w:vMerge/>
            <w:tcBorders>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8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8"/>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c>
          <w:tcPr>
            <w:tcW w:w="860" w:type="dxa"/>
            <w:vMerge/>
            <w:tcBorders>
              <w:left w:val="single" w:sz="4" w:space="0" w:color="000000"/>
              <w:bottom w:val="single" w:sz="4" w:space="0" w:color="000000"/>
              <w:right w:val="single" w:sz="4" w:space="0" w:color="000000"/>
            </w:tcBorders>
          </w:tcPr>
          <w:p>
            <w:pPr/>
          </w:p>
        </w:tc>
      </w:tr>
      <w:tr>
        <w:trPr>
          <w:trHeight w:val="283"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单项金额重大并单独计提坏账准备的应收账款</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2,776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2,776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100.00</w:t>
            </w:r>
          </w:p>
        </w:tc>
        <w:tc>
          <w:tcPr>
            <w:tcW w:w="8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按信用风险特征组合计提坏账准备的应收账款</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1,013,552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99.73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144,487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14.26</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sz w:val="21"/>
              </w:rPr>
              <w:t>869,065</w:t>
            </w:r>
          </w:p>
        </w:tc>
      </w:tr>
      <w:tr>
        <w:trPr>
          <w:trHeight w:val="283"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单项金额不重大但单独计提坏账准备的应收账款</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69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1,016,328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147,263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sz w:val="21"/>
              </w:rPr>
              <w:t>869,065</w:t>
            </w:r>
          </w:p>
        </w:tc>
      </w:tr>
    </w:tbl>
    <w:p>
      <w:pPr>
        <w:spacing w:line="240" w:lineRule="auto" w:before="11"/>
        <w:rPr>
          <w:rFonts w:ascii="宋体" w:hAnsi="宋体" w:cs="宋体" w:eastAsia="宋体" w:hint="default"/>
          <w:sz w:val="22"/>
          <w:szCs w:val="22"/>
        </w:rPr>
      </w:pPr>
    </w:p>
    <w:p>
      <w:pPr>
        <w:pStyle w:val="BodyText"/>
        <w:spacing w:line="240" w:lineRule="auto" w:before="36"/>
        <w:ind w:left="140" w:right="7889"/>
        <w:jc w:val="left"/>
      </w:pPr>
      <w:r>
        <w:rPr/>
        <w:t>期末单项金额重大并单项计提坏账准备的应收账款：</w:t>
      </w:r>
    </w:p>
    <w:p>
      <w:pPr>
        <w:pStyle w:val="BodyText"/>
        <w:spacing w:line="290" w:lineRule="auto" w:before="59"/>
        <w:ind w:left="140" w:right="7889"/>
        <w:jc w:val="left"/>
      </w:pPr>
      <w:r>
        <w:rPr/>
        <w:t>□适用</w:t>
      </w:r>
      <w:r>
        <w:rPr>
          <w:spacing w:val="-2"/>
        </w:rPr>
        <w:t> </w:t>
      </w:r>
      <w:r>
        <w:rPr/>
        <w:t>√不适用</w:t>
      </w:r>
      <w:r>
        <w:rPr>
          <w:spacing w:val="-103"/>
        </w:rPr>
        <w:t> </w:t>
      </w:r>
      <w:r>
        <w:rPr>
          <w:spacing w:val="-103"/>
        </w:rPr>
      </w:r>
      <w:r>
        <w:rPr>
          <w:spacing w:val="-2"/>
        </w:rPr>
        <w:t>组合中，按账龄分析法计提坏账准备的应收账款：</w:t>
      </w:r>
    </w:p>
    <w:p>
      <w:pPr>
        <w:pStyle w:val="BodyText"/>
        <w:spacing w:line="240" w:lineRule="auto" w:before="14"/>
        <w:ind w:left="140" w:right="7889"/>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6650" w:right="6653" w:firstLine="0"/>
        <w:jc w:val="center"/>
        <w:rPr>
          <w:rFonts w:ascii="宋体" w:hAnsi="宋体" w:cs="宋体" w:eastAsia="宋体" w:hint="default"/>
          <w:sz w:val="18"/>
          <w:szCs w:val="18"/>
        </w:rPr>
      </w:pPr>
      <w:r>
        <w:rPr>
          <w:rFonts w:ascii="宋体"/>
          <w:b/>
          <w:sz w:val="18"/>
        </w:rPr>
        <w:t>211 </w:t>
      </w:r>
      <w:r>
        <w:rPr>
          <w:rFonts w:ascii="宋体"/>
          <w:sz w:val="18"/>
        </w:rPr>
        <w:t>/</w:t>
      </w:r>
      <w:r>
        <w:rPr>
          <w:rFonts w:ascii="宋体"/>
          <w:spacing w:val="-1"/>
          <w:sz w:val="18"/>
        </w:rPr>
        <w:t> </w:t>
      </w:r>
      <w:r>
        <w:rPr>
          <w:rFonts w:ascii="宋体"/>
          <w:b/>
          <w:sz w:val="18"/>
        </w:rPr>
        <w:t>220</w:t>
      </w:r>
      <w:r>
        <w:rPr>
          <w:rFonts w:ascii="宋体"/>
          <w:sz w:val="18"/>
        </w:rPr>
      </w:r>
    </w:p>
    <w:p>
      <w:pPr>
        <w:spacing w:after="0"/>
        <w:jc w:val="center"/>
        <w:rPr>
          <w:rFonts w:ascii="宋体" w:hAnsi="宋体" w:cs="宋体" w:eastAsia="宋体" w:hint="default"/>
          <w:sz w:val="18"/>
          <w:szCs w:val="18"/>
        </w:rPr>
        <w:sectPr>
          <w:type w:val="continuous"/>
          <w:pgSz w:w="16840" w:h="11910" w:orient="landscape"/>
          <w:pgMar w:top="1320" w:bottom="1400" w:left="1300" w:right="138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pStyle w:val="BodyText"/>
        <w:spacing w:line="240" w:lineRule="auto" w:before="36"/>
        <w:ind w:right="148"/>
        <w:jc w:val="left"/>
      </w:pPr>
      <w:r>
        <w:rPr/>
        <w:t>组合中，采用余额百分比法计提坏账准备的应收账款：</w:t>
      </w:r>
    </w:p>
    <w:p>
      <w:pPr>
        <w:pStyle w:val="BodyText"/>
        <w:spacing w:line="240" w:lineRule="auto" w:before="56"/>
        <w:ind w:right="559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40" w:lineRule="auto"/>
        <w:ind w:right="148"/>
        <w:jc w:val="left"/>
      </w:pPr>
      <w:r>
        <w:rPr/>
        <w:t>组合中，采用其他方法计提坏账准备的应收账款：</w:t>
      </w:r>
    </w:p>
    <w:p>
      <w:pPr>
        <w:pStyle w:val="BodyText"/>
        <w:spacing w:line="240" w:lineRule="auto" w:before="58"/>
        <w:ind w:right="5592"/>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5"/>
        <w:spacing w:line="240" w:lineRule="auto"/>
        <w:ind w:left="138" w:right="148"/>
        <w:jc w:val="left"/>
        <w:rPr>
          <w:b w:val="0"/>
          <w:bCs w:val="0"/>
        </w:rPr>
      </w:pPr>
      <w:r>
        <w:rPr>
          <w:rFonts w:ascii="宋体" w:hAnsi="宋体" w:cs="宋体" w:eastAsia="宋体" w:hint="default"/>
        </w:rPr>
        <w:t>(2).</w:t>
      </w:r>
      <w:r>
        <w:rPr>
          <w:rFonts w:ascii="宋体" w:hAnsi="宋体" w:cs="宋体" w:eastAsia="宋体" w:hint="default"/>
          <w:spacing w:val="-45"/>
        </w:rPr>
        <w:t> </w:t>
      </w:r>
      <w:r>
        <w:rPr/>
        <w:t>本期计提、收回或转回的坏账准备情况</w:t>
      </w:r>
      <w:r>
        <w:rPr>
          <w:b w:val="0"/>
          <w:bCs w:val="0"/>
        </w:rPr>
      </w:r>
    </w:p>
    <w:p>
      <w:pPr>
        <w:pStyle w:val="BodyText"/>
        <w:spacing w:line="240" w:lineRule="auto" w:before="56"/>
        <w:ind w:right="148"/>
        <w:jc w:val="left"/>
      </w:pPr>
      <w:r>
        <w:rPr/>
        <w:t>本期计提坏账准备金额</w:t>
      </w:r>
      <w:r>
        <w:rPr>
          <w:spacing w:val="-52"/>
        </w:rPr>
        <w:t> </w:t>
      </w:r>
      <w:r>
        <w:rPr>
          <w:rFonts w:ascii="宋体" w:hAnsi="宋体" w:cs="宋体" w:eastAsia="宋体" w:hint="default"/>
        </w:rPr>
        <w:t>0</w:t>
      </w:r>
      <w:r>
        <w:rPr>
          <w:rFonts w:ascii="宋体" w:hAnsi="宋体" w:cs="宋体" w:eastAsia="宋体" w:hint="default"/>
          <w:spacing w:val="-55"/>
        </w:rPr>
        <w:t> </w:t>
      </w:r>
      <w:r>
        <w:rPr/>
        <w:t>元；本期收回或转回坏账准备金额</w:t>
      </w:r>
      <w:r>
        <w:rPr>
          <w:spacing w:val="-53"/>
        </w:rPr>
        <w:t> </w:t>
      </w:r>
      <w:r>
        <w:rPr>
          <w:rFonts w:ascii="宋体" w:hAnsi="宋体" w:cs="宋体" w:eastAsia="宋体" w:hint="default"/>
        </w:rPr>
        <w:t>0</w:t>
      </w:r>
      <w:r>
        <w:rPr>
          <w:rFonts w:ascii="宋体" w:hAnsi="宋体" w:cs="宋体" w:eastAsia="宋体" w:hint="default"/>
          <w:spacing w:val="-55"/>
        </w:rPr>
        <w:t> </w:t>
      </w:r>
      <w:r>
        <w:rPr/>
        <w:t>元。</w:t>
      </w:r>
    </w:p>
    <w:p>
      <w:pPr>
        <w:spacing w:line="240" w:lineRule="auto" w:before="8"/>
        <w:rPr>
          <w:rFonts w:ascii="宋体" w:hAnsi="宋体" w:cs="宋体" w:eastAsia="宋体" w:hint="default"/>
          <w:sz w:val="20"/>
          <w:szCs w:val="20"/>
        </w:rPr>
      </w:pPr>
    </w:p>
    <w:p>
      <w:pPr>
        <w:pStyle w:val="BodyText"/>
        <w:spacing w:line="275" w:lineRule="exact"/>
        <w:ind w:right="148"/>
        <w:jc w:val="left"/>
      </w:pPr>
      <w:r>
        <w:rPr/>
        <w:t>其中本期坏账准备收回或转回金额重要的：</w:t>
      </w:r>
    </w:p>
    <w:p>
      <w:pPr>
        <w:pStyle w:val="BodyText"/>
        <w:spacing w:line="275" w:lineRule="exact"/>
        <w:ind w:right="559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left="138" w:right="5592"/>
        <w:jc w:val="left"/>
        <w:rPr>
          <w:b w:val="0"/>
          <w:bCs w:val="0"/>
        </w:rPr>
      </w:pPr>
      <w:r>
        <w:rPr>
          <w:rFonts w:ascii="宋体" w:hAnsi="宋体" w:cs="宋体" w:eastAsia="宋体" w:hint="default"/>
        </w:rPr>
        <w:t>(3).</w:t>
      </w:r>
      <w:r>
        <w:rPr>
          <w:rFonts w:ascii="宋体" w:hAnsi="宋体" w:cs="宋体" w:eastAsia="宋体" w:hint="default"/>
          <w:spacing w:val="-45"/>
        </w:rPr>
        <w:t> </w:t>
      </w:r>
      <w:r>
        <w:rPr/>
        <w:t>本期实际核销的应收账款情况</w:t>
      </w:r>
      <w:r>
        <w:rPr>
          <w:b w:val="0"/>
          <w:bCs w:val="0"/>
        </w:rPr>
      </w:r>
    </w:p>
    <w:p>
      <w:pPr>
        <w:pStyle w:val="BodyText"/>
        <w:spacing w:line="240" w:lineRule="auto" w:before="56"/>
        <w:ind w:right="5592"/>
        <w:jc w:val="left"/>
      </w:pPr>
      <w:r>
        <w:rPr/>
        <w:t>□适用</w:t>
      </w:r>
      <w:r>
        <w:rPr>
          <w:spacing w:val="-2"/>
        </w:rPr>
        <w:t> </w:t>
      </w:r>
      <w:r>
        <w:rPr/>
        <w:t>√不适用</w:t>
      </w:r>
      <w:r>
        <w:rPr>
          <w:w w:val="100"/>
        </w:rPr>
        <w:t> </w:t>
      </w:r>
      <w:r>
        <w:rPr>
          <w:spacing w:val="-2"/>
        </w:rPr>
        <w:t>其中重要的应收账款核销情况</w:t>
      </w:r>
    </w:p>
    <w:p>
      <w:pPr>
        <w:pStyle w:val="BodyText"/>
        <w:spacing w:line="271" w:lineRule="exact"/>
        <w:ind w:right="559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left="138" w:right="148"/>
        <w:jc w:val="left"/>
        <w:rPr>
          <w:b w:val="0"/>
          <w:bCs w:val="0"/>
        </w:rPr>
      </w:pPr>
      <w:r>
        <w:rPr>
          <w:rFonts w:ascii="宋体" w:hAnsi="宋体" w:cs="宋体" w:eastAsia="宋体" w:hint="default"/>
        </w:rPr>
        <w:t>(4).</w:t>
      </w:r>
      <w:r>
        <w:rPr>
          <w:rFonts w:ascii="宋体" w:hAnsi="宋体" w:cs="宋体" w:eastAsia="宋体" w:hint="default"/>
          <w:spacing w:val="-46"/>
        </w:rPr>
        <w:t> </w:t>
      </w:r>
      <w:r>
        <w:rPr/>
        <w:t>按欠款方归集的期末余额前五名的应收账款情况</w:t>
      </w:r>
      <w:r>
        <w:rPr>
          <w:b w:val="0"/>
          <w:bCs w:val="0"/>
        </w:rPr>
      </w:r>
    </w:p>
    <w:p>
      <w:pPr>
        <w:pStyle w:val="BodyText"/>
        <w:tabs>
          <w:tab w:pos="980" w:val="left" w:leader="none"/>
        </w:tabs>
        <w:spacing w:line="240" w:lineRule="auto" w:before="56"/>
        <w:ind w:right="5592"/>
        <w:jc w:val="left"/>
      </w:pPr>
      <w:r>
        <w:rPr>
          <w:spacing w:val="-1"/>
        </w:rPr>
        <w:t>□适用</w:t>
        <w:tab/>
      </w:r>
      <w:r>
        <w:rPr>
          <w:spacing w:val="-2"/>
        </w:rPr>
        <w:t>√不适用</w:t>
      </w:r>
    </w:p>
    <w:p>
      <w:pPr>
        <w:spacing w:line="240" w:lineRule="auto" w:before="5"/>
        <w:rPr>
          <w:rFonts w:ascii="宋体" w:hAnsi="宋体" w:cs="宋体" w:eastAsia="宋体" w:hint="default"/>
          <w:sz w:val="28"/>
          <w:szCs w:val="28"/>
        </w:rPr>
      </w:pPr>
    </w:p>
    <w:p>
      <w:pPr>
        <w:pStyle w:val="Heading5"/>
        <w:spacing w:line="240" w:lineRule="auto"/>
        <w:ind w:left="138" w:right="148"/>
        <w:jc w:val="left"/>
        <w:rPr>
          <w:b w:val="0"/>
          <w:bCs w:val="0"/>
        </w:rPr>
      </w:pPr>
      <w:r>
        <w:rPr>
          <w:rFonts w:ascii="宋体" w:hAnsi="宋体" w:cs="宋体" w:eastAsia="宋体" w:hint="default"/>
        </w:rPr>
        <w:t>(5).</w:t>
      </w:r>
      <w:r>
        <w:rPr>
          <w:rFonts w:ascii="宋体" w:hAnsi="宋体" w:cs="宋体" w:eastAsia="宋体" w:hint="default"/>
          <w:spacing w:val="-45"/>
        </w:rPr>
        <w:t> </w:t>
      </w:r>
      <w:r>
        <w:rPr/>
        <w:t>因金融资产转移而终止确认的应收账款</w:t>
      </w:r>
      <w:r>
        <w:rPr>
          <w:b w:val="0"/>
          <w:bCs w:val="0"/>
        </w:rPr>
      </w:r>
    </w:p>
    <w:p>
      <w:pPr>
        <w:pStyle w:val="BodyText"/>
        <w:tabs>
          <w:tab w:pos="980" w:val="left" w:leader="none"/>
        </w:tabs>
        <w:spacing w:line="240" w:lineRule="auto" w:before="56"/>
        <w:ind w:right="5592"/>
        <w:jc w:val="left"/>
      </w:pPr>
      <w:r>
        <w:rPr>
          <w:spacing w:val="-1"/>
        </w:rPr>
        <w:t>□适用</w:t>
        <w:tab/>
      </w:r>
      <w:r>
        <w:rPr>
          <w:spacing w:val="-2"/>
        </w:rPr>
        <w:t>√不适用</w:t>
      </w:r>
    </w:p>
    <w:p>
      <w:pPr>
        <w:spacing w:line="240" w:lineRule="auto" w:before="8"/>
        <w:rPr>
          <w:rFonts w:ascii="宋体" w:hAnsi="宋体" w:cs="宋体" w:eastAsia="宋体" w:hint="default"/>
          <w:sz w:val="25"/>
          <w:szCs w:val="25"/>
        </w:rPr>
      </w:pPr>
    </w:p>
    <w:p>
      <w:pPr>
        <w:pStyle w:val="Heading5"/>
        <w:spacing w:line="240" w:lineRule="auto"/>
        <w:ind w:left="138" w:right="148"/>
        <w:jc w:val="left"/>
        <w:rPr>
          <w:b w:val="0"/>
          <w:bCs w:val="0"/>
        </w:rPr>
      </w:pPr>
      <w:r>
        <w:rPr>
          <w:rFonts w:ascii="宋体" w:hAnsi="宋体" w:cs="宋体" w:eastAsia="宋体" w:hint="default"/>
        </w:rPr>
        <w:t>(6).</w:t>
      </w:r>
      <w:r>
        <w:rPr>
          <w:rFonts w:ascii="宋体" w:hAnsi="宋体" w:cs="宋体" w:eastAsia="宋体" w:hint="default"/>
          <w:spacing w:val="-46"/>
        </w:rPr>
        <w:t> </w:t>
      </w:r>
      <w:r>
        <w:rPr/>
        <w:t>转移应收账款且继续涉入形成的资产、负债金额</w:t>
      </w:r>
      <w:r>
        <w:rPr>
          <w:b w:val="0"/>
          <w:bCs w:val="0"/>
        </w:rPr>
      </w:r>
    </w:p>
    <w:p>
      <w:pPr>
        <w:pStyle w:val="BodyText"/>
        <w:tabs>
          <w:tab w:pos="980" w:val="left" w:leader="none"/>
        </w:tabs>
        <w:spacing w:line="240" w:lineRule="auto" w:before="56"/>
        <w:ind w:right="5592"/>
        <w:jc w:val="left"/>
      </w:pPr>
      <w:r>
        <w:rPr>
          <w:spacing w:val="-1"/>
        </w:rPr>
        <w:t>□适用</w:t>
        <w:tab/>
      </w:r>
      <w:r>
        <w:rPr>
          <w:spacing w:val="-2"/>
        </w:rPr>
        <w:t>√不适用</w:t>
      </w:r>
    </w:p>
    <w:p>
      <w:pPr>
        <w:spacing w:line="240" w:lineRule="auto" w:before="10"/>
        <w:rPr>
          <w:rFonts w:ascii="宋体" w:hAnsi="宋体" w:cs="宋体" w:eastAsia="宋体" w:hint="default"/>
          <w:sz w:val="17"/>
          <w:szCs w:val="17"/>
        </w:rPr>
      </w:pPr>
    </w:p>
    <w:p>
      <w:pPr>
        <w:pStyle w:val="Heading3"/>
        <w:spacing w:line="240" w:lineRule="auto"/>
        <w:ind w:left="138" w:right="5592"/>
        <w:jc w:val="left"/>
      </w:pPr>
      <w:r>
        <w:rPr/>
        <w:t>其他说明：</w:t>
      </w:r>
    </w:p>
    <w:p>
      <w:pPr>
        <w:pStyle w:val="BodyText"/>
        <w:spacing w:line="240" w:lineRule="auto" w:before="4"/>
        <w:ind w:right="5592"/>
        <w:jc w:val="left"/>
      </w:pPr>
      <w:r>
        <w:rPr/>
        <w:t>□适用</w:t>
      </w:r>
      <w:r>
        <w:rPr>
          <w:spacing w:val="-1"/>
        </w:rPr>
        <w:t> </w:t>
      </w:r>
      <w:r>
        <w:rPr/>
        <w:t>√不适用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95"/>
          <w:pgSz w:w="11910" w:h="16840"/>
          <w:pgMar w:footer="1217" w:header="0" w:top="1320" w:bottom="1400" w:left="1660" w:right="1120"/>
          <w:pgNumType w:start="212"/>
        </w:sectPr>
      </w:pPr>
    </w:p>
    <w:p>
      <w:pPr>
        <w:pStyle w:val="Heading5"/>
        <w:spacing w:line="290" w:lineRule="auto" w:before="36"/>
        <w:ind w:left="138" w:right="76"/>
        <w:jc w:val="left"/>
        <w:rPr>
          <w:b w:val="0"/>
          <w:bCs w:val="0"/>
        </w:rPr>
      </w:pPr>
      <w:r>
        <w:rPr>
          <w:rFonts w:ascii="宋体" w:hAnsi="宋体" w:cs="宋体" w:eastAsia="宋体" w:hint="default"/>
        </w:rPr>
        <w:t>2</w:t>
      </w:r>
      <w:r>
        <w:rPr/>
        <w:t>、</w:t>
      </w:r>
      <w:r>
        <w:rPr>
          <w:spacing w:val="4"/>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400" w:val="left" w:leader="none"/>
        </w:tabs>
        <w:spacing w:line="240" w:lineRule="auto"/>
        <w:ind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660" w:right="1120"/>
          <w:cols w:num="2" w:equalWidth="0">
            <w:col w:w="1715" w:space="4595"/>
            <w:col w:w="2820"/>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40"/>
        <w:gridCol w:w="2885"/>
        <w:gridCol w:w="2871"/>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52"/>
              <w:jc w:val="right"/>
              <w:rPr>
                <w:rFonts w:ascii="宋体" w:hAnsi="宋体" w:cs="宋体" w:eastAsia="宋体" w:hint="default"/>
                <w:sz w:val="21"/>
                <w:szCs w:val="21"/>
              </w:rPr>
            </w:pPr>
            <w:r>
              <w:rPr>
                <w:rFonts w:ascii="宋体" w:hAnsi="宋体" w:cs="宋体" w:eastAsia="宋体" w:hint="default"/>
                <w:sz w:val="21"/>
                <w:szCs w:val="21"/>
              </w:rPr>
              <w:t>项目</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36,385</w:t>
            </w: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1,100,000</w:t>
            </w: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27</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55,854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合计</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1,136,412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55,854</w:t>
            </w:r>
          </w:p>
        </w:tc>
      </w:tr>
    </w:tbl>
    <w:p>
      <w:pPr>
        <w:spacing w:line="240" w:lineRule="auto" w:before="4"/>
        <w:rPr>
          <w:rFonts w:ascii="宋体" w:hAnsi="宋体" w:cs="宋体" w:eastAsia="宋体" w:hint="default"/>
          <w:sz w:val="18"/>
          <w:szCs w:val="18"/>
        </w:rPr>
      </w:pPr>
    </w:p>
    <w:p>
      <w:pPr>
        <w:pStyle w:val="BodyText"/>
        <w:spacing w:line="274" w:lineRule="exact" w:before="36"/>
        <w:ind w:right="5592"/>
        <w:jc w:val="left"/>
      </w:pPr>
      <w:r>
        <w:rPr/>
        <w:t>其他说明：</w:t>
      </w:r>
    </w:p>
    <w:p>
      <w:pPr>
        <w:pStyle w:val="BodyText"/>
        <w:spacing w:line="274" w:lineRule="exact"/>
        <w:ind w:right="5592"/>
        <w:jc w:val="left"/>
      </w:pPr>
      <w:r>
        <w:rPr/>
        <w:t>□适用</w:t>
      </w:r>
      <w:r>
        <w:rPr>
          <w:spacing w:val="-1"/>
        </w:rPr>
        <w:t> </w:t>
      </w:r>
      <w:r>
        <w:rPr/>
        <w:t>√不适用</w:t>
      </w:r>
    </w:p>
    <w:p>
      <w:pPr>
        <w:spacing w:after="0" w:line="274" w:lineRule="exact"/>
        <w:jc w:val="left"/>
        <w:sectPr>
          <w:type w:val="continuous"/>
          <w:pgSz w:w="11910" w:h="16840"/>
          <w:pgMar w:top="1320" w:bottom="1400" w:left="1660" w:right="1120"/>
        </w:sectPr>
      </w:pPr>
    </w:p>
    <w:p>
      <w:pPr>
        <w:spacing w:line="240" w:lineRule="auto" w:before="2"/>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0" w:footer="1217" w:top="1320" w:bottom="1400" w:left="1580" w:right="1040"/>
        </w:sectPr>
      </w:pPr>
    </w:p>
    <w:p>
      <w:pPr>
        <w:pStyle w:val="Heading5"/>
        <w:spacing w:line="290" w:lineRule="auto" w:before="36"/>
        <w:ind w:right="-14"/>
        <w:jc w:val="left"/>
        <w:rPr>
          <w:b w:val="0"/>
          <w:bCs w:val="0"/>
        </w:rPr>
      </w:pPr>
      <w:r>
        <w:rPr/>
        <w:t>应收利息</w:t>
      </w:r>
      <w:r>
        <w:rPr>
          <w:w w:val="100"/>
        </w:rPr>
        <w:t> </w:t>
      </w:r>
      <w:r>
        <w:rPr>
          <w:rFonts w:ascii="宋体" w:hAnsi="宋体" w:cs="宋体" w:eastAsia="宋体" w:hint="default"/>
        </w:rPr>
        <w:t>(2).</w:t>
      </w:r>
      <w:r>
        <w:rPr/>
        <w:t>应收利息分类</w:t>
      </w:r>
      <w:r>
        <w:rPr>
          <w:b w:val="0"/>
          <w:bCs w:val="0"/>
        </w:rPr>
      </w:r>
    </w:p>
    <w:p>
      <w:pPr>
        <w:pStyle w:val="BodyText"/>
        <w:spacing w:line="240" w:lineRule="auto" w:before="12"/>
        <w:ind w:left="218"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480" w:val="left" w:leader="none"/>
        </w:tabs>
        <w:spacing w:line="240" w:lineRule="auto"/>
        <w:ind w:left="218"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580" w:right="1040"/>
          <w:cols w:num="2" w:equalWidth="0">
            <w:col w:w="1913" w:space="4398"/>
            <w:col w:w="297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780"/>
        <w:gridCol w:w="3048"/>
        <w:gridCol w:w="3068"/>
      </w:tblGrid>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
              <w:jc w:val="right"/>
              <w:rPr>
                <w:rFonts w:ascii="宋体" w:hAnsi="宋体" w:cs="宋体" w:eastAsia="宋体" w:hint="default"/>
                <w:sz w:val="21"/>
                <w:szCs w:val="21"/>
              </w:rPr>
            </w:pPr>
            <w:r>
              <w:rPr>
                <w:rFonts w:ascii="宋体"/>
                <w:sz w:val="21"/>
              </w:rPr>
              <w:t>36,385</w:t>
            </w: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
              <w:jc w:val="right"/>
              <w:rPr>
                <w:rFonts w:ascii="宋体" w:hAnsi="宋体" w:cs="宋体" w:eastAsia="宋体" w:hint="default"/>
                <w:sz w:val="21"/>
                <w:szCs w:val="21"/>
              </w:rPr>
            </w:pPr>
            <w:r>
              <w:rPr>
                <w:rFonts w:ascii="宋体"/>
                <w:sz w:val="21"/>
              </w:rPr>
              <w:t>36,385</w:t>
            </w:r>
          </w:p>
        </w:tc>
        <w:tc>
          <w:tcPr>
            <w:tcW w:w="30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3"/>
          <w:szCs w:val="23"/>
        </w:rPr>
      </w:pPr>
    </w:p>
    <w:p>
      <w:pPr>
        <w:pStyle w:val="Heading5"/>
        <w:spacing w:line="240" w:lineRule="auto" w:before="36"/>
        <w:ind w:right="234"/>
        <w:jc w:val="left"/>
        <w:rPr>
          <w:b w:val="0"/>
          <w:bCs w:val="0"/>
        </w:rPr>
      </w:pPr>
      <w:r>
        <w:rPr>
          <w:rFonts w:ascii="宋体" w:hAnsi="宋体" w:cs="宋体" w:eastAsia="宋体" w:hint="default"/>
        </w:rPr>
        <w:t>(3).</w:t>
      </w:r>
      <w:r>
        <w:rPr/>
        <w:t>重要逾期利息</w:t>
      </w:r>
      <w:r>
        <w:rPr>
          <w:b w:val="0"/>
          <w:bCs w:val="0"/>
        </w:rPr>
      </w:r>
    </w:p>
    <w:p>
      <w:pPr>
        <w:pStyle w:val="BodyText"/>
        <w:spacing w:line="272" w:lineRule="exact" w:before="86"/>
        <w:ind w:left="218" w:right="7474"/>
        <w:jc w:val="left"/>
      </w:pPr>
      <w:r>
        <w:rPr/>
        <w:t>□适用</w:t>
      </w:r>
      <w:r>
        <w:rPr>
          <w:spacing w:val="-1"/>
        </w:rPr>
        <w:t> </w:t>
      </w:r>
      <w:r>
        <w:rPr/>
        <w:t>√不适用</w:t>
      </w:r>
      <w:r>
        <w:rPr>
          <w:w w:val="100"/>
        </w:rPr>
        <w:t> </w:t>
      </w:r>
      <w:r>
        <w:rPr/>
        <w:t>其他说明：</w:t>
      </w:r>
    </w:p>
    <w:p>
      <w:pPr>
        <w:pStyle w:val="BodyText"/>
        <w:spacing w:line="249" w:lineRule="exact"/>
        <w:ind w:left="218" w:right="234"/>
        <w:jc w:val="left"/>
      </w:pPr>
      <w:r>
        <w:rPr/>
        <w:t>□适用</w:t>
      </w:r>
      <w:r>
        <w:rPr>
          <w:spacing w:val="-1"/>
        </w:rPr>
        <w:t> </w:t>
      </w:r>
      <w:r>
        <w:rPr/>
        <w:t>√不适用</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20" w:bottom="1400" w:left="1580" w:right="1040"/>
        </w:sectPr>
      </w:pPr>
    </w:p>
    <w:p>
      <w:pPr>
        <w:pStyle w:val="Heading5"/>
        <w:spacing w:line="290" w:lineRule="auto" w:before="36"/>
        <w:ind w:right="290"/>
        <w:jc w:val="left"/>
        <w:rPr>
          <w:b w:val="0"/>
          <w:bCs w:val="0"/>
        </w:rPr>
      </w:pPr>
      <w:r>
        <w:rPr/>
        <w:t>应收股利</w:t>
      </w:r>
      <w:r>
        <w:rPr>
          <w:w w:val="100"/>
        </w:rPr>
        <w:t> </w:t>
      </w:r>
      <w:r>
        <w:rPr>
          <w:rFonts w:ascii="宋体" w:hAnsi="宋体" w:cs="宋体" w:eastAsia="宋体" w:hint="default"/>
        </w:rPr>
        <w:t>(4).</w:t>
      </w:r>
      <w:r>
        <w:rPr/>
        <w:t>应收股利</w:t>
      </w:r>
      <w:r>
        <w:rPr>
          <w:b w:val="0"/>
          <w:bCs w:val="0"/>
        </w:rPr>
      </w:r>
    </w:p>
    <w:p>
      <w:pPr>
        <w:pStyle w:val="BodyText"/>
        <w:spacing w:line="240" w:lineRule="auto" w:before="12"/>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480" w:val="left" w:leader="none"/>
        </w:tabs>
        <w:spacing w:line="240" w:lineRule="auto"/>
        <w:ind w:left="218"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580" w:right="1040"/>
          <w:cols w:num="2" w:equalWidth="0">
            <w:col w:w="1795" w:space="4515"/>
            <w:col w:w="29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3"/>
        <w:gridCol w:w="2811"/>
        <w:gridCol w:w="2825"/>
      </w:tblGrid>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或被投资单位</w:t>
            </w:r>
            <w:r>
              <w:rPr>
                <w:rFonts w:ascii="宋体" w:hAnsi="宋体" w:cs="宋体" w:eastAsia="宋体" w:hint="default"/>
                <w:sz w:val="21"/>
                <w:szCs w:val="21"/>
              </w:rPr>
              <w:t>)</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三六零科技有限公司</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1,100,000</w:t>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1,100,000</w:t>
            </w:r>
          </w:p>
        </w:tc>
        <w:tc>
          <w:tcPr>
            <w:tcW w:w="28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3"/>
          <w:szCs w:val="23"/>
        </w:rPr>
      </w:pPr>
    </w:p>
    <w:p>
      <w:pPr>
        <w:pStyle w:val="Heading5"/>
        <w:spacing w:line="240" w:lineRule="auto" w:before="36"/>
        <w:ind w:right="234"/>
        <w:jc w:val="left"/>
        <w:rPr>
          <w:b w:val="0"/>
          <w:bCs w:val="0"/>
        </w:rPr>
      </w:pPr>
      <w:r>
        <w:rPr>
          <w:rFonts w:ascii="宋体" w:hAnsi="宋体" w:cs="宋体" w:eastAsia="宋体" w:hint="default"/>
        </w:rPr>
        <w:t>(5).</w:t>
      </w:r>
      <w:r>
        <w:rPr/>
        <w:t>重要的账龄超过</w:t>
      </w:r>
      <w:r>
        <w:rPr>
          <w:spacing w:val="-52"/>
        </w:rPr>
        <w:t> </w:t>
      </w:r>
      <w:r>
        <w:rPr>
          <w:rFonts w:ascii="宋体" w:hAnsi="宋体" w:cs="宋体" w:eastAsia="宋体" w:hint="default"/>
        </w:rPr>
        <w:t>1</w:t>
      </w:r>
      <w:r>
        <w:rPr>
          <w:rFonts w:ascii="宋体" w:hAnsi="宋体" w:cs="宋体" w:eastAsia="宋体" w:hint="default"/>
          <w:spacing w:val="-51"/>
        </w:rPr>
        <w:t> </w:t>
      </w:r>
      <w:r>
        <w:rPr/>
        <w:t>年的应收股利</w:t>
      </w:r>
      <w:r>
        <w:rPr>
          <w:b w:val="0"/>
          <w:bCs w:val="0"/>
        </w:rPr>
      </w:r>
    </w:p>
    <w:p>
      <w:pPr>
        <w:pStyle w:val="BodyText"/>
        <w:spacing w:line="272" w:lineRule="exact" w:before="87"/>
        <w:ind w:left="218" w:right="7474"/>
        <w:jc w:val="left"/>
      </w:pPr>
      <w:r>
        <w:rPr/>
        <w:t>□适用</w:t>
      </w:r>
      <w:r>
        <w:rPr>
          <w:spacing w:val="-1"/>
        </w:rPr>
        <w:t> </w:t>
      </w:r>
      <w:r>
        <w:rPr/>
        <w:t>√不适用</w:t>
      </w:r>
      <w:r>
        <w:rPr>
          <w:w w:val="100"/>
        </w:rPr>
        <w:t> </w:t>
      </w:r>
      <w:r>
        <w:rPr/>
        <w:t>其他说明：</w:t>
      </w:r>
    </w:p>
    <w:p>
      <w:pPr>
        <w:pStyle w:val="BodyText"/>
        <w:spacing w:line="249" w:lineRule="exact"/>
        <w:ind w:left="218" w:right="234"/>
        <w:jc w:val="left"/>
      </w:pPr>
      <w:r>
        <w:rPr/>
        <w:t>□适用</w:t>
      </w:r>
      <w:r>
        <w:rPr>
          <w:spacing w:val="-1"/>
        </w:rPr>
        <w:t> </w:t>
      </w:r>
      <w:r>
        <w:rPr/>
        <w:t>√不适用</w:t>
      </w:r>
    </w:p>
    <w:p>
      <w:pPr>
        <w:spacing w:after="0" w:line="249" w:lineRule="exact"/>
        <w:jc w:val="left"/>
        <w:sectPr>
          <w:type w:val="continuous"/>
          <w:pgSz w:w="11910" w:h="16840"/>
          <w:pgMar w:top="1320" w:bottom="1400" w:left="1580" w:right="1040"/>
        </w:sectPr>
      </w:pPr>
    </w:p>
    <w:p>
      <w:pPr>
        <w:spacing w:line="240" w:lineRule="auto" w:before="11"/>
        <w:rPr>
          <w:rFonts w:ascii="宋体" w:hAnsi="宋体" w:cs="宋体" w:eastAsia="宋体" w:hint="default"/>
          <w:sz w:val="15"/>
          <w:szCs w:val="15"/>
        </w:rPr>
      </w:pPr>
    </w:p>
    <w:p>
      <w:pPr>
        <w:spacing w:before="44"/>
        <w:ind w:left="3640" w:right="7889" w:firstLine="0"/>
        <w:jc w:val="left"/>
        <w:rPr>
          <w:rFonts w:ascii="宋体" w:hAnsi="宋体" w:cs="宋体" w:eastAsia="宋体" w:hint="default"/>
          <w:sz w:val="18"/>
          <w:szCs w:val="18"/>
        </w:rPr>
      </w:pPr>
      <w:r>
        <w:rPr/>
        <w:pict>
          <v:shape style="position:absolute;margin-left:72pt;margin-top:-6.848299pt;width:69.361pt;height:19.52pt;mso-position-horizontal-relative:page;mso-position-vertical-relative:paragraph;z-index:1672" type="#_x0000_t75" stroked="false">
            <v:imagedata r:id="rId21" o:title=""/>
          </v:shape>
        </w:pic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96"/>
          <w:footerReference w:type="default" r:id="rId97"/>
          <w:pgSz w:w="16840" w:h="11910" w:orient="landscape"/>
          <w:pgMar w:header="0" w:footer="0" w:top="780" w:bottom="280" w:left="1300" w:right="1380"/>
        </w:sectPr>
      </w:pPr>
    </w:p>
    <w:p>
      <w:pPr>
        <w:pStyle w:val="Heading5"/>
        <w:spacing w:line="240" w:lineRule="auto" w:before="36"/>
        <w:ind w:left="140" w:right="-19"/>
        <w:jc w:val="left"/>
        <w:rPr>
          <w:b w:val="0"/>
          <w:bCs w:val="0"/>
        </w:rPr>
      </w:pPr>
      <w:r>
        <w:rPr/>
        <w:t>其他应收款</w:t>
      </w:r>
      <w:r>
        <w:rPr>
          <w:b w:val="0"/>
          <w:bCs w:val="0"/>
        </w:rPr>
      </w:r>
    </w:p>
    <w:p>
      <w:pPr>
        <w:pStyle w:val="Heading5"/>
        <w:spacing w:line="240" w:lineRule="auto" w:before="58"/>
        <w:ind w:left="140"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tabs>
          <w:tab w:pos="982" w:val="left" w:leader="none"/>
        </w:tabs>
        <w:spacing w:line="240" w:lineRule="auto" w:before="56"/>
        <w:ind w:left="140"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402" w:val="left" w:leader="none"/>
        </w:tabs>
        <w:spacing w:line="240" w:lineRule="auto"/>
        <w:ind w:left="140" w:right="0"/>
        <w:jc w:val="left"/>
      </w:pPr>
      <w:r>
        <w:rPr>
          <w:spacing w:val="-1"/>
        </w:rPr>
        <w:t>单位：千元</w:t>
        <w:tab/>
      </w:r>
      <w:r>
        <w:rPr>
          <w:spacing w:val="-2"/>
        </w:rPr>
        <w:t>币种：人民币</w:t>
      </w:r>
    </w:p>
    <w:p>
      <w:pPr>
        <w:spacing w:after="0" w:line="240" w:lineRule="auto"/>
        <w:jc w:val="left"/>
        <w:sectPr>
          <w:type w:val="continuous"/>
          <w:pgSz w:w="16840" w:h="11910" w:orient="landscape"/>
          <w:pgMar w:top="1320" w:bottom="1400" w:left="1300" w:right="1380"/>
          <w:cols w:num="2" w:equalWidth="0">
            <w:col w:w="2570" w:space="8782"/>
            <w:col w:w="280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712"/>
        <w:gridCol w:w="710"/>
        <w:gridCol w:w="850"/>
        <w:gridCol w:w="852"/>
        <w:gridCol w:w="1274"/>
        <w:gridCol w:w="994"/>
        <w:gridCol w:w="850"/>
        <w:gridCol w:w="991"/>
        <w:gridCol w:w="708"/>
        <w:gridCol w:w="1277"/>
        <w:gridCol w:w="718"/>
      </w:tblGrid>
      <w:tr>
        <w:trPr>
          <w:trHeight w:val="293" w:hRule="exact"/>
        </w:trPr>
        <w:tc>
          <w:tcPr>
            <w:tcW w:w="471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468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54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4712" w:type="dxa"/>
            <w:vMerge/>
            <w:tcBorders>
              <w:left w:val="single" w:sz="4" w:space="0" w:color="000000"/>
              <w:right w:val="single" w:sz="4" w:space="0" w:color="000000"/>
            </w:tcBorders>
          </w:tcPr>
          <w:p>
            <w:pP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4" w:type="dxa"/>
            <w:vMerge w:val="restart"/>
            <w:tcBorders>
              <w:top w:val="single" w:sz="4" w:space="0" w:color="000000"/>
              <w:left w:val="single" w:sz="4" w:space="0" w:color="000000"/>
              <w:right w:val="single" w:sz="4" w:space="0" w:color="000000"/>
            </w:tcBorders>
          </w:tcPr>
          <w:p>
            <w:pPr>
              <w:pStyle w:val="TableParagraph"/>
              <w:spacing w:line="246" w:lineRule="exact"/>
              <w:ind w:left="280" w:right="0"/>
              <w:jc w:val="left"/>
              <w:rPr>
                <w:rFonts w:ascii="宋体" w:hAnsi="宋体" w:cs="宋体" w:eastAsia="宋体" w:hint="default"/>
                <w:sz w:val="21"/>
                <w:szCs w:val="21"/>
              </w:rPr>
            </w:pPr>
            <w:r>
              <w:rPr>
                <w:rFonts w:ascii="宋体" w:hAnsi="宋体" w:cs="宋体" w:eastAsia="宋体" w:hint="default"/>
                <w:sz w:val="21"/>
                <w:szCs w:val="21"/>
              </w:rPr>
              <w:t>账面</w:t>
            </w:r>
          </w:p>
          <w:p>
            <w:pPr>
              <w:pStyle w:val="TableParagraph"/>
              <w:spacing w:line="274" w:lineRule="exact"/>
              <w:ind w:left="280"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18" w:type="dxa"/>
            <w:vMerge w:val="restart"/>
            <w:tcBorders>
              <w:top w:val="single" w:sz="4" w:space="0" w:color="000000"/>
              <w:left w:val="single" w:sz="4" w:space="0" w:color="000000"/>
              <w:right w:val="single" w:sz="4" w:space="0" w:color="000000"/>
            </w:tcBorders>
          </w:tcPr>
          <w:p>
            <w:pPr>
              <w:pStyle w:val="TableParagraph"/>
              <w:spacing w:line="246" w:lineRule="exact"/>
              <w:ind w:left="144" w:right="0"/>
              <w:jc w:val="left"/>
              <w:rPr>
                <w:rFonts w:ascii="宋体" w:hAnsi="宋体" w:cs="宋体" w:eastAsia="宋体" w:hint="default"/>
                <w:sz w:val="21"/>
                <w:szCs w:val="21"/>
              </w:rPr>
            </w:pPr>
            <w:r>
              <w:rPr>
                <w:rFonts w:ascii="宋体" w:hAnsi="宋体" w:cs="宋体" w:eastAsia="宋体" w:hint="default"/>
                <w:sz w:val="21"/>
                <w:szCs w:val="21"/>
              </w:rPr>
              <w:t>账面</w:t>
            </w:r>
          </w:p>
          <w:p>
            <w:pPr>
              <w:pStyle w:val="TableParagraph"/>
              <w:spacing w:line="274" w:lineRule="exact"/>
              <w:ind w:left="144" w:right="0"/>
              <w:jc w:val="left"/>
              <w:rPr>
                <w:rFonts w:ascii="宋体" w:hAnsi="宋体" w:cs="宋体" w:eastAsia="宋体" w:hint="default"/>
                <w:sz w:val="21"/>
                <w:szCs w:val="21"/>
              </w:rPr>
            </w:pPr>
            <w:r>
              <w:rPr>
                <w:rFonts w:ascii="宋体" w:hAnsi="宋体" w:cs="宋体" w:eastAsia="宋体" w:hint="default"/>
                <w:sz w:val="21"/>
                <w:szCs w:val="21"/>
              </w:rPr>
              <w:t>价值</w:t>
            </w:r>
          </w:p>
        </w:tc>
      </w:tr>
      <w:tr>
        <w:trPr>
          <w:trHeight w:val="283" w:hRule="exact"/>
        </w:trPr>
        <w:tc>
          <w:tcPr>
            <w:tcW w:w="4712"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c>
          <w:tcPr>
            <w:tcW w:w="994"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right"/>
              <w:rPr>
                <w:rFonts w:ascii="宋体" w:hAnsi="宋体" w:cs="宋体" w:eastAsia="宋体" w:hint="default"/>
                <w:sz w:val="21"/>
                <w:szCs w:val="21"/>
              </w:rPr>
            </w:pPr>
            <w:r>
              <w:rPr>
                <w:rFonts w:ascii="宋体" w:hAnsi="宋体" w:cs="宋体" w:eastAsia="宋体" w:hint="default"/>
                <w:spacing w:val="-1"/>
                <w:sz w:val="21"/>
                <w:szCs w:val="21"/>
              </w:rPr>
              <w:t>计提比例</w:t>
            </w:r>
            <w:r>
              <w:rPr>
                <w:rFonts w:ascii="宋体" w:hAnsi="宋体" w:cs="宋体" w:eastAsia="宋体" w:hint="default"/>
                <w:spacing w:val="-1"/>
                <w:sz w:val="21"/>
                <w:szCs w:val="21"/>
              </w:rPr>
              <w:t>(%)</w:t>
            </w:r>
          </w:p>
        </w:tc>
        <w:tc>
          <w:tcPr>
            <w:tcW w:w="718" w:type="dxa"/>
            <w:vMerge/>
            <w:tcBorders>
              <w:left w:val="single" w:sz="4" w:space="0" w:color="000000"/>
              <w:bottom w:val="single" w:sz="4" w:space="0" w:color="000000"/>
              <w:right w:val="single" w:sz="4" w:space="0" w:color="000000"/>
            </w:tcBorders>
          </w:tcPr>
          <w:p>
            <w:pPr/>
          </w:p>
        </w:tc>
      </w:tr>
      <w:tr>
        <w:trPr>
          <w:trHeight w:val="281" w:hRule="exact"/>
        </w:trPr>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单项金额重大并单独计提坏账准备的其他应收款</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按信用风险特征组合计提坏账准备的其他应收款</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68,589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sz w:val="21"/>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12,735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18.57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sz w:val="21"/>
              </w:rPr>
              <w:t>55,854</w:t>
            </w:r>
          </w:p>
        </w:tc>
      </w:tr>
      <w:tr>
        <w:trPr>
          <w:trHeight w:val="281" w:hRule="exact"/>
        </w:trPr>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单项金额不重大但单独计提坏账准备的其他应收款</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z w:val="21"/>
              </w:rPr>
              <w:t>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z w:val="21"/>
              </w:rPr>
              <w:t>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2" w:right="0"/>
              <w:jc w:val="left"/>
              <w:rPr>
                <w:rFonts w:ascii="宋体" w:hAnsi="宋体" w:cs="宋体" w:eastAsia="宋体" w:hint="default"/>
                <w:sz w:val="21"/>
                <w:szCs w:val="21"/>
              </w:rPr>
            </w:pPr>
            <w:r>
              <w:rPr>
                <w:rFonts w:ascii="宋体"/>
                <w:sz w:val="21"/>
              </w:rPr>
              <w:t>68,589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 w:right="0"/>
              <w:jc w:val="center"/>
              <w:rPr>
                <w:rFonts w:ascii="宋体" w:hAnsi="宋体" w:cs="宋体" w:eastAsia="宋体" w:hint="default"/>
                <w:sz w:val="21"/>
                <w:szCs w:val="21"/>
              </w:rPr>
            </w:pPr>
            <w:r>
              <w:rPr>
                <w:rFonts w:ascii="宋体"/>
                <w:sz w:val="21"/>
              </w:rPr>
              <w:t>12,735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 w:right="0"/>
              <w:jc w:val="center"/>
              <w:rPr>
                <w:rFonts w:ascii="宋体" w:hAnsi="宋体" w:cs="宋体" w:eastAsia="宋体" w:hint="default"/>
                <w:sz w:val="21"/>
                <w:szCs w:val="21"/>
              </w:rPr>
            </w:pPr>
            <w:r>
              <w:rPr>
                <w:rFonts w:ascii="宋体"/>
                <w:sz w:val="21"/>
              </w:rPr>
              <w:t>55,854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before="44"/>
        <w:ind w:left="6650" w:right="6653" w:firstLine="0"/>
        <w:jc w:val="center"/>
        <w:rPr>
          <w:rFonts w:ascii="宋体" w:hAnsi="宋体" w:cs="宋体" w:eastAsia="宋体" w:hint="default"/>
          <w:sz w:val="18"/>
          <w:szCs w:val="18"/>
        </w:rPr>
      </w:pPr>
      <w:r>
        <w:rPr>
          <w:rFonts w:ascii="宋体"/>
          <w:b/>
          <w:sz w:val="18"/>
        </w:rPr>
        <w:t>214 </w:t>
      </w:r>
      <w:r>
        <w:rPr>
          <w:rFonts w:ascii="宋体"/>
          <w:sz w:val="18"/>
        </w:rPr>
        <w:t>/</w:t>
      </w:r>
      <w:r>
        <w:rPr>
          <w:rFonts w:ascii="宋体"/>
          <w:spacing w:val="-1"/>
          <w:sz w:val="18"/>
        </w:rPr>
        <w:t> </w:t>
      </w:r>
      <w:r>
        <w:rPr>
          <w:rFonts w:ascii="宋体"/>
          <w:b/>
          <w:sz w:val="18"/>
        </w:rPr>
        <w:t>220</w:t>
      </w:r>
      <w:r>
        <w:rPr>
          <w:rFonts w:ascii="宋体"/>
          <w:sz w:val="18"/>
        </w:rPr>
      </w:r>
    </w:p>
    <w:p>
      <w:pPr>
        <w:spacing w:after="0"/>
        <w:jc w:val="center"/>
        <w:rPr>
          <w:rFonts w:ascii="宋体" w:hAnsi="宋体" w:cs="宋体" w:eastAsia="宋体" w:hint="default"/>
          <w:sz w:val="18"/>
          <w:szCs w:val="18"/>
        </w:rPr>
        <w:sectPr>
          <w:type w:val="continuous"/>
          <w:pgSz w:w="16840" w:h="11910" w:orient="landscape"/>
          <w:pgMar w:top="1320" w:bottom="1400" w:left="1300" w:right="138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BodyText"/>
        <w:spacing w:line="240" w:lineRule="auto" w:before="36"/>
        <w:ind w:left="218" w:right="234"/>
        <w:jc w:val="left"/>
      </w:pPr>
      <w:r>
        <w:rPr/>
        <w:t>期末单项金额重大并单项计提坏账准备的其他应收款：</w:t>
      </w:r>
    </w:p>
    <w:p>
      <w:pPr>
        <w:pStyle w:val="BodyText"/>
        <w:spacing w:line="290" w:lineRule="auto" w:before="58"/>
        <w:ind w:left="218" w:right="2963"/>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40" w:lineRule="auto" w:before="14"/>
        <w:ind w:left="218" w:right="234"/>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BodyText"/>
        <w:spacing w:line="240" w:lineRule="auto"/>
        <w:ind w:left="218" w:right="234"/>
        <w:jc w:val="left"/>
      </w:pPr>
      <w:r>
        <w:rPr/>
        <w:t>组合中，采用余额百分比法计提坏账准备的其他应收款：</w:t>
      </w:r>
    </w:p>
    <w:p>
      <w:pPr>
        <w:pStyle w:val="BodyText"/>
        <w:spacing w:line="240" w:lineRule="auto" w:before="56"/>
        <w:ind w:left="218" w:right="23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40" w:lineRule="auto"/>
        <w:ind w:left="218" w:right="234"/>
        <w:jc w:val="left"/>
      </w:pPr>
      <w:r>
        <w:rPr/>
        <w:t>组合中，采用其他方法计提坏账准备的其他应收款：</w:t>
      </w:r>
    </w:p>
    <w:p>
      <w:pPr>
        <w:pStyle w:val="BodyText"/>
        <w:tabs>
          <w:tab w:pos="1060" w:val="left" w:leader="none"/>
        </w:tabs>
        <w:spacing w:line="240" w:lineRule="auto" w:before="59"/>
        <w:ind w:left="218" w:right="234"/>
        <w:jc w:val="left"/>
      </w:pPr>
      <w:r>
        <w:rPr>
          <w:spacing w:val="-1"/>
        </w:rPr>
        <w:t>□适用</w:t>
        <w:tab/>
      </w:r>
      <w:r>
        <w:rPr>
          <w:spacing w:val="-2"/>
        </w:rPr>
        <w:t>√不适用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98"/>
          <w:pgSz w:w="11910" w:h="16840"/>
          <w:pgMar w:footer="1217" w:header="0" w:top="1320" w:bottom="1400" w:left="1580" w:right="1040"/>
          <w:pgNumType w:start="215"/>
        </w:sectPr>
      </w:pPr>
    </w:p>
    <w:p>
      <w:pPr>
        <w:pStyle w:val="Heading5"/>
        <w:spacing w:line="240" w:lineRule="auto" w:before="36"/>
        <w:ind w:right="-19"/>
        <w:jc w:val="left"/>
        <w:rPr>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b w:val="0"/>
          <w:bCs w:val="0"/>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80" w:val="left" w:leader="none"/>
        </w:tabs>
        <w:spacing w:line="240" w:lineRule="auto"/>
        <w:ind w:left="218"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580" w:right="1040"/>
          <w:cols w:num="2" w:equalWidth="0">
            <w:col w:w="2647" w:space="3663"/>
            <w:col w:w="29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27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49,327</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关联方往来款</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12,092</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第三方往来款</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7,170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27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68,589</w:t>
            </w:r>
          </w:p>
        </w:tc>
      </w:tr>
    </w:tbl>
    <w:p>
      <w:pPr>
        <w:spacing w:line="240" w:lineRule="auto" w:before="12"/>
        <w:rPr>
          <w:rFonts w:ascii="宋体" w:hAnsi="宋体" w:cs="宋体" w:eastAsia="宋体" w:hint="default"/>
          <w:sz w:val="22"/>
          <w:szCs w:val="22"/>
        </w:rPr>
      </w:pPr>
    </w:p>
    <w:p>
      <w:pPr>
        <w:pStyle w:val="Heading5"/>
        <w:spacing w:line="240" w:lineRule="auto" w:before="36"/>
        <w:ind w:right="234"/>
        <w:jc w:val="left"/>
        <w:rPr>
          <w:b w:val="0"/>
          <w:bCs w:val="0"/>
        </w:rPr>
      </w:pPr>
      <w:r>
        <w:rPr>
          <w:rFonts w:ascii="宋体" w:hAnsi="宋体" w:cs="宋体" w:eastAsia="宋体" w:hint="default"/>
        </w:rPr>
        <w:t>(3).</w:t>
      </w:r>
      <w:r>
        <w:rPr>
          <w:rFonts w:ascii="宋体" w:hAnsi="宋体" w:cs="宋体" w:eastAsia="宋体" w:hint="default"/>
          <w:spacing w:val="-2"/>
        </w:rPr>
        <w:t> </w:t>
      </w:r>
      <w:r>
        <w:rPr/>
        <w:t>本期计提、收回或转回的坏账准备情况</w:t>
      </w:r>
      <w:r>
        <w:rPr>
          <w:b w:val="0"/>
          <w:bCs w:val="0"/>
        </w:rPr>
      </w:r>
    </w:p>
    <w:p>
      <w:pPr>
        <w:pStyle w:val="BodyText"/>
        <w:spacing w:line="272" w:lineRule="exact" w:before="86"/>
        <w:ind w:left="218" w:right="2963"/>
        <w:jc w:val="left"/>
      </w:pPr>
      <w:r>
        <w:rPr/>
        <w:t>本期计提坏账准备金额</w:t>
      </w:r>
      <w:r>
        <w:rPr>
          <w:spacing w:val="-52"/>
        </w:rPr>
        <w:t> </w:t>
      </w:r>
      <w:r>
        <w:rPr>
          <w:rFonts w:ascii="宋体" w:hAnsi="宋体" w:cs="宋体" w:eastAsia="宋体" w:hint="default"/>
        </w:rPr>
        <w:t>0</w:t>
      </w:r>
      <w:r>
        <w:rPr>
          <w:rFonts w:ascii="宋体" w:hAnsi="宋体" w:cs="宋体" w:eastAsia="宋体" w:hint="default"/>
          <w:spacing w:val="-55"/>
        </w:rPr>
        <w:t> </w:t>
      </w:r>
      <w:r>
        <w:rPr/>
        <w:t>元；本期收回或转回坏账准备金额</w:t>
      </w:r>
      <w:r>
        <w:rPr>
          <w:spacing w:val="-53"/>
        </w:rPr>
        <w:t> </w:t>
      </w:r>
      <w:r>
        <w:rPr>
          <w:rFonts w:ascii="宋体" w:hAnsi="宋体" w:cs="宋体" w:eastAsia="宋体" w:hint="default"/>
        </w:rPr>
        <w:t>0</w:t>
      </w:r>
      <w:r>
        <w:rPr>
          <w:rFonts w:ascii="宋体" w:hAnsi="宋体" w:cs="宋体" w:eastAsia="宋体" w:hint="default"/>
          <w:spacing w:val="-55"/>
        </w:rPr>
        <w:t> </w:t>
      </w:r>
      <w:r>
        <w:rPr/>
        <w:t>元。</w:t>
      </w:r>
      <w:r>
        <w:rPr>
          <w:w w:val="100"/>
        </w:rPr>
        <w:t> </w:t>
      </w:r>
      <w:r>
        <w:rPr/>
        <w:t>其中本期坏账准备转回或收回金额重要的：</w:t>
      </w:r>
    </w:p>
    <w:p>
      <w:pPr>
        <w:pStyle w:val="BodyText"/>
        <w:spacing w:line="249" w:lineRule="exact"/>
        <w:ind w:left="218" w:right="234"/>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5"/>
        <w:spacing w:line="240" w:lineRule="auto"/>
        <w:ind w:right="234"/>
        <w:jc w:val="left"/>
        <w:rPr>
          <w:b w:val="0"/>
          <w:bCs w:val="0"/>
        </w:rPr>
      </w:pPr>
      <w:r>
        <w:rPr>
          <w:rFonts w:ascii="宋体" w:hAnsi="宋体" w:cs="宋体" w:eastAsia="宋体" w:hint="default"/>
        </w:rPr>
        <w:t>(4).</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6"/>
        <w:ind w:left="218" w:right="234"/>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5"/>
        <w:spacing w:line="240" w:lineRule="auto"/>
        <w:ind w:right="234"/>
        <w:jc w:val="left"/>
        <w:rPr>
          <w:b w:val="0"/>
          <w:bCs w:val="0"/>
        </w:rPr>
      </w:pPr>
      <w:r>
        <w:rPr>
          <w:rFonts w:ascii="宋体" w:hAnsi="宋体" w:cs="宋体" w:eastAsia="宋体" w:hint="default"/>
        </w:rPr>
        <w:t>(5).</w:t>
      </w:r>
      <w:r>
        <w:rPr>
          <w:rFonts w:ascii="宋体" w:hAnsi="宋体" w:cs="宋体" w:eastAsia="宋体" w:hint="default"/>
          <w:spacing w:val="-3"/>
        </w:rPr>
        <w:t> </w:t>
      </w:r>
      <w:r>
        <w:rPr/>
        <w:t>按欠款方归集的期末余额前五名的其他应收款情况</w:t>
      </w:r>
      <w:r>
        <w:rPr>
          <w:b w:val="0"/>
          <w:bCs w:val="0"/>
        </w:rPr>
      </w:r>
    </w:p>
    <w:p>
      <w:pPr>
        <w:pStyle w:val="BodyText"/>
        <w:spacing w:line="240" w:lineRule="auto" w:before="56"/>
        <w:ind w:left="218" w:right="234"/>
        <w:jc w:val="left"/>
      </w:pPr>
      <w:r>
        <w:rPr/>
        <w:t>□适用</w:t>
      </w:r>
      <w:r>
        <w:rPr>
          <w:spacing w:val="-1"/>
        </w:rPr>
        <w:t> </w:t>
      </w:r>
      <w:r>
        <w:rPr/>
        <w:t>√不适用</w:t>
      </w:r>
    </w:p>
    <w:p>
      <w:pPr>
        <w:spacing w:line="240" w:lineRule="auto" w:before="3"/>
        <w:rPr>
          <w:rFonts w:ascii="宋体" w:hAnsi="宋体" w:cs="宋体" w:eastAsia="宋体" w:hint="default"/>
          <w:sz w:val="28"/>
          <w:szCs w:val="28"/>
        </w:rPr>
      </w:pPr>
    </w:p>
    <w:p>
      <w:pPr>
        <w:pStyle w:val="Heading5"/>
        <w:spacing w:line="240" w:lineRule="auto"/>
        <w:ind w:right="234"/>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8"/>
        <w:ind w:left="218" w:right="234"/>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5"/>
        <w:spacing w:line="240" w:lineRule="auto"/>
        <w:ind w:right="234"/>
        <w:jc w:val="left"/>
        <w:rPr>
          <w:b w:val="0"/>
          <w:bCs w:val="0"/>
        </w:rPr>
      </w:pPr>
      <w:r>
        <w:rPr>
          <w:rFonts w:ascii="宋体" w:hAnsi="宋体" w:cs="宋体" w:eastAsia="宋体" w:hint="default"/>
        </w:rPr>
        <w:t>(7).</w:t>
      </w:r>
      <w:r>
        <w:rPr>
          <w:rFonts w:ascii="宋体" w:hAnsi="宋体" w:cs="宋体" w:eastAsia="宋体" w:hint="default"/>
          <w:spacing w:val="-2"/>
        </w:rPr>
        <w:t> </w:t>
      </w:r>
      <w:r>
        <w:rPr/>
        <w:t>因金融资产转移而终止确认的其他应收款</w:t>
      </w:r>
      <w:r>
        <w:rPr>
          <w:b w:val="0"/>
          <w:bCs w:val="0"/>
        </w:rPr>
      </w:r>
    </w:p>
    <w:p>
      <w:pPr>
        <w:pStyle w:val="BodyText"/>
        <w:tabs>
          <w:tab w:pos="1060" w:val="left" w:leader="none"/>
        </w:tabs>
        <w:spacing w:line="240" w:lineRule="auto" w:before="56"/>
        <w:ind w:left="218" w:right="234"/>
        <w:jc w:val="left"/>
      </w:pPr>
      <w:r>
        <w:rPr>
          <w:spacing w:val="-1"/>
        </w:rPr>
        <w:t>□适用</w:t>
        <w:tab/>
      </w:r>
      <w:r>
        <w:rPr>
          <w:spacing w:val="-2"/>
        </w:rPr>
        <w:t>√不适用</w:t>
      </w:r>
    </w:p>
    <w:p>
      <w:pPr>
        <w:spacing w:line="240" w:lineRule="auto" w:before="2"/>
        <w:rPr>
          <w:rFonts w:ascii="宋体" w:hAnsi="宋体" w:cs="宋体" w:eastAsia="宋体" w:hint="default"/>
          <w:sz w:val="28"/>
          <w:szCs w:val="28"/>
        </w:rPr>
      </w:pPr>
    </w:p>
    <w:p>
      <w:pPr>
        <w:pStyle w:val="Heading5"/>
        <w:spacing w:line="240" w:lineRule="auto"/>
        <w:ind w:right="234"/>
        <w:jc w:val="left"/>
        <w:rPr>
          <w:b w:val="0"/>
          <w:bCs w:val="0"/>
        </w:rPr>
      </w:pPr>
      <w:r>
        <w:rPr>
          <w:rFonts w:ascii="宋体" w:hAnsi="宋体" w:cs="宋体" w:eastAsia="宋体" w:hint="default"/>
        </w:rPr>
        <w:t>(8).</w:t>
      </w:r>
      <w:r>
        <w:rPr>
          <w:rFonts w:ascii="宋体" w:hAnsi="宋体" w:cs="宋体" w:eastAsia="宋体" w:hint="default"/>
          <w:spacing w:val="-3"/>
        </w:rPr>
        <w:t> </w:t>
      </w:r>
      <w:r>
        <w:rPr/>
        <w:t>转移其他应收款且继续涉入形成的资产、负债金额</w:t>
      </w:r>
      <w:r>
        <w:rPr>
          <w:b w:val="0"/>
          <w:bCs w:val="0"/>
        </w:rPr>
      </w:r>
    </w:p>
    <w:p>
      <w:pPr>
        <w:pStyle w:val="BodyText"/>
        <w:tabs>
          <w:tab w:pos="1060" w:val="left" w:leader="none"/>
        </w:tabs>
        <w:spacing w:line="240" w:lineRule="auto" w:before="58"/>
        <w:ind w:left="218" w:right="234"/>
        <w:jc w:val="left"/>
      </w:pPr>
      <w:r>
        <w:rPr>
          <w:spacing w:val="-1"/>
        </w:rPr>
        <w:t>□适用</w:t>
        <w:tab/>
      </w:r>
      <w:r>
        <w:rPr>
          <w:spacing w:val="-2"/>
        </w:rPr>
        <w:t>√不适用</w:t>
      </w:r>
    </w:p>
    <w:p>
      <w:pPr>
        <w:spacing w:line="240" w:lineRule="auto" w:before="8"/>
        <w:rPr>
          <w:rFonts w:ascii="宋体" w:hAnsi="宋体" w:cs="宋体" w:eastAsia="宋体" w:hint="default"/>
          <w:sz w:val="23"/>
          <w:szCs w:val="23"/>
        </w:rPr>
      </w:pPr>
    </w:p>
    <w:p>
      <w:pPr>
        <w:pStyle w:val="BodyText"/>
        <w:spacing w:line="274" w:lineRule="exact"/>
        <w:ind w:left="218" w:right="234"/>
        <w:jc w:val="left"/>
      </w:pPr>
      <w:r>
        <w:rPr/>
        <w:t>其他说明：</w:t>
      </w:r>
    </w:p>
    <w:p>
      <w:pPr>
        <w:pStyle w:val="BodyText"/>
        <w:tabs>
          <w:tab w:pos="1060" w:val="left" w:leader="none"/>
        </w:tabs>
        <w:spacing w:line="274" w:lineRule="exact"/>
        <w:ind w:left="218" w:right="234"/>
        <w:jc w:val="left"/>
      </w:pPr>
      <w:r>
        <w:rPr>
          <w:spacing w:val="-1"/>
        </w:rPr>
        <w:t>□适用</w:t>
        <w:tab/>
      </w:r>
      <w:r>
        <w:rPr>
          <w:spacing w:val="-2"/>
        </w:rPr>
        <w:t>√不适用</w:t>
      </w:r>
    </w:p>
    <w:p>
      <w:pPr>
        <w:spacing w:after="0" w:line="274" w:lineRule="exact"/>
        <w:jc w:val="left"/>
        <w:sectPr>
          <w:type w:val="continuous"/>
          <w:pgSz w:w="11910" w:h="16840"/>
          <w:pgMar w:top="1320" w:bottom="1400" w:left="1580" w:right="1040"/>
        </w:sectPr>
      </w:pPr>
    </w:p>
    <w:p>
      <w:pPr>
        <w:spacing w:line="240" w:lineRule="auto" w:before="2"/>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0" w:footer="1217" w:top="1320" w:bottom="1400" w:left="1580" w:right="1040"/>
        </w:sectPr>
      </w:pPr>
    </w:p>
    <w:p>
      <w:pPr>
        <w:pStyle w:val="Heading5"/>
        <w:spacing w:line="240" w:lineRule="auto" w:before="36"/>
        <w:ind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8"/>
        <w:ind w:left="21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7"/>
        <w:rPr>
          <w:rFonts w:ascii="宋体" w:hAnsi="宋体" w:cs="宋体" w:eastAsia="宋体" w:hint="default"/>
          <w:sz w:val="24"/>
          <w:szCs w:val="24"/>
        </w:rPr>
      </w:pPr>
    </w:p>
    <w:p>
      <w:pPr>
        <w:pStyle w:val="Heading3"/>
        <w:tabs>
          <w:tab w:pos="1658" w:val="left" w:leader="none"/>
        </w:tabs>
        <w:spacing w:line="240" w:lineRule="auto"/>
        <w:ind w:right="0"/>
        <w:jc w:val="left"/>
      </w:pPr>
      <w:r>
        <w:rPr/>
        <w:t>单位：千元</w:t>
        <w:tab/>
        <w:t>币种：人民币</w:t>
      </w:r>
    </w:p>
    <w:p>
      <w:pPr>
        <w:spacing w:after="0" w:line="240" w:lineRule="auto"/>
        <w:jc w:val="left"/>
        <w:sectPr>
          <w:type w:val="continuous"/>
          <w:pgSz w:w="11910" w:h="16840"/>
          <w:pgMar w:top="1320" w:bottom="1400" w:left="1580" w:right="1040"/>
          <w:cols w:num="2" w:equalWidth="0">
            <w:col w:w="1911" w:space="4042"/>
            <w:col w:w="3337"/>
          </w:cols>
        </w:sectPr>
      </w:pP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271"/>
        <w:gridCol w:w="1116"/>
        <w:gridCol w:w="1087"/>
        <w:gridCol w:w="1114"/>
        <w:gridCol w:w="1116"/>
        <w:gridCol w:w="1102"/>
        <w:gridCol w:w="1090"/>
      </w:tblGrid>
      <w:tr>
        <w:trPr>
          <w:trHeight w:val="283" w:hRule="exact"/>
        </w:trPr>
        <w:tc>
          <w:tcPr>
            <w:tcW w:w="2271"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271" w:type="dxa"/>
            <w:vMerge/>
            <w:tcBorders>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70"/>
              <w:jc w:val="right"/>
              <w:rPr>
                <w:rFonts w:ascii="宋体" w:hAnsi="宋体" w:cs="宋体" w:eastAsia="宋体" w:hint="default"/>
                <w:sz w:val="21"/>
                <w:szCs w:val="21"/>
              </w:rPr>
            </w:pPr>
            <w:r>
              <w:rPr>
                <w:rFonts w:ascii="宋体" w:hAnsi="宋体" w:cs="宋体" w:eastAsia="宋体" w:hint="default"/>
                <w:spacing w:val="-1"/>
                <w:sz w:val="21"/>
                <w:szCs w:val="21"/>
              </w:rPr>
              <w:t>对子公司投资</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50,416,423</w:t>
            </w:r>
          </w:p>
        </w:tc>
        <w:tc>
          <w:tcPr>
            <w:tcW w:w="108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50,416,423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129,576</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129,576</w:t>
            </w:r>
          </w:p>
        </w:tc>
      </w:tr>
      <w:tr>
        <w:trPr>
          <w:trHeight w:val="28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7"/>
              <w:jc w:val="right"/>
              <w:rPr>
                <w:rFonts w:ascii="宋体" w:hAnsi="宋体" w:cs="宋体" w:eastAsia="宋体" w:hint="default"/>
                <w:sz w:val="21"/>
                <w:szCs w:val="21"/>
              </w:rPr>
            </w:pPr>
            <w:r>
              <w:rPr>
                <w:rFonts w:ascii="宋体" w:hAnsi="宋体" w:cs="宋体" w:eastAsia="宋体" w:hint="default"/>
                <w:sz w:val="21"/>
                <w:szCs w:val="21"/>
              </w:rPr>
              <w:t>合计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50,416,423</w:t>
            </w:r>
          </w:p>
        </w:tc>
        <w:tc>
          <w:tcPr>
            <w:tcW w:w="108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50,416,423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129,576</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129,576</w:t>
            </w:r>
          </w:p>
        </w:tc>
      </w:tr>
    </w:tbl>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20" w:bottom="1400" w:left="1580" w:right="1040"/>
        </w:sectPr>
      </w:pPr>
    </w:p>
    <w:p>
      <w:pPr>
        <w:pStyle w:val="Heading5"/>
        <w:spacing w:line="240" w:lineRule="auto" w:before="36"/>
        <w:ind w:right="-19"/>
        <w:jc w:val="left"/>
        <w:rPr>
          <w:b w:val="0"/>
          <w:bCs w:val="0"/>
        </w:rPr>
      </w:pPr>
      <w:r>
        <w:rPr>
          <w:rFonts w:ascii="宋体" w:hAnsi="宋体" w:cs="宋体" w:eastAsia="宋体" w:hint="default"/>
        </w:rPr>
        <w:t>(1). </w:t>
      </w:r>
      <w:r>
        <w:rPr/>
        <w:t>对子公司投资</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80" w:val="left" w:leader="none"/>
        </w:tabs>
        <w:spacing w:line="240" w:lineRule="auto"/>
        <w:ind w:left="218"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580" w:right="1040"/>
          <w:cols w:num="2" w:equalWidth="0">
            <w:col w:w="2014" w:space="4297"/>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3"/>
        <w:gridCol w:w="977"/>
        <w:gridCol w:w="1265"/>
        <w:gridCol w:w="1164"/>
        <w:gridCol w:w="1277"/>
        <w:gridCol w:w="710"/>
        <w:gridCol w:w="713"/>
      </w:tblGrid>
      <w:tr>
        <w:trPr>
          <w:trHeight w:val="110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40"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376" w:right="167" w:hanging="212"/>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2"/>
              <w:ind w:left="139" w:right="137"/>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37" w:lineRule="auto" w:before="2"/>
              <w:ind w:left="139" w:right="139"/>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苏州富士电梯有限公司</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40,645</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40,645</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苏州史杰克品牌管理有限公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89</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89</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苏州劳灵精密机械有限公司</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8,036</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8,036</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苏州江南嘉捷电梯有限公司</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（曾用名：苏州江南嘉捷机电</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技术研究院有限公司）</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50,000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1,330,443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1,380,443</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江南嘉捷（北京）电梯工程有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8,300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8,300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苏州五韵酒店有限公司</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江南嘉捷控股（香港）有限公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10,406</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10,406</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江南嘉捷（三明）电梯工程有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2,100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2,100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三六零科技有限公司</w:t>
            </w:r>
          </w:p>
        </w:tc>
        <w:tc>
          <w:tcPr>
            <w:tcW w:w="97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50,416,423</w:t>
            </w:r>
          </w:p>
        </w:tc>
        <w:tc>
          <w:tcPr>
            <w:tcW w:w="11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50,416,423</w:t>
            </w:r>
          </w:p>
        </w:tc>
        <w:tc>
          <w:tcPr>
            <w:tcW w:w="710"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129,576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51,746,866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1,460,019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50,416,423</w:t>
            </w:r>
          </w:p>
        </w:tc>
        <w:tc>
          <w:tcPr>
            <w:tcW w:w="710"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3"/>
          <w:szCs w:val="23"/>
        </w:rPr>
      </w:pPr>
    </w:p>
    <w:p>
      <w:pPr>
        <w:pStyle w:val="Heading5"/>
        <w:spacing w:line="240" w:lineRule="auto" w:before="36"/>
        <w:ind w:right="234"/>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72" w:lineRule="exact" w:before="86"/>
        <w:ind w:left="218" w:right="7474"/>
        <w:jc w:val="left"/>
      </w:pPr>
      <w:r>
        <w:rPr/>
        <w:t>□适用</w:t>
      </w:r>
      <w:r>
        <w:rPr>
          <w:spacing w:val="-1"/>
        </w:rPr>
        <w:t> </w:t>
      </w:r>
      <w:r>
        <w:rPr/>
        <w:t>√不适用</w:t>
      </w:r>
      <w:r>
        <w:rPr>
          <w:w w:val="100"/>
        </w:rPr>
        <w:t> </w:t>
      </w:r>
      <w:r>
        <w:rPr/>
        <w:t>其他说明：</w:t>
      </w:r>
    </w:p>
    <w:p>
      <w:pPr>
        <w:pStyle w:val="BodyText"/>
        <w:spacing w:line="249" w:lineRule="exact"/>
        <w:ind w:left="218" w:right="234"/>
        <w:jc w:val="left"/>
      </w:pP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20" w:bottom="1400" w:left="1580" w:right="1040"/>
        </w:sectPr>
      </w:pPr>
    </w:p>
    <w:p>
      <w:pPr>
        <w:pStyle w:val="Heading5"/>
        <w:spacing w:line="240" w:lineRule="auto" w:before="36"/>
        <w:ind w:right="-19"/>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5"/>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1"/>
        </w:rPr>
        <w:t> </w:t>
      </w:r>
      <w:r>
        <w:rPr/>
        <w:t>营业收入和营业成本情况</w:t>
      </w:r>
      <w:r>
        <w:rPr>
          <w:b w:val="0"/>
          <w:bCs w:val="0"/>
        </w:rPr>
      </w:r>
    </w:p>
    <w:p>
      <w:pPr>
        <w:pStyle w:val="BodyText"/>
        <w:tabs>
          <w:tab w:pos="1060" w:val="left" w:leader="none"/>
        </w:tabs>
        <w:spacing w:line="240" w:lineRule="auto" w:before="56"/>
        <w:ind w:left="21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480" w:val="left" w:leader="none"/>
        </w:tabs>
        <w:spacing w:line="240" w:lineRule="auto"/>
        <w:ind w:left="218"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580" w:right="1040"/>
          <w:cols w:num="2" w:equalWidth="0">
            <w:col w:w="3067" w:space="3243"/>
            <w:col w:w="29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1666"/>
        <w:gridCol w:w="1664"/>
        <w:gridCol w:w="1517"/>
        <w:gridCol w:w="1361"/>
      </w:tblGrid>
      <w:tr>
        <w:trPr>
          <w:trHeight w:val="283" w:hRule="exact"/>
        </w:trPr>
        <w:tc>
          <w:tcPr>
            <w:tcW w:w="2842"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842" w:type="dxa"/>
            <w:vMerge/>
            <w:tcBorders>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115,963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56,240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1,925,073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1,390,305</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747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536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29,086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20,239</w:t>
            </w:r>
          </w:p>
        </w:tc>
      </w:tr>
      <w:tr>
        <w:trPr>
          <w:trHeight w:val="28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116,710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56,776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1,954,159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1,410,544</w:t>
            </w:r>
          </w:p>
        </w:tc>
      </w:tr>
    </w:tbl>
    <w:p>
      <w:pPr>
        <w:spacing w:after="0" w:line="241" w:lineRule="exact"/>
        <w:jc w:val="right"/>
        <w:rPr>
          <w:rFonts w:ascii="宋体" w:hAnsi="宋体" w:cs="宋体" w:eastAsia="宋体" w:hint="default"/>
          <w:sz w:val="21"/>
          <w:szCs w:val="21"/>
        </w:rPr>
        <w:sectPr>
          <w:type w:val="continuous"/>
          <w:pgSz w:w="11910" w:h="16840"/>
          <w:pgMar w:top="1320" w:bottom="1400" w:left="1580" w:right="1040"/>
        </w:sectPr>
      </w:pPr>
    </w:p>
    <w:p>
      <w:pPr>
        <w:spacing w:line="240" w:lineRule="auto" w:before="2"/>
        <w:rPr>
          <w:rFonts w:ascii="宋体" w:hAnsi="宋体" w:cs="宋体" w:eastAsia="宋体" w:hint="default"/>
          <w:sz w:val="9"/>
          <w:szCs w:val="9"/>
        </w:rPr>
      </w:pPr>
    </w:p>
    <w:p>
      <w:pPr>
        <w:pStyle w:val="BodyText"/>
        <w:spacing w:line="290" w:lineRule="auto" w:before="36"/>
        <w:ind w:left="218" w:right="7998"/>
        <w:jc w:val="left"/>
      </w:pPr>
      <w:r>
        <w:rPr/>
        <w:t>其他说明：</w:t>
      </w:r>
      <w:r>
        <w:rPr>
          <w:spacing w:val="-102"/>
        </w:rPr>
        <w:t> </w:t>
      </w:r>
      <w:r>
        <w:rPr>
          <w:spacing w:val="-102"/>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217" w:top="1320" w:bottom="1400" w:left="1580" w:right="1040"/>
        </w:sectPr>
      </w:pPr>
    </w:p>
    <w:p>
      <w:pPr>
        <w:pStyle w:val="Heading5"/>
        <w:spacing w:line="240" w:lineRule="auto" w:before="36"/>
        <w:ind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80" w:val="left" w:leader="none"/>
        </w:tabs>
        <w:spacing w:line="240" w:lineRule="auto"/>
        <w:ind w:left="218"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580" w:right="1040"/>
          <w:cols w:num="2" w:equalWidth="0">
            <w:col w:w="1795" w:space="4515"/>
            <w:col w:w="29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491,629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股利收入</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1,100,000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理财产品收益及其他</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6,844</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1,591,629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6,844</w:t>
            </w:r>
          </w:p>
        </w:tc>
      </w:tr>
    </w:tbl>
    <w:p>
      <w:pPr>
        <w:spacing w:line="240" w:lineRule="auto" w:before="12"/>
        <w:rPr>
          <w:rFonts w:ascii="宋体" w:hAnsi="宋体" w:cs="宋体" w:eastAsia="宋体" w:hint="default"/>
          <w:sz w:val="22"/>
          <w:szCs w:val="22"/>
        </w:rPr>
      </w:pPr>
    </w:p>
    <w:p>
      <w:pPr>
        <w:pStyle w:val="Heading5"/>
        <w:spacing w:line="240" w:lineRule="auto" w:before="36"/>
        <w:ind w:right="234"/>
        <w:jc w:val="left"/>
        <w:rPr>
          <w:b w:val="0"/>
          <w:bCs w:val="0"/>
        </w:rPr>
      </w:pPr>
      <w:r>
        <w:rPr>
          <w:rFonts w:ascii="宋体" w:hAnsi="宋体" w:cs="宋体" w:eastAsia="宋体" w:hint="default"/>
        </w:rPr>
        <w:t>6</w:t>
      </w:r>
      <w:r>
        <w:rPr/>
        <w:t>、</w:t>
      </w:r>
      <w:r>
        <w:rPr>
          <w:spacing w:val="2"/>
        </w:rPr>
        <w:t> </w:t>
      </w:r>
      <w:r>
        <w:rPr/>
        <w:t>其他</w:t>
      </w:r>
      <w:r>
        <w:rPr>
          <w:b w:val="0"/>
          <w:bCs w:val="0"/>
        </w:rPr>
      </w:r>
    </w:p>
    <w:p>
      <w:pPr>
        <w:tabs>
          <w:tab w:pos="1060" w:val="left" w:leader="none"/>
        </w:tabs>
        <w:spacing w:line="272" w:lineRule="exact" w:before="86"/>
        <w:ind w:left="218" w:right="7202"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关联方及关联交易</w:t>
      </w:r>
      <w:r>
        <w:rPr>
          <w:rFonts w:ascii="宋体" w:hAnsi="宋体" w:cs="宋体" w:eastAsia="宋体" w:hint="default"/>
          <w:sz w:val="21"/>
          <w:szCs w:val="21"/>
        </w:rPr>
      </w:r>
    </w:p>
    <w:p>
      <w:pPr>
        <w:spacing w:line="240" w:lineRule="auto" w:before="10"/>
        <w:rPr>
          <w:rFonts w:ascii="宋体" w:hAnsi="宋体" w:cs="宋体" w:eastAsia="宋体" w:hint="default"/>
          <w:b/>
          <w:bCs/>
          <w:sz w:val="18"/>
          <w:szCs w:val="18"/>
        </w:rPr>
      </w:pPr>
    </w:p>
    <w:p>
      <w:pPr>
        <w:spacing w:before="0"/>
        <w:ind w:left="638" w:right="4409"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本公司的母公司情况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本公司的母公司情况详见附注（十二）。</w:t>
      </w:r>
    </w:p>
    <w:p>
      <w:pPr>
        <w:spacing w:line="272" w:lineRule="exact" w:before="161"/>
        <w:ind w:left="638" w:right="2963"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本公司的子公司情况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本公司的重要子公司情况详见附注（九）。</w:t>
      </w:r>
    </w:p>
    <w:p>
      <w:pPr>
        <w:spacing w:line="272" w:lineRule="exact" w:before="138"/>
        <w:ind w:left="638" w:right="234"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本公司的合营和联营企业情况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本公司的重要合营和联营企业情况详见附注（九），其他合营或联营企业详见附注（七）、</w:t>
      </w:r>
    </w:p>
    <w:p>
      <w:pPr>
        <w:spacing w:line="410" w:lineRule="exact" w:before="26"/>
        <w:ind w:left="218" w:right="7466" w:firstLine="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、其他关联方</w:t>
      </w:r>
      <w:r>
        <w:rPr>
          <w:rFonts w:ascii="宋体" w:hAnsi="宋体" w:cs="宋体" w:eastAsia="宋体" w:hint="default"/>
          <w:sz w:val="21"/>
          <w:szCs w:val="21"/>
        </w:rPr>
      </w:r>
    </w:p>
    <w:p>
      <w:pPr>
        <w:pStyle w:val="BodyText"/>
        <w:spacing w:line="219" w:lineRule="exact"/>
        <w:ind w:left="638" w:right="234"/>
        <w:jc w:val="left"/>
      </w:pPr>
      <w:r>
        <w:rPr/>
        <w:t>本公司的其他关联方详见附注（十二）。</w:t>
      </w:r>
    </w:p>
    <w:p>
      <w:pPr>
        <w:spacing w:before="133"/>
        <w:ind w:left="638" w:right="5674" w:hanging="42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、关联方交易情况</w:t>
      </w:r>
      <w:r>
        <w:rPr>
          <w:rFonts w:ascii="宋体" w:hAnsi="宋体" w:cs="宋体" w:eastAsia="宋体" w:hint="default"/>
          <w:b/>
          <w:bCs/>
          <w:w w:val="100"/>
          <w:sz w:val="21"/>
          <w:szCs w:val="21"/>
        </w:rPr>
        <w:t> </w:t>
      </w:r>
      <w:r>
        <w:rPr>
          <w:rFonts w:ascii="宋体" w:hAnsi="宋体" w:cs="宋体" w:eastAsia="宋体" w:hint="default"/>
          <w:spacing w:val="-2"/>
          <w:sz w:val="21"/>
          <w:szCs w:val="21"/>
        </w:rPr>
        <w:t>采购商品</w:t>
      </w:r>
      <w:r>
        <w:rPr>
          <w:rFonts w:ascii="宋体" w:hAnsi="宋体" w:cs="宋体" w:eastAsia="宋体" w:hint="default"/>
          <w:spacing w:val="-2"/>
          <w:sz w:val="21"/>
          <w:szCs w:val="21"/>
        </w:rPr>
        <w:t>/</w:t>
      </w:r>
      <w:r>
        <w:rPr>
          <w:rFonts w:ascii="宋体" w:hAnsi="宋体" w:cs="宋体" w:eastAsia="宋体" w:hint="default"/>
          <w:spacing w:val="-2"/>
          <w:sz w:val="21"/>
          <w:szCs w:val="21"/>
        </w:rPr>
        <w:t>接受劳务情况表</w:t>
      </w:r>
    </w:p>
    <w:p>
      <w:pPr>
        <w:pStyle w:val="BodyText"/>
        <w:spacing w:line="240" w:lineRule="auto" w:before="133"/>
        <w:ind w:left="0" w:right="347"/>
        <w:jc w:val="right"/>
      </w:pPr>
      <w:r>
        <w:rPr>
          <w:spacing w:val="-1"/>
        </w:rPr>
        <w:t>人民币千元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28"/>
        <w:gridCol w:w="2422"/>
        <w:gridCol w:w="1814"/>
        <w:gridCol w:w="1985"/>
      </w:tblGrid>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0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8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3"/>
              <w:jc w:val="right"/>
              <w:rPr>
                <w:rFonts w:ascii="宋体" w:hAnsi="宋体" w:cs="宋体" w:eastAsia="宋体" w:hint="default"/>
                <w:sz w:val="21"/>
                <w:szCs w:val="21"/>
              </w:rPr>
            </w:pPr>
            <w:r>
              <w:rPr>
                <w:rFonts w:ascii="宋体" w:hAnsi="宋体" w:cs="宋体" w:eastAsia="宋体" w:hint="default"/>
                <w:spacing w:val="-1"/>
                <w:sz w:val="21"/>
                <w:szCs w:val="21"/>
              </w:rPr>
              <w:t>本年发生额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2"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北京奇虎科技有限公司</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w:t>
            </w:r>
            <w:r>
              <w:rPr>
                <w:rFonts w:ascii="宋体" w:hAnsi="宋体" w:cs="宋体" w:eastAsia="宋体" w:hint="default"/>
                <w:sz w:val="21"/>
                <w:szCs w:val="21"/>
              </w:rPr>
              <w:t>技术服务</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19,448</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三六零科技有限公司</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w:t>
            </w:r>
            <w:r>
              <w:rPr>
                <w:rFonts w:ascii="宋体" w:hAnsi="宋体" w:cs="宋体" w:eastAsia="宋体" w:hint="default"/>
                <w:sz w:val="21"/>
                <w:szCs w:val="21"/>
              </w:rPr>
              <w:t>技术服务</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17,947</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422"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8,931</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46,326</w:t>
            </w:r>
          </w:p>
        </w:tc>
        <w:tc>
          <w:tcPr>
            <w:tcW w:w="19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320" w:bottom="1400" w:left="1580" w:right="1040"/>
        </w:sectPr>
      </w:pPr>
    </w:p>
    <w:p>
      <w:pPr>
        <w:spacing w:before="36"/>
        <w:ind w:left="638" w:right="-18" w:hanging="42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b/>
          <w:bCs/>
          <w:w w:val="100"/>
          <w:sz w:val="21"/>
          <w:szCs w:val="21"/>
        </w:rPr>
        <w:t> </w:t>
      </w:r>
      <w:r>
        <w:rPr>
          <w:rFonts w:ascii="宋体" w:hAnsi="宋体" w:cs="宋体" w:eastAsia="宋体" w:hint="default"/>
          <w:sz w:val="21"/>
          <w:szCs w:val="21"/>
        </w:rPr>
        <w:t>应收项目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left="218" w:right="0"/>
        <w:jc w:val="left"/>
      </w:pPr>
      <w:r>
        <w:rPr/>
        <w:t>人民币千元</w:t>
      </w:r>
    </w:p>
    <w:p>
      <w:pPr>
        <w:spacing w:after="0" w:line="240" w:lineRule="auto"/>
        <w:jc w:val="left"/>
        <w:sectPr>
          <w:type w:val="continuous"/>
          <w:pgSz w:w="11910" w:h="16840"/>
          <w:pgMar w:top="1320" w:bottom="1400" w:left="1580" w:right="1040"/>
          <w:cols w:num="2" w:equalWidth="0">
            <w:col w:w="2542" w:space="5123"/>
            <w:col w:w="162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73"/>
        <w:gridCol w:w="2583"/>
        <w:gridCol w:w="1841"/>
        <w:gridCol w:w="1853"/>
      </w:tblGrid>
      <w:tr>
        <w:trPr>
          <w:trHeight w:val="281"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1"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8"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283"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三六零科技有限公司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1,100,000</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3" w:type="dxa"/>
            <w:tcBorders>
              <w:top w:val="single" w:sz="4" w:space="0" w:color="000000"/>
              <w:left w:val="single" w:sz="4" w:space="0" w:color="000000"/>
              <w:bottom w:val="single" w:sz="4" w:space="0" w:color="000000"/>
              <w:right w:val="single" w:sz="4" w:space="0" w:color="000000"/>
            </w:tcBorders>
          </w:tcPr>
          <w:p>
            <w:pP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1,100,000</w:t>
            </w:r>
          </w:p>
        </w:tc>
        <w:tc>
          <w:tcPr>
            <w:tcW w:w="18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638" w:right="234"/>
        <w:jc w:val="left"/>
      </w:pPr>
      <w:r>
        <w:rPr/>
        <w:t>应付项目</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before="36"/>
        <w:ind w:left="0" w:right="347"/>
        <w:jc w:val="right"/>
      </w:pPr>
      <w:r>
        <w:rPr>
          <w:spacing w:val="-1"/>
        </w:rPr>
        <w:t>人民币千元</w:t>
      </w:r>
    </w:p>
    <w:p>
      <w:pPr>
        <w:spacing w:after="0" w:line="240" w:lineRule="auto"/>
        <w:jc w:val="right"/>
        <w:sectPr>
          <w:type w:val="continuous"/>
          <w:pgSz w:w="11910" w:h="16840"/>
          <w:pgMar w:top="1320" w:bottom="1400" w:left="1580" w:right="1040"/>
        </w:sectPr>
      </w:pPr>
    </w:p>
    <w:p>
      <w:pPr>
        <w:spacing w:line="240" w:lineRule="auto" w:before="6"/>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905"/>
        <w:gridCol w:w="2376"/>
        <w:gridCol w:w="1714"/>
        <w:gridCol w:w="2055"/>
      </w:tblGrid>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3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5"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1"/>
              <w:jc w:val="right"/>
              <w:rPr>
                <w:rFonts w:ascii="宋体" w:hAnsi="宋体" w:cs="宋体" w:eastAsia="宋体" w:hint="default"/>
                <w:sz w:val="21"/>
                <w:szCs w:val="21"/>
              </w:rPr>
            </w:pPr>
            <w:r>
              <w:rPr>
                <w:rFonts w:ascii="宋体" w:hAnsi="宋体" w:cs="宋体" w:eastAsia="宋体" w:hint="default"/>
                <w:spacing w:val="-1"/>
                <w:sz w:val="21"/>
                <w:szCs w:val="21"/>
              </w:rPr>
              <w:t>年末余额</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14"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北京奇虎科技有限公司</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19,448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三六零科技有限公司</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17,947</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8,931</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46,326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217" w:top="1320" w:bottom="1400" w:left="1580" w:right="1040"/>
        </w:sectPr>
      </w:pPr>
    </w:p>
    <w:p>
      <w:pPr>
        <w:pStyle w:val="Heading5"/>
        <w:tabs>
          <w:tab w:pos="1057" w:val="left" w:leader="none"/>
        </w:tabs>
        <w:spacing w:line="240" w:lineRule="auto" w:before="36"/>
        <w:ind w:right="-19"/>
        <w:jc w:val="left"/>
        <w:rPr>
          <w:b w:val="0"/>
          <w:bCs w:val="0"/>
        </w:rPr>
      </w:pPr>
      <w:r>
        <w:rPr/>
        <w:t>十八、</w:t>
        <w:tab/>
        <w:t>补充资料</w:t>
      </w:r>
      <w:r>
        <w:rPr>
          <w:b w:val="0"/>
          <w:bCs w:val="0"/>
        </w:rPr>
      </w:r>
    </w:p>
    <w:p>
      <w:pPr>
        <w:pStyle w:val="Heading5"/>
        <w:spacing w:line="240" w:lineRule="auto" w:before="58"/>
        <w:ind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1060" w:val="left" w:leader="none"/>
        </w:tabs>
        <w:spacing w:line="240" w:lineRule="auto" w:before="56"/>
        <w:ind w:left="21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480" w:val="left" w:leader="none"/>
        </w:tabs>
        <w:spacing w:line="240" w:lineRule="auto"/>
        <w:ind w:left="218" w:right="0"/>
        <w:jc w:val="left"/>
      </w:pPr>
      <w:r>
        <w:rPr>
          <w:spacing w:val="-1"/>
        </w:rPr>
        <w:t>单位：千元</w:t>
        <w:tab/>
      </w:r>
      <w:r>
        <w:rPr>
          <w:spacing w:val="-2"/>
        </w:rPr>
        <w:t>币种：人民币</w:t>
      </w:r>
    </w:p>
    <w:p>
      <w:pPr>
        <w:spacing w:after="0" w:line="240" w:lineRule="auto"/>
        <w:jc w:val="left"/>
        <w:sectPr>
          <w:type w:val="continuous"/>
          <w:pgSz w:w="11910" w:h="16840"/>
          <w:pgMar w:top="1320" w:bottom="1400" w:left="1580" w:right="1040"/>
          <w:cols w:num="2" w:equalWidth="0">
            <w:col w:w="2962" w:space="3349"/>
            <w:col w:w="297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780"/>
        <w:gridCol w:w="1985"/>
        <w:gridCol w:w="1284"/>
      </w:tblGrid>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281"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2,988</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统一标准定额或定量享受的政府补助除外）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39,661</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企业取得子公司、联营企业及合营企业的投资成本小于取得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投资时应享有被投资单位可辨认净资产公允价值产生的收益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w:t>
            </w:r>
          </w:p>
          <w:p>
            <w:pPr>
              <w:pStyle w:val="TableParagraph"/>
              <w:spacing w:line="237" w:lineRule="auto" w:before="2"/>
              <w:ind w:left="103" w:right="199"/>
              <w:jc w:val="both"/>
              <w:rPr>
                <w:rFonts w:ascii="宋体" w:hAnsi="宋体" w:cs="宋体" w:eastAsia="宋体" w:hint="default"/>
                <w:sz w:val="21"/>
                <w:szCs w:val="21"/>
              </w:rPr>
            </w:pPr>
            <w:r>
              <w:rPr>
                <w:rFonts w:ascii="宋体" w:hAnsi="宋体" w:cs="宋体" w:eastAsia="宋体" w:hint="default"/>
                <w:spacing w:val="-2"/>
                <w:sz w:val="21"/>
                <w:szCs w:val="21"/>
              </w:rPr>
              <w:t>易性金融资产、交易性金融负债产生的公允价值变动损益，</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以及处置交易性金融资产、交易性金融负债和理财投资的投</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资收益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z w:val="21"/>
              </w:rPr>
              <w:t>7,885</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采用公允价值模式进行后续计量的投资性房地产公允价值变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动产生的损益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根据税收、会计等法律、法规的要求对当期损益进行一次性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调整对当期损益的影响</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1,156</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取得长期股权投资时，通过多次交易分步实现非同一控制下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企业合并，原股权按照公允价值重新计量产生的利得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55,958</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处置长期股权投资时，其他权益变动转出产生的利得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17,603</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(6,073)</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(2,839)</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116,339</w:t>
            </w:r>
          </w:p>
        </w:tc>
        <w:tc>
          <w:tcPr>
            <w:tcW w:w="128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20" w:bottom="1400" w:left="1580" w:right="1040"/>
        </w:sectPr>
      </w:pPr>
    </w:p>
    <w:p>
      <w:pPr>
        <w:spacing w:line="240" w:lineRule="auto" w:before="2"/>
        <w:rPr>
          <w:rFonts w:ascii="宋体" w:hAnsi="宋体" w:cs="宋体" w:eastAsia="宋体" w:hint="default"/>
          <w:sz w:val="9"/>
          <w:szCs w:val="9"/>
        </w:rPr>
      </w:pPr>
    </w:p>
    <w:p>
      <w:pPr>
        <w:pStyle w:val="BodyText"/>
        <w:spacing w:line="240" w:lineRule="auto" w:before="36"/>
        <w:ind w:left="698" w:right="124"/>
        <w:jc w:val="left"/>
      </w:pPr>
      <w:r>
        <w:rPr>
          <w:spacing w:val="-3"/>
        </w:rPr>
        <w:t>对公司根据《公开发行证券的公司信息披露解释性公告第 </w:t>
      </w:r>
      <w:r>
        <w:rPr>
          <w:rFonts w:ascii="宋体" w:hAnsi="宋体" w:cs="宋体" w:eastAsia="宋体" w:hint="default"/>
        </w:rPr>
        <w:t>1</w:t>
      </w:r>
      <w:r>
        <w:rPr>
          <w:rFonts w:ascii="宋体" w:hAnsi="宋体" w:cs="宋体" w:eastAsia="宋体" w:hint="default"/>
          <w:spacing w:val="-26"/>
        </w:rPr>
        <w:t> </w:t>
      </w:r>
      <w:r>
        <w:rPr>
          <w:spacing w:val="-4"/>
        </w:rPr>
        <w:t>号——非经常性损益》定义界定</w:t>
      </w:r>
    </w:p>
    <w:p>
      <w:pPr>
        <w:pStyle w:val="BodyText"/>
        <w:spacing w:line="355" w:lineRule="auto" w:before="135"/>
        <w:ind w:left="218" w:right="234"/>
        <w:jc w:val="left"/>
      </w:pPr>
      <w:r>
        <w:rPr/>
        <w:t>的非经常性损益项目，以及把《公开发行证券的公司信息披露解释性公告第</w:t>
      </w:r>
      <w:r>
        <w:rPr>
          <w:spacing w:val="-57"/>
        </w:rPr>
        <w:t> </w:t>
      </w:r>
      <w:r>
        <w:rPr>
          <w:rFonts w:ascii="宋体" w:hAnsi="宋体" w:cs="宋体" w:eastAsia="宋体" w:hint="default"/>
        </w:rPr>
        <w:t>1</w:t>
      </w:r>
      <w:r>
        <w:rPr>
          <w:rFonts w:ascii="宋体" w:hAnsi="宋体" w:cs="宋体" w:eastAsia="宋体" w:hint="default"/>
          <w:spacing w:val="-54"/>
        </w:rPr>
        <w:t> </w:t>
      </w:r>
      <w:r>
        <w:rPr/>
        <w:t>号——非经常性损</w:t>
      </w:r>
      <w:r>
        <w:rPr>
          <w:w w:val="100"/>
        </w:rPr>
        <w:t> </w:t>
      </w:r>
      <w:r>
        <w:rPr/>
        <w:t>益》中列举的非经常性损益项目界定为经常性损益的项目，应说明原因。</w:t>
      </w:r>
    </w:p>
    <w:p>
      <w:pPr>
        <w:pStyle w:val="BodyText"/>
        <w:spacing w:line="240" w:lineRule="auto" w:before="32"/>
        <w:ind w:left="218" w:right="234"/>
        <w:jc w:val="left"/>
      </w:pPr>
      <w:r>
        <w:rPr/>
        <w:t>√适用</w:t>
      </w:r>
      <w:r>
        <w:rPr>
          <w:spacing w:val="-1"/>
        </w:rPr>
        <w:t> </w:t>
      </w:r>
      <w:r>
        <w:rPr/>
        <w:t>□不适用</w:t>
      </w:r>
    </w:p>
    <w:p>
      <w:pPr>
        <w:pStyle w:val="BodyText"/>
        <w:tabs>
          <w:tab w:pos="1262" w:val="left" w:leader="none"/>
        </w:tabs>
        <w:spacing w:line="274" w:lineRule="exact"/>
        <w:ind w:left="0" w:right="232"/>
        <w:jc w:val="right"/>
      </w:pPr>
      <w:r>
        <w:rPr>
          <w:spacing w:val="-1"/>
        </w:rPr>
        <w:t>单位：千元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3"/>
        <w:gridCol w:w="1700"/>
        <w:gridCol w:w="5257"/>
      </w:tblGrid>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3" w:right="0"/>
              <w:jc w:val="left"/>
              <w:rPr>
                <w:rFonts w:ascii="宋体" w:hAnsi="宋体" w:cs="宋体" w:eastAsia="宋体" w:hint="default"/>
                <w:sz w:val="21"/>
                <w:szCs w:val="21"/>
              </w:rPr>
            </w:pPr>
            <w:r>
              <w:rPr>
                <w:rFonts w:ascii="宋体" w:hAnsi="宋体" w:cs="宋体" w:eastAsia="宋体" w:hint="default"/>
                <w:sz w:val="21"/>
                <w:szCs w:val="21"/>
              </w:rPr>
              <w:t>涉及金额</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82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52" w:right="0"/>
              <w:jc w:val="left"/>
              <w:rPr>
                <w:rFonts w:ascii="宋体" w:hAnsi="宋体" w:cs="宋体" w:eastAsia="宋体" w:hint="default"/>
                <w:sz w:val="21"/>
                <w:szCs w:val="21"/>
              </w:rPr>
            </w:pPr>
            <w:r>
              <w:rPr>
                <w:rFonts w:ascii="宋体"/>
                <w:sz w:val="21"/>
              </w:rPr>
              <w:t>264,432</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本公司根据经营特征、相关交易和事项发生的频次及性</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质，将处置相关联营企业和可供出售金融资产的股权投</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资产生的投资收益作为经常损益进行了列示</w:t>
            </w:r>
          </w:p>
        </w:tc>
      </w:tr>
    </w:tbl>
    <w:p>
      <w:pPr>
        <w:spacing w:line="240" w:lineRule="auto" w:before="1"/>
        <w:rPr>
          <w:rFonts w:ascii="宋体" w:hAnsi="宋体" w:cs="宋体" w:eastAsia="宋体" w:hint="default"/>
          <w:sz w:val="23"/>
          <w:szCs w:val="23"/>
        </w:rPr>
      </w:pPr>
    </w:p>
    <w:p>
      <w:pPr>
        <w:pStyle w:val="Heading5"/>
        <w:spacing w:line="240" w:lineRule="auto" w:before="36"/>
        <w:ind w:right="234"/>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8"/>
        <w:ind w:left="218" w:right="234"/>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12"/>
        <w:gridCol w:w="1985"/>
        <w:gridCol w:w="1841"/>
        <w:gridCol w:w="1711"/>
      </w:tblGrid>
      <w:tr>
        <w:trPr>
          <w:trHeight w:val="283" w:hRule="exact"/>
        </w:trPr>
        <w:tc>
          <w:tcPr>
            <w:tcW w:w="3512" w:type="dxa"/>
            <w:vMerge w:val="restart"/>
            <w:tcBorders>
              <w:top w:val="single" w:sz="4" w:space="0" w:color="000000"/>
              <w:left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985" w:type="dxa"/>
            <w:vMerge w:val="restart"/>
            <w:tcBorders>
              <w:top w:val="single" w:sz="4" w:space="0" w:color="000000"/>
              <w:left w:val="single" w:sz="4" w:space="0" w:color="000000"/>
              <w:right w:val="single" w:sz="4" w:space="0" w:color="000000"/>
            </w:tcBorders>
          </w:tcPr>
          <w:p>
            <w:pPr>
              <w:pStyle w:val="TableParagraph"/>
              <w:spacing w:line="272" w:lineRule="exact" w:before="44"/>
              <w:ind w:left="511" w:right="146" w:hanging="368"/>
              <w:jc w:val="left"/>
              <w:rPr>
                <w:rFonts w:ascii="宋体" w:hAnsi="宋体" w:cs="宋体" w:eastAsia="宋体" w:hint="default"/>
                <w:sz w:val="21"/>
                <w:szCs w:val="21"/>
              </w:rPr>
            </w:pPr>
            <w:r>
              <w:rPr>
                <w:rFonts w:ascii="宋体" w:hAnsi="宋体" w:cs="宋体" w:eastAsia="宋体" w:hint="default"/>
                <w:sz w:val="21"/>
                <w:szCs w:val="21"/>
              </w:rPr>
              <w:t>加权平均净资产收</w:t>
            </w:r>
            <w:r>
              <w:rPr>
                <w:rFonts w:ascii="宋体" w:hAnsi="宋体" w:cs="宋体" w:eastAsia="宋体" w:hint="default"/>
                <w:w w:val="100"/>
                <w:sz w:val="21"/>
                <w:szCs w:val="21"/>
              </w:rPr>
              <w:t> </w:t>
            </w:r>
            <w:r>
              <w:rPr>
                <w:rFonts w:ascii="宋体" w:hAnsi="宋体" w:cs="宋体" w:eastAsia="宋体" w:hint="default"/>
                <w:sz w:val="21"/>
                <w:szCs w:val="21"/>
              </w:rPr>
              <w:t>益率（</w:t>
            </w:r>
            <w:r>
              <w:rPr>
                <w:rFonts w:ascii="宋体" w:hAnsi="宋体" w:cs="宋体" w:eastAsia="宋体" w:hint="default"/>
                <w:sz w:val="21"/>
                <w:szCs w:val="21"/>
              </w:rPr>
              <w:t>%</w:t>
            </w:r>
            <w:r>
              <w:rPr>
                <w:rFonts w:ascii="宋体" w:hAnsi="宋体" w:cs="宋体" w:eastAsia="宋体" w:hint="default"/>
                <w:sz w:val="21"/>
                <w:szCs w:val="21"/>
              </w:rPr>
              <w:t>）</w:t>
            </w:r>
          </w:p>
        </w:tc>
        <w:tc>
          <w:tcPr>
            <w:tcW w:w="3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3512"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3"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0"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370"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z w:val="21"/>
              </w:rPr>
              <w:t>17.24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z w:val="21"/>
              </w:rPr>
              <w:t>0.53</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z w:val="21"/>
              </w:rPr>
              <w:t>0.53</w:t>
            </w:r>
          </w:p>
        </w:tc>
      </w:tr>
      <w:tr>
        <w:trPr>
          <w:trHeight w:val="55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通股股东的净利润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16.67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0.51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0.51</w:t>
            </w:r>
          </w:p>
        </w:tc>
      </w:tr>
    </w:tbl>
    <w:p>
      <w:pPr>
        <w:spacing w:line="240" w:lineRule="auto" w:before="1"/>
        <w:rPr>
          <w:rFonts w:ascii="宋体" w:hAnsi="宋体" w:cs="宋体" w:eastAsia="宋体" w:hint="default"/>
          <w:sz w:val="23"/>
          <w:szCs w:val="23"/>
        </w:rPr>
      </w:pPr>
    </w:p>
    <w:p>
      <w:pPr>
        <w:pStyle w:val="Heading5"/>
        <w:spacing w:line="240" w:lineRule="auto" w:before="36"/>
        <w:ind w:right="234"/>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6"/>
        <w:ind w:left="218" w:right="23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right="234"/>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1060" w:val="left" w:leader="none"/>
        </w:tabs>
        <w:spacing w:line="240" w:lineRule="auto" w:before="58"/>
        <w:ind w:left="218" w:right="234"/>
        <w:jc w:val="left"/>
      </w:pPr>
      <w:r>
        <w:rPr>
          <w:spacing w:val="-1"/>
        </w:rPr>
        <w:t>□适用</w:t>
        <w:tab/>
      </w:r>
      <w:r>
        <w:rPr>
          <w:spacing w:val="-2"/>
        </w:rPr>
        <w:t>√不适用</w:t>
      </w:r>
    </w:p>
    <w:p>
      <w:pPr>
        <w:spacing w:after="0" w:line="240" w:lineRule="auto"/>
        <w:jc w:val="left"/>
        <w:sectPr>
          <w:pgSz w:w="11910" w:h="16840"/>
          <w:pgMar w:header="0" w:footer="1217" w:top="1320" w:bottom="1400" w:left="1580" w:right="1040"/>
        </w:sectPr>
      </w:pPr>
    </w:p>
    <w:p>
      <w:pPr>
        <w:spacing w:line="240" w:lineRule="auto" w:before="4"/>
        <w:rPr>
          <w:rFonts w:ascii="宋体" w:hAnsi="宋体" w:cs="宋体" w:eastAsia="宋体" w:hint="default"/>
          <w:sz w:val="14"/>
          <w:szCs w:val="14"/>
        </w:rPr>
      </w:pPr>
    </w:p>
    <w:p>
      <w:pPr>
        <w:pStyle w:val="Heading1"/>
        <w:spacing w:line="240" w:lineRule="auto"/>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40"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载有法定代表人签名的年度报告文本</w:t>
            </w:r>
          </w:p>
        </w:tc>
      </w:tr>
      <w:tr>
        <w:trPr>
          <w:trHeight w:val="946"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86"/>
              <w:ind w:left="26" w:right="46"/>
              <w:jc w:val="left"/>
              <w:rPr>
                <w:rFonts w:ascii="宋体" w:hAnsi="宋体" w:cs="宋体" w:eastAsia="宋体" w:hint="default"/>
                <w:sz w:val="21"/>
                <w:szCs w:val="21"/>
              </w:rPr>
            </w:pPr>
            <w:r>
              <w:rPr>
                <w:rFonts w:ascii="宋体" w:hAnsi="宋体" w:cs="宋体" w:eastAsia="宋体" w:hint="default"/>
                <w:spacing w:val="-2"/>
                <w:sz w:val="21"/>
                <w:szCs w:val="21"/>
              </w:rPr>
              <w:t>载有法定代表人、主管会计工作负责人、会计机构负责人签名并盖章的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会计报表</w:t>
            </w:r>
          </w:p>
        </w:tc>
      </w:tr>
      <w:tr>
        <w:trPr>
          <w:trHeight w:val="949"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88"/>
              <w:ind w:left="26" w:right="46"/>
              <w:jc w:val="left"/>
              <w:rPr>
                <w:rFonts w:ascii="宋体" w:hAnsi="宋体" w:cs="宋体" w:eastAsia="宋体" w:hint="default"/>
                <w:sz w:val="21"/>
                <w:szCs w:val="21"/>
              </w:rPr>
            </w:pPr>
            <w:r>
              <w:rPr>
                <w:rFonts w:ascii="宋体" w:hAnsi="宋体" w:cs="宋体" w:eastAsia="宋体" w:hint="default"/>
                <w:spacing w:val="-2"/>
                <w:sz w:val="21"/>
                <w:szCs w:val="21"/>
              </w:rPr>
              <w:t>报告期内在中国证监会指定报纸上公开披露过的所有公司文件的正本及</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公告的原稿</w:t>
            </w:r>
          </w:p>
        </w:tc>
      </w:tr>
    </w:tbl>
    <w:p>
      <w:pPr>
        <w:pStyle w:val="BodyText"/>
        <w:spacing w:line="460" w:lineRule="auto" w:before="86"/>
        <w:ind w:left="5236" w:right="148" w:firstLine="2259"/>
        <w:jc w:val="left"/>
      </w:pPr>
      <w:r>
        <w:rPr>
          <w:spacing w:val="-1"/>
        </w:rPr>
        <w:t>董事长：周鸿祎</w:t>
      </w:r>
      <w:r>
        <w:rPr>
          <w:w w:val="100"/>
        </w:rPr>
        <w:t> </w:t>
      </w:r>
      <w:r>
        <w:rPr/>
        <w:t>董事会批准报送日期：</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12</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5"/>
        <w:spacing w:line="240" w:lineRule="auto" w:before="36"/>
        <w:ind w:left="138" w:right="5592"/>
        <w:jc w:val="left"/>
        <w:rPr>
          <w:b w:val="0"/>
          <w:bCs w:val="0"/>
        </w:rPr>
      </w:pPr>
      <w:r>
        <w:rPr/>
        <w:t>修订信息</w:t>
      </w:r>
      <w:r>
        <w:rPr>
          <w:b w:val="0"/>
          <w:bCs w:val="0"/>
        </w:rPr>
      </w:r>
    </w:p>
    <w:p>
      <w:pPr>
        <w:pStyle w:val="BodyText"/>
        <w:spacing w:line="240" w:lineRule="auto" w:before="8"/>
        <w:ind w:right="5592"/>
        <w:jc w:val="left"/>
      </w:pPr>
      <w:r>
        <w:rPr/>
        <w:t>□适用</w:t>
      </w:r>
      <w:r>
        <w:rPr>
          <w:spacing w:val="-1"/>
        </w:rPr>
        <w:t> </w:t>
      </w:r>
      <w:r>
        <w:rPr/>
        <w:t>√不适用</w:t>
      </w:r>
    </w:p>
    <w:sectPr>
      <w:pgSz w:w="11910" w:h="16840"/>
      <w:pgMar w:header="0" w:footer="1217" w:top="1320" w:bottom="140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9985pt;margin-top:770.065613pt;width:39.25pt;height:11pt;mso-position-horizontal-relative:page;mso-position-vertical-relative:page;z-index:-103652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10</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9985pt;margin-top:770.065613pt;width:39.25pt;height:11pt;mso-position-horizontal-relative:page;mso-position-vertical-relative:page;z-index:-103607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35</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8.730011pt;margin-top:523.44165pt;width:39.3pt;height:11pt;mso-position-horizontal-relative:page;mso-position-vertical-relative:page;z-index:-103597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42</w:t>
                </w:r>
                <w:r>
                  <w:rPr/>
                  <w:fldChar w:fldCharType="end"/>
                </w:r>
                <w:r>
                  <w:rPr>
                    <w:rFonts w:ascii="宋体"/>
                    <w:b/>
                    <w:sz w:val="18"/>
                  </w:rPr>
                  <w:t> </w:t>
                </w:r>
                <w:r>
                  <w:rPr>
                    <w:rFonts w:ascii="宋体"/>
                    <w:sz w:val="18"/>
                  </w:rPr>
                  <w:t>/</w:t>
                </w:r>
                <w:r>
                  <w:rPr>
                    <w:rFonts w:ascii="宋体"/>
                    <w:spacing w:val="-2"/>
                    <w:sz w:val="18"/>
                  </w:rPr>
                  <w:t> </w:t>
                </w:r>
                <w:r>
                  <w:rPr>
                    <w:rFonts w:ascii="宋体"/>
                    <w:b/>
                    <w:sz w:val="18"/>
                  </w:rPr>
                  <w:t>220</w:t>
                </w:r>
                <w:r>
                  <w:rPr>
                    <w:rFonts w:ascii="宋体"/>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9985pt;margin-top:770.065613pt;width:39.25pt;height:11pt;mso-position-horizontal-relative:page;mso-position-vertical-relative:page;z-index:-103588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50</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8.730011pt;margin-top:523.44165pt;width:39.3pt;height:11pt;mso-position-horizontal-relative:page;mso-position-vertical-relative:page;z-index:-103578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54</w:t>
                </w:r>
                <w:r>
                  <w:rPr/>
                  <w:fldChar w:fldCharType="end"/>
                </w:r>
                <w:r>
                  <w:rPr>
                    <w:rFonts w:ascii="宋体"/>
                    <w:b/>
                    <w:sz w:val="18"/>
                  </w:rPr>
                  <w:t> </w:t>
                </w:r>
                <w:r>
                  <w:rPr>
                    <w:rFonts w:ascii="宋体"/>
                    <w:sz w:val="18"/>
                  </w:rPr>
                  <w:t>/</w:t>
                </w:r>
                <w:r>
                  <w:rPr>
                    <w:rFonts w:ascii="宋体"/>
                    <w:spacing w:val="-2"/>
                    <w:sz w:val="18"/>
                  </w:rPr>
                  <w:t> </w:t>
                </w:r>
                <w:r>
                  <w:rPr>
                    <w:rFonts w:ascii="宋体"/>
                    <w:b/>
                    <w:sz w:val="18"/>
                  </w:rPr>
                  <w:t>220</w:t>
                </w:r>
                <w:r>
                  <w:rPr>
                    <w:rFonts w:ascii="宋体"/>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9985pt;margin-top:770.065613pt;width:39.25pt;height:11pt;mso-position-horizontal-relative:page;mso-position-vertical-relative:page;z-index:-103568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56</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8.730011pt;margin-top:523.44165pt;width:39.3pt;height:11pt;mso-position-horizontal-relative:page;mso-position-vertical-relative:page;z-index:-103559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59</w:t>
                </w:r>
                <w:r>
                  <w:rPr/>
                  <w:fldChar w:fldCharType="end"/>
                </w:r>
                <w:r>
                  <w:rPr>
                    <w:rFonts w:ascii="宋体"/>
                    <w:b/>
                    <w:sz w:val="18"/>
                  </w:rPr>
                  <w:t> </w:t>
                </w:r>
                <w:r>
                  <w:rPr>
                    <w:rFonts w:ascii="宋体"/>
                    <w:sz w:val="18"/>
                  </w:rPr>
                  <w:t>/</w:t>
                </w:r>
                <w:r>
                  <w:rPr>
                    <w:rFonts w:ascii="宋体"/>
                    <w:spacing w:val="-2"/>
                    <w:sz w:val="18"/>
                  </w:rPr>
                  <w:t> </w:t>
                </w:r>
                <w:r>
                  <w:rPr>
                    <w:rFonts w:ascii="宋体"/>
                    <w:b/>
                    <w:sz w:val="18"/>
                  </w:rPr>
                  <w:t>220</w:t>
                </w:r>
                <w:r>
                  <w:rPr>
                    <w:rFonts w:ascii="宋体"/>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9985pt;margin-top:770.065613pt;width:39.25pt;height:11pt;mso-position-horizontal-relative:page;mso-position-vertical-relative:page;z-index:-103549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62</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8.730011pt;margin-top:523.44165pt;width:39.3pt;height:11pt;mso-position-horizontal-relative:page;mso-position-vertical-relative:page;z-index:-103540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64</w:t>
                </w:r>
                <w:r>
                  <w:rPr/>
                  <w:fldChar w:fldCharType="end"/>
                </w:r>
                <w:r>
                  <w:rPr>
                    <w:rFonts w:ascii="宋体"/>
                    <w:b/>
                    <w:sz w:val="18"/>
                  </w:rPr>
                  <w:t> </w:t>
                </w:r>
                <w:r>
                  <w:rPr>
                    <w:rFonts w:ascii="宋体"/>
                    <w:sz w:val="18"/>
                  </w:rPr>
                  <w:t>/</w:t>
                </w:r>
                <w:r>
                  <w:rPr>
                    <w:rFonts w:ascii="宋体"/>
                    <w:spacing w:val="-2"/>
                    <w:sz w:val="18"/>
                  </w:rPr>
                  <w:t> </w:t>
                </w:r>
                <w:r>
                  <w:rPr>
                    <w:rFonts w:ascii="宋体"/>
                    <w:b/>
                    <w:sz w:val="18"/>
                  </w:rPr>
                  <w:t>220</w:t>
                </w:r>
                <w:r>
                  <w:rPr>
                    <w:rFonts w:ascii="宋体"/>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9985pt;margin-top:770.065613pt;width:39.25pt;height:11pt;mso-position-horizontal-relative:page;mso-position-vertical-relative:page;z-index:-103530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74</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8.730011pt;margin-top:523.44165pt;width:39.3pt;height:11pt;mso-position-horizontal-relative:page;mso-position-vertical-relative:page;z-index:-103520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77</w:t>
                </w:r>
                <w:r>
                  <w:rPr/>
                  <w:fldChar w:fldCharType="end"/>
                </w:r>
                <w:r>
                  <w:rPr>
                    <w:rFonts w:ascii="宋体"/>
                    <w:b/>
                    <w:sz w:val="18"/>
                  </w:rPr>
                  <w:t> </w:t>
                </w:r>
                <w:r>
                  <w:rPr>
                    <w:rFonts w:ascii="宋体"/>
                    <w:sz w:val="18"/>
                  </w:rPr>
                  <w:t>/</w:t>
                </w:r>
                <w:r>
                  <w:rPr>
                    <w:rFonts w:ascii="宋体"/>
                    <w:spacing w:val="-2"/>
                    <w:sz w:val="18"/>
                  </w:rPr>
                  <w:t> </w:t>
                </w:r>
                <w:r>
                  <w:rPr>
                    <w:rFonts w:ascii="宋体"/>
                    <w:b/>
                    <w:sz w:val="18"/>
                  </w:rPr>
                  <w:t>220</w:t>
                </w:r>
                <w:r>
                  <w:rPr>
                    <w:rFonts w:ascii="宋体"/>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9985pt;margin-top:770.065613pt;width:39.25pt;height:11pt;mso-position-horizontal-relative:page;mso-position-vertical-relative:page;z-index:-103650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14</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9985pt;margin-top:770.065613pt;width:39.25pt;height:11pt;mso-position-horizontal-relative:page;mso-position-vertical-relative:page;z-index:-103511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82</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9985pt;margin-top:770.065613pt;width:39.25pt;height:11pt;mso-position-horizontal-relative:page;mso-position-vertical-relative:page;z-index:-103508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96</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9985pt;margin-top:770.065613pt;width:39.25pt;height:11pt;mso-position-horizontal-relative:page;mso-position-vertical-relative:page;z-index:-103506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97</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329987pt;margin-top:770.065613pt;width:42.85pt;height:11pt;mso-position-horizontal-relative:page;mso-position-vertical-relative:page;z-index:-10350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b/>
                    <w:sz w:val="18"/>
                  </w:rPr>
                  <w:t>100 </w:t>
                </w:r>
                <w:r>
                  <w:rPr>
                    <w:rFonts w:ascii="宋体"/>
                    <w:sz w:val="18"/>
                  </w:rPr>
                  <w:t>/</w:t>
                </w:r>
                <w:r>
                  <w:rPr>
                    <w:rFonts w:ascii="宋体"/>
                    <w:spacing w:val="-1"/>
                    <w:sz w:val="18"/>
                  </w:rPr>
                  <w:t> </w:t>
                </w:r>
                <w:r>
                  <w:rPr>
                    <w:rFonts w:ascii="宋体"/>
                    <w:b/>
                    <w:sz w:val="18"/>
                  </w:rPr>
                  <w:t>220</w:t>
                </w:r>
                <w:r>
                  <w:rPr>
                    <w:rFonts w:ascii="宋体"/>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329987pt;margin-top:770.065613pt;width:43.85pt;height:11pt;mso-position-horizontal-relative:page;mso-position-vertical-relative:page;z-index:-103501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101</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649994pt;margin-top:523.44165pt;width:43.85pt;height:11pt;mso-position-horizontal-relative:page;mso-position-vertical-relative:page;z-index:-103494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110</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2.290009pt;margin-top:770.065613pt;width:43.8pt;height:11pt;mso-position-horizontal-relative:page;mso-position-vertical-relative:page;z-index:-103484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116</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2.290009pt;margin-top:770.065613pt;width:43.8pt;height:11pt;mso-position-horizontal-relative:page;mso-position-vertical-relative:page;z-index:-103482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126</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2.290009pt;margin-top:770.065613pt;width:43.8pt;height:11pt;mso-position-horizontal-relative:page;mso-position-vertical-relative:page;z-index:-103480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135</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2.290009pt;margin-top:770.065613pt;width:43.8pt;height:11pt;mso-position-horizontal-relative:page;mso-position-vertical-relative:page;z-index:-103477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136</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9985pt;margin-top:770.065613pt;width:39.25pt;height:11pt;mso-position-horizontal-relative:page;mso-position-vertical-relative:page;z-index:-103648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15</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2.290009pt;margin-top:770.065613pt;width:43.8pt;height:11pt;mso-position-horizontal-relative:page;mso-position-vertical-relative:page;z-index:-103475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143</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2.290009pt;margin-top:770.065613pt;width:43.8pt;height:11pt;mso-position-horizontal-relative:page;mso-position-vertical-relative:page;z-index:-103472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147</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649994pt;margin-top:523.44165pt;width:43.85pt;height:11pt;mso-position-horizontal-relative:page;mso-position-vertical-relative:page;z-index:-103465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151</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649994pt;margin-top:523.44165pt;width:43.85pt;height:11pt;mso-position-horizontal-relative:page;mso-position-vertical-relative:page;z-index:-103458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154</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2.290009pt;margin-top:770.065613pt;width:43.8pt;height:11pt;mso-position-horizontal-relative:page;mso-position-vertical-relative:page;z-index:-103448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157</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2.290009pt;margin-top:770.065613pt;width:43.8pt;height:11pt;mso-position-horizontal-relative:page;mso-position-vertical-relative:page;z-index:-103446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160</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9985pt;margin-top:770.065613pt;width:39.25pt;height:11pt;mso-position-horizontal-relative:page;mso-position-vertical-relative:page;z-index:-103645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19</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2.290009pt;margin-top:770.065613pt;width:43.8pt;height:11pt;mso-position-horizontal-relative:page;mso-position-vertical-relative:page;z-index:-103444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174</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2.290009pt;margin-top:770.065613pt;width:43.8pt;height:11pt;mso-position-horizontal-relative:page;mso-position-vertical-relative:page;z-index:-103441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185</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6.450012pt;margin-top:523.44165pt;width:43.85pt;height:11pt;mso-position-horizontal-relative:page;mso-position-vertical-relative:page;z-index:-103432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189</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6.450012pt;margin-top:523.44165pt;width:43.85pt;height:11pt;mso-position-horizontal-relative:page;mso-position-vertical-relative:page;z-index:-103429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192</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329987pt;margin-top:770.065613pt;width:43.85pt;height:11pt;mso-position-horizontal-relative:page;mso-position-vertical-relative:page;z-index:-103420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195</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329987pt;margin-top:770.065613pt;width:42.85pt;height:11pt;mso-position-horizontal-relative:page;mso-position-vertical-relative:page;z-index:-10341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b/>
                    <w:sz w:val="18"/>
                  </w:rPr>
                  <w:t>200 </w:t>
                </w:r>
                <w:r>
                  <w:rPr>
                    <w:rFonts w:ascii="宋体"/>
                    <w:sz w:val="18"/>
                  </w:rPr>
                  <w:t>/</w:t>
                </w:r>
                <w:r>
                  <w:rPr>
                    <w:rFonts w:ascii="宋体"/>
                    <w:spacing w:val="-1"/>
                    <w:sz w:val="18"/>
                  </w:rPr>
                  <w:t> </w:t>
                </w:r>
                <w:r>
                  <w:rPr>
                    <w:rFonts w:ascii="宋体"/>
                    <w:b/>
                    <w:sz w:val="18"/>
                  </w:rPr>
                  <w:t>220</w:t>
                </w:r>
                <w:r>
                  <w:rPr>
                    <w:rFonts w:ascii="宋体"/>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329987pt;margin-top:770.065613pt;width:43.85pt;height:11pt;mso-position-horizontal-relative:page;mso-position-vertical-relative:page;z-index:-103415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201</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8.730011pt;margin-top:523.44165pt;width:39.3pt;height:11pt;mso-position-horizontal-relative:page;mso-position-vertical-relative:page;z-index:-103636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26</w:t>
                </w:r>
                <w:r>
                  <w:rPr/>
                  <w:fldChar w:fldCharType="end"/>
                </w:r>
                <w:r>
                  <w:rPr>
                    <w:rFonts w:ascii="宋体"/>
                    <w:b/>
                    <w:sz w:val="18"/>
                  </w:rPr>
                  <w:t> </w:t>
                </w:r>
                <w:r>
                  <w:rPr>
                    <w:rFonts w:ascii="宋体"/>
                    <w:sz w:val="18"/>
                  </w:rPr>
                  <w:t>/</w:t>
                </w:r>
                <w:r>
                  <w:rPr>
                    <w:rFonts w:ascii="宋体"/>
                    <w:spacing w:val="-2"/>
                    <w:sz w:val="18"/>
                  </w:rPr>
                  <w:t> </w:t>
                </w:r>
                <w:r>
                  <w:rPr>
                    <w:rFonts w:ascii="宋体"/>
                    <w:b/>
                    <w:sz w:val="18"/>
                  </w:rPr>
                  <w:t>220</w:t>
                </w:r>
                <w:r>
                  <w:rPr>
                    <w:rFonts w:ascii="宋体"/>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329987pt;margin-top:770.065613pt;width:43.85pt;height:11pt;mso-position-horizontal-relative:page;mso-position-vertical-relative:page;z-index:-103412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206</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329987pt;margin-top:770.065613pt;width:43.85pt;height:11pt;mso-position-horizontal-relative:page;mso-position-vertical-relative:page;z-index:-103410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212</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329987pt;margin-top:770.065613pt;width:43.85pt;height:11pt;mso-position-horizontal-relative:page;mso-position-vertical-relative:page;z-index:-103408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215</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9985pt;margin-top:770.065613pt;width:39.25pt;height:11pt;mso-position-horizontal-relative:page;mso-position-vertical-relative:page;z-index:-103626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31</w:t>
                </w:r>
                <w:r>
                  <w:rPr/>
                  <w:fldChar w:fldCharType="end"/>
                </w:r>
                <w:r>
                  <w:rPr>
                    <w:rFonts w:ascii="宋体"/>
                    <w:b/>
                    <w:sz w:val="18"/>
                  </w:rPr>
                  <w:t> </w:t>
                </w:r>
                <w:r>
                  <w:rPr>
                    <w:rFonts w:ascii="宋体"/>
                    <w:sz w:val="18"/>
                  </w:rPr>
                  <w:t>/</w:t>
                </w:r>
                <w:r>
                  <w:rPr>
                    <w:rFonts w:ascii="宋体"/>
                    <w:spacing w:val="-3"/>
                    <w:sz w:val="18"/>
                  </w:rPr>
                  <w:t> </w:t>
                </w:r>
                <w:r>
                  <w:rPr>
                    <w:rFonts w:ascii="宋体"/>
                    <w:b/>
                    <w:sz w:val="18"/>
                  </w:rPr>
                  <w:t>220</w:t>
                </w:r>
                <w:r>
                  <w:rPr>
                    <w:rFonts w:ascii="宋体"/>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8.730011pt;margin-top:523.44165pt;width:39.3pt;height:11pt;mso-position-horizontal-relative:page;mso-position-vertical-relative:page;z-index:-103616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b/>
                    <w:w w:val="99"/>
                    <w:sz w:val="18"/>
                  </w:rPr>
                </w:r>
                <w:r>
                  <w:rPr/>
                  <w:fldChar w:fldCharType="begin"/>
                </w:r>
                <w:r>
                  <w:rPr>
                    <w:rFonts w:ascii="宋体"/>
                    <w:b/>
                    <w:sz w:val="18"/>
                  </w:rPr>
                  <w:instrText> PAGE </w:instrText>
                </w:r>
                <w:r>
                  <w:rPr/>
                  <w:fldChar w:fldCharType="separate"/>
                </w:r>
                <w:r>
                  <w:rPr/>
                  <w:t>33</w:t>
                </w:r>
                <w:r>
                  <w:rPr/>
                  <w:fldChar w:fldCharType="end"/>
                </w:r>
                <w:r>
                  <w:rPr>
                    <w:rFonts w:ascii="宋体"/>
                    <w:b/>
                    <w:sz w:val="18"/>
                  </w:rPr>
                  <w:t> </w:t>
                </w:r>
                <w:r>
                  <w:rPr>
                    <w:rFonts w:ascii="宋体"/>
                    <w:sz w:val="18"/>
                  </w:rPr>
                  <w:t>/</w:t>
                </w:r>
                <w:r>
                  <w:rPr>
                    <w:rFonts w:ascii="宋体"/>
                    <w:spacing w:val="-2"/>
                    <w:sz w:val="18"/>
                  </w:rPr>
                  <w:t> </w:t>
                </w:r>
                <w:r>
                  <w:rPr>
                    <w:rFonts w:ascii="宋体"/>
                    <w:b/>
                    <w:sz w:val="18"/>
                  </w:rPr>
                  <w:t>220</w:t>
                </w:r>
                <w:r>
                  <w:rPr>
                    <w:rFonts w:ascii="宋体"/>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49998pt;margin-top:42.750984pt;width:69.361pt;height:19.559pt;mso-position-horizontal-relative:page;mso-position-vertical-relative:page;z-index:-1036600" type="#_x0000_t75" stroked="false">
          <v:imagedata r:id="rId1" o:title=""/>
        </v:shape>
      </w:pict>
    </w:r>
    <w:r>
      <w:rPr/>
      <w:pict>
        <v:group style="position:absolute;margin-left:88.463997pt;margin-top:66.239983pt;width:443.35pt;height:.1pt;mso-position-horizontal-relative:page;mso-position-vertical-relative:page;z-index:-1036576" coordorigin="1769,1325" coordsize="8867,2">
          <v:shape style="position:absolute;left:1769;top:1325;width:8867;height:2" coordorigin="1769,1325" coordsize="8867,0" path="m1769,1325l10636,1325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63.890015pt;margin-top:53.545609pt;width:67.4pt;height:11pt;mso-position-horizontal-relative:page;mso-position-vertical-relative:page;z-index:-10365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49998pt;margin-top:42.750984pt;width:69.361pt;height:19.559pt;mso-position-horizontal-relative:page;mso-position-vertical-relative:page;z-index:-1035760" type="#_x0000_t75" stroked="false">
          <v:imagedata r:id="rId1" o:title=""/>
        </v:shape>
      </w:pict>
    </w:r>
    <w:r>
      <w:rPr/>
      <w:pict>
        <v:group style="position:absolute;margin-left:88.463997pt;margin-top:66.239983pt;width:443.35pt;height:.1pt;mso-position-horizontal-relative:page;mso-position-vertical-relative:page;z-index:-1035736" coordorigin="1769,1325" coordsize="8867,2">
          <v:shape style="position:absolute;left:1769;top:1325;width:8867;height:2" coordorigin="1769,1325" coordsize="8867,0" path="m1769,1325l10636,1325e" filled="false" stroked="true" strokeweight=".72pt" strokecolor="#000000">
            <v:path arrowok="t"/>
          </v:shape>
          <w10:wrap type="none"/>
        </v:group>
      </w:pict>
    </w:r>
    <w:r>
      <w:rPr/>
      <w:pict>
        <v:shape style="position:absolute;margin-left:263.890015pt;margin-top:53.545609pt;width:67.4pt;height:11pt;mso-position-horizontal-relative:page;mso-position-vertical-relative:page;z-index:-10357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42.840008pt;width:69.361pt;height:19.52pt;mso-position-horizontal-relative:page;mso-position-vertical-relative:page;z-index:-1035664" type="#_x0000_t75" stroked="false">
          <v:imagedata r:id="rId1" o:title=""/>
        </v:shape>
      </w:pict>
    </w:r>
    <w:r>
      <w:rPr/>
      <w:pict>
        <v:group style="position:absolute;margin-left:70.559998pt;margin-top:66.380005pt;width:695.4pt;height:.1pt;mso-position-horizontal-relative:page;mso-position-vertical-relative:page;z-index:-1035640" coordorigin="1411,1328" coordsize="13908,2">
          <v:shape style="position:absolute;left:1411;top:1328;width:13908;height:2" coordorigin="1411,1328" coordsize="13908,0" path="m1411,1328l15319,1328e" filled="false" stroked="true" strokeweight=".72pt" strokecolor="#000000">
            <v:path arrowok="t"/>
          </v:shape>
          <w10:wrap type="none"/>
        </v:group>
      </w:pict>
    </w:r>
    <w:r>
      <w:rPr/>
      <w:pict>
        <v:shape style="position:absolute;margin-left:246.009995pt;margin-top:53.665634pt;width:67.4pt;height:11pt;mso-position-horizontal-relative:page;mso-position-vertical-relative:page;z-index:-10356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49998pt;margin-top:42.750984pt;width:69.361pt;height:19.559pt;mso-position-horizontal-relative:page;mso-position-vertical-relative:page;z-index:-1035568" type="#_x0000_t75" stroked="false">
          <v:imagedata r:id="rId1" o:title=""/>
        </v:shape>
      </w:pict>
    </w:r>
    <w:r>
      <w:rPr/>
      <w:pict>
        <v:group style="position:absolute;margin-left:88.463997pt;margin-top:66.239983pt;width:443.35pt;height:.1pt;mso-position-horizontal-relative:page;mso-position-vertical-relative:page;z-index:-1035544" coordorigin="1769,1325" coordsize="8867,2">
          <v:shape style="position:absolute;left:1769;top:1325;width:8867;height:2" coordorigin="1769,1325" coordsize="8867,0" path="m1769,1325l10636,1325e" filled="false" stroked="true" strokeweight=".72pt" strokecolor="#000000">
            <v:path arrowok="t"/>
          </v:shape>
          <w10:wrap type="none"/>
        </v:group>
      </w:pict>
    </w:r>
    <w:r>
      <w:rPr/>
      <w:pict>
        <v:shape style="position:absolute;margin-left:263.890015pt;margin-top:53.545609pt;width:67.4pt;height:11pt;mso-position-horizontal-relative:page;mso-position-vertical-relative:page;z-index:-10355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42.840008pt;width:69.361pt;height:19.52pt;mso-position-horizontal-relative:page;mso-position-vertical-relative:page;z-index:-1035472" type="#_x0000_t75" stroked="false">
          <v:imagedata r:id="rId1" o:title=""/>
        </v:shape>
      </w:pict>
    </w:r>
    <w:r>
      <w:rPr/>
      <w:pict>
        <v:group style="position:absolute;margin-left:70.559998pt;margin-top:66.380005pt;width:695.4pt;height:.1pt;mso-position-horizontal-relative:page;mso-position-vertical-relative:page;z-index:-1035448" coordorigin="1411,1328" coordsize="13908,2">
          <v:shape style="position:absolute;left:1411;top:1328;width:13908;height:2" coordorigin="1411,1328" coordsize="13908,0" path="m1411,1328l15319,1328e" filled="false" stroked="true" strokeweight=".72pt" strokecolor="#000000">
            <v:path arrowok="t"/>
          </v:shape>
          <w10:wrap type="none"/>
        </v:group>
      </w:pict>
    </w:r>
    <w:r>
      <w:rPr/>
      <w:pict>
        <v:shape style="position:absolute;margin-left:246.009995pt;margin-top:53.665634pt;width:67.4pt;height:11pt;mso-position-horizontal-relative:page;mso-position-vertical-relative:page;z-index:-10354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49998pt;margin-top:42.750984pt;width:69.361pt;height:19.559pt;mso-position-horizontal-relative:page;mso-position-vertical-relative:page;z-index:-1035376" type="#_x0000_t75" stroked="false">
          <v:imagedata r:id="rId1" o:title=""/>
        </v:shape>
      </w:pict>
    </w:r>
    <w:r>
      <w:rPr/>
      <w:pict>
        <v:group style="position:absolute;margin-left:88.463997pt;margin-top:66.239983pt;width:443.35pt;height:.1pt;mso-position-horizontal-relative:page;mso-position-vertical-relative:page;z-index:-1035352" coordorigin="1769,1325" coordsize="8867,2">
          <v:shape style="position:absolute;left:1769;top:1325;width:8867;height:2" coordorigin="1769,1325" coordsize="8867,0" path="m1769,1325l10636,1325e" filled="false" stroked="true" strokeweight=".72pt" strokecolor="#000000">
            <v:path arrowok="t"/>
          </v:shape>
          <w10:wrap type="none"/>
        </v:group>
      </w:pict>
    </w:r>
    <w:r>
      <w:rPr/>
      <w:pict>
        <v:shape style="position:absolute;margin-left:263.890015pt;margin-top:53.545609pt;width:67.4pt;height:11pt;mso-position-horizontal-relative:page;mso-position-vertical-relative:page;z-index:-10353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42.840008pt;width:69.361pt;height:19.52pt;mso-position-horizontal-relative:page;mso-position-vertical-relative:page;z-index:-1035280" type="#_x0000_t75" stroked="false">
          <v:imagedata r:id="rId1" o:title=""/>
        </v:shape>
      </w:pict>
    </w:r>
    <w:r>
      <w:rPr/>
      <w:pict>
        <v:group style="position:absolute;margin-left:70.559998pt;margin-top:66.380005pt;width:695.4pt;height:.1pt;mso-position-horizontal-relative:page;mso-position-vertical-relative:page;z-index:-1035256" coordorigin="1411,1328" coordsize="13908,2">
          <v:shape style="position:absolute;left:1411;top:1328;width:13908;height:2" coordorigin="1411,1328" coordsize="13908,0" path="m1411,1328l15319,1328e" filled="false" stroked="true" strokeweight=".72pt" strokecolor="#000000">
            <v:path arrowok="t"/>
          </v:shape>
          <w10:wrap type="none"/>
        </v:group>
      </w:pict>
    </w:r>
    <w:r>
      <w:rPr/>
      <w:pict>
        <v:shape style="position:absolute;margin-left:246.009995pt;margin-top:53.665634pt;width:67.4pt;height:11pt;mso-position-horizontal-relative:page;mso-position-vertical-relative:page;z-index:-10352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49998pt;margin-top:42.750984pt;width:69.361pt;height:19.559pt;mso-position-horizontal-relative:page;mso-position-vertical-relative:page;z-index:-1035184" type="#_x0000_t75" stroked="false">
          <v:imagedata r:id="rId1" o:title=""/>
        </v:shape>
      </w:pict>
    </w:r>
    <w:r>
      <w:rPr/>
      <w:pict>
        <v:group style="position:absolute;margin-left:88.463997pt;margin-top:66.239983pt;width:443.35pt;height:.1pt;mso-position-horizontal-relative:page;mso-position-vertical-relative:page;z-index:-1035160" coordorigin="1769,1325" coordsize="8867,2">
          <v:shape style="position:absolute;left:1769;top:1325;width:8867;height:2" coordorigin="1769,1325" coordsize="8867,0" path="m1769,1325l10636,1325e" filled="false" stroked="true" strokeweight=".72pt" strokecolor="#000000">
            <v:path arrowok="t"/>
          </v:shape>
          <w10:wrap type="none"/>
        </v:group>
      </w:pict>
    </w:r>
    <w:r>
      <w:rPr/>
      <w:pict>
        <v:shape style="position:absolute;margin-left:263.890015pt;margin-top:53.42561pt;width:67.4pt;height:11pt;mso-position-horizontal-relative:page;mso-position-vertical-relative:page;z-index:-10351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25pt;margin-top:42.840008pt;width:69.361pt;height:19.52pt;mso-position-horizontal-relative:page;mso-position-vertical-relative:page;z-index:-1034992" type="#_x0000_t75" stroked="false">
          <v:imagedata r:id="rId1" o:title=""/>
        </v:shape>
      </w:pict>
    </w:r>
    <w:r>
      <w:rPr/>
      <w:pict>
        <v:shape style="position:absolute;margin-left:250.210007pt;margin-top:53.665634pt;width:67.4pt;height:11pt;mso-position-horizontal-relative:page;mso-position-vertical-relative:page;z-index:-10349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3.799999pt;margin-top:42.839981pt;width:69.361pt;height:19.52pt;mso-position-horizontal-relative:page;mso-position-vertical-relative:page;z-index:-1034920" type="#_x0000_t75" stroked="false">
          <v:imagedata r:id="rId1" o:title=""/>
        </v:shape>
      </w:pict>
    </w:r>
    <w:r>
      <w:rPr/>
      <w:pict>
        <v:group style="position:absolute;margin-left:62.400002pt;margin-top:66.359985pt;width:443.4pt;height:.1pt;mso-position-horizontal-relative:page;mso-position-vertical-relative:page;z-index:-1034896" coordorigin="1248,1327" coordsize="8868,2">
          <v:shape style="position:absolute;left:1248;top:1327;width:8868;height:2" coordorigin="1248,1327" coordsize="8868,0" path="m1248,1327l10116,1327e" filled="false" stroked="true" strokeweight=".72pt" strokecolor="#000000">
            <v:path arrowok="t"/>
          </v:shape>
          <w10:wrap type="none"/>
        </v:group>
      </w:pict>
    </w:r>
    <w:r>
      <w:rPr/>
      <w:pict>
        <v:shape style="position:absolute;margin-left:237.850006pt;margin-top:53.665607pt;width:67.4pt;height:11pt;mso-position-horizontal-relative:page;mso-position-vertical-relative:page;z-index:-10348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42.840008pt;width:69.361pt;height:19.52pt;mso-position-horizontal-relative:page;mso-position-vertical-relative:page;z-index:-1036432" type="#_x0000_t75" stroked="false">
          <v:imagedata r:id="rId1" o:title=""/>
        </v:shape>
      </w:pict>
    </w:r>
    <w:r>
      <w:rPr/>
      <w:pict>
        <v:group style="position:absolute;margin-left:70.559998pt;margin-top:66.380005pt;width:695.4pt;height:.1pt;mso-position-horizontal-relative:page;mso-position-vertical-relative:page;z-index:-1036408" coordorigin="1411,1328" coordsize="13908,2">
          <v:shape style="position:absolute;left:1411;top:1328;width:13908;height:2" coordorigin="1411,1328" coordsize="13908,0" path="m1411,1328l15319,1328e" filled="false" stroked="true" strokeweight=".72pt" strokecolor="#000000">
            <v:path arrowok="t"/>
          </v:shape>
          <w10:wrap type="none"/>
        </v:group>
      </w:pict>
    </w:r>
    <w:r>
      <w:rPr/>
      <w:pict>
        <v:shape style="position:absolute;margin-left:246.009995pt;margin-top:53.665634pt;width:67.4pt;height:11pt;mso-position-horizontal-relative:page;mso-position-vertical-relative:page;z-index:-10363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25pt;margin-top:42.840008pt;width:69.361pt;height:19.52pt;mso-position-horizontal-relative:page;mso-position-vertical-relative:page;z-index:-1034704" type="#_x0000_t75" stroked="false">
          <v:imagedata r:id="rId1" o:title=""/>
        </v:shape>
      </w:pict>
    </w:r>
    <w:r>
      <w:rPr/>
      <w:pict>
        <v:shape style="position:absolute;margin-left:250.210007pt;margin-top:53.665634pt;width:67.4pt;height:11pt;mso-position-horizontal-relative:page;mso-position-vertical-relative:page;z-index:-10346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25pt;margin-top:42.840008pt;width:69.361pt;height:19.52pt;mso-position-horizontal-relative:page;mso-position-vertical-relative:page;z-index:-1034632" type="#_x0000_t75" stroked="false">
          <v:imagedata r:id="rId1" o:title=""/>
        </v:shape>
      </w:pict>
    </w:r>
    <w:r>
      <w:rPr/>
      <w:pict>
        <v:shape style="position:absolute;margin-left:250.210007pt;margin-top:53.665634pt;width:67.4pt;height:11pt;mso-position-horizontal-relative:page;mso-position-vertical-relative:page;z-index:-10346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3.799999pt;margin-top:42.839981pt;width:69.361pt;height:19.52pt;mso-position-horizontal-relative:page;mso-position-vertical-relative:page;z-index:-1034560" type="#_x0000_t75" stroked="false">
          <v:imagedata r:id="rId1" o:title=""/>
        </v:shape>
      </w:pict>
    </w:r>
    <w:r>
      <w:rPr/>
      <w:pict>
        <v:group style="position:absolute;margin-left:62.400002pt;margin-top:66.359985pt;width:443.4pt;height:.1pt;mso-position-horizontal-relative:page;mso-position-vertical-relative:page;z-index:-1034536" coordorigin="1248,1327" coordsize="8868,2">
          <v:shape style="position:absolute;left:1248;top:1327;width:8868;height:2" coordorigin="1248,1327" coordsize="8868,0" path="m1248,1327l10116,1327e" filled="false" stroked="true" strokeweight=".72pt" strokecolor="#000000">
            <v:path arrowok="t"/>
          </v:shape>
          <w10:wrap type="none"/>
        </v:group>
      </w:pict>
    </w:r>
    <w:r>
      <w:rPr/>
      <w:pict>
        <v:shape style="position:absolute;margin-left:237.850006pt;margin-top:53.665607pt;width:67.4pt;height:11pt;mso-position-horizontal-relative:page;mso-position-vertical-relative:page;z-index:-10345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42.840008pt;width:69.361pt;height:19.52pt;mso-position-horizontal-relative:page;mso-position-vertical-relative:page;z-index:-1034392" type="#_x0000_t75" stroked="false">
          <v:imagedata r:id="rId1" o:title=""/>
        </v:shape>
      </w:pict>
    </w:r>
    <w:r>
      <w:rPr/>
      <w:pict>
        <v:group style="position:absolute;margin-left:70.559998pt;margin-top:66.380005pt;width:695.4pt;height:.1pt;mso-position-horizontal-relative:page;mso-position-vertical-relative:page;z-index:-1034368" coordorigin="1411,1328" coordsize="13908,2">
          <v:shape style="position:absolute;left:1411;top:1328;width:13908;height:2" coordorigin="1411,1328" coordsize="13908,0" path="m1411,1328l15319,1328e" filled="false" stroked="true" strokeweight=".72pt" strokecolor="#000000">
            <v:path arrowok="t"/>
          </v:shape>
          <w10:wrap type="none"/>
        </v:group>
      </w:pict>
    </w:r>
    <w:r>
      <w:rPr/>
      <w:pict>
        <v:shape style="position:absolute;margin-left:246.009995pt;margin-top:53.665634pt;width:67.4pt;height:11pt;mso-position-horizontal-relative:page;mso-position-vertical-relative:page;z-index:-10343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49998pt;margin-top:42.750984pt;width:69.361pt;height:19.559pt;mso-position-horizontal-relative:page;mso-position-vertical-relative:page;z-index:-1036336" type="#_x0000_t75" stroked="false">
          <v:imagedata r:id="rId1" o:title=""/>
        </v:shape>
      </w:pict>
    </w:r>
    <w:r>
      <w:rPr/>
      <w:pict>
        <v:group style="position:absolute;margin-left:88.463997pt;margin-top:66.239983pt;width:443.35pt;height:.1pt;mso-position-horizontal-relative:page;mso-position-vertical-relative:page;z-index:-1036312" coordorigin="1769,1325" coordsize="8867,2">
          <v:shape style="position:absolute;left:1769;top:1325;width:8867;height:2" coordorigin="1769,1325" coordsize="8867,0" path="m1769,1325l10636,1325e" filled="false" stroked="true" strokeweight=".72pt" strokecolor="#000000">
            <v:path arrowok="t"/>
          </v:shape>
          <w10:wrap type="none"/>
        </v:group>
      </w:pict>
    </w:r>
    <w:r>
      <w:rPr/>
      <w:pict>
        <v:shape style="position:absolute;margin-left:263.890015pt;margin-top:53.545609pt;width:67.4pt;height:11pt;mso-position-horizontal-relative:page;mso-position-vertical-relative:page;z-index:-10362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49998pt;margin-top:42.839981pt;width:69.361pt;height:19.52pt;mso-position-horizontal-relative:page;mso-position-vertical-relative:page;z-index:-1034272" type="#_x0000_t75" stroked="false">
          <v:imagedata r:id="rId1" o:title=""/>
        </v:shape>
      </w:pict>
    </w:r>
    <w:r>
      <w:rPr/>
      <w:pict>
        <v:group style="position:absolute;margin-left:88.463997pt;margin-top:66.359985pt;width:443.35pt;height:.1pt;mso-position-horizontal-relative:page;mso-position-vertical-relative:page;z-index:-1034248" coordorigin="1769,1327" coordsize="8867,2">
          <v:shape style="position:absolute;left:1769;top:1327;width:8867;height:2" coordorigin="1769,1327" coordsize="8867,0" path="m1769,1327l10636,1327e" filled="false" stroked="true" strokeweight=".72pt" strokecolor="#000000">
            <v:path arrowok="t"/>
          </v:shape>
          <w10:wrap type="none"/>
        </v:group>
      </w:pict>
    </w:r>
    <w:r>
      <w:rPr/>
      <w:pict>
        <v:shape style="position:absolute;margin-left:263.890015pt;margin-top:53.665607pt;width:67.4pt;height:11pt;mso-position-horizontal-relative:page;mso-position-vertical-relative:page;z-index:-10342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42.840008pt;width:69.361pt;height:19.52pt;mso-position-horizontal-relative:page;mso-position-vertical-relative:page;z-index:-1036240" type="#_x0000_t75" stroked="false">
          <v:imagedata r:id="rId1" o:title=""/>
        </v:shape>
      </w:pict>
    </w:r>
    <w:r>
      <w:rPr/>
      <w:pict>
        <v:group style="position:absolute;margin-left:70.559998pt;margin-top:66.380005pt;width:695.4pt;height:.1pt;mso-position-horizontal-relative:page;mso-position-vertical-relative:page;z-index:-1036216" coordorigin="1411,1328" coordsize="13908,2">
          <v:shape style="position:absolute;left:1411;top:1328;width:13908;height:2" coordorigin="1411,1328" coordsize="13908,0" path="m1411,1328l15319,1328e" filled="false" stroked="true" strokeweight=".72pt" strokecolor="#000000">
            <v:path arrowok="t"/>
          </v:shape>
          <w10:wrap type="none"/>
        </v:group>
      </w:pict>
    </w:r>
    <w:r>
      <w:rPr/>
      <w:pict>
        <v:shape style="position:absolute;margin-left:246.009995pt;margin-top:53.665634pt;width:67.4pt;height:11pt;mso-position-horizontal-relative:page;mso-position-vertical-relative:page;z-index:-10361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49998pt;margin-top:42.839981pt;width:69.361pt;height:19.52pt;mso-position-horizontal-relative:page;mso-position-vertical-relative:page;z-index:-1036144" type="#_x0000_t75" stroked="false">
          <v:imagedata r:id="rId1" o:title=""/>
        </v:shape>
      </w:pict>
    </w:r>
    <w:r>
      <w:rPr/>
      <w:pict>
        <v:group style="position:absolute;margin-left:88.463997pt;margin-top:66.359985pt;width:443.35pt;height:.1pt;mso-position-horizontal-relative:page;mso-position-vertical-relative:page;z-index:-1036120" coordorigin="1769,1327" coordsize="8867,2">
          <v:shape style="position:absolute;left:1769;top:1327;width:8867;height:2" coordorigin="1769,1327" coordsize="8867,0" path="m1769,1327l10636,1327e" filled="false" stroked="true" strokeweight=".72pt" strokecolor="#000000">
            <v:path arrowok="t"/>
          </v:shape>
          <w10:wrap type="none"/>
        </v:group>
      </w:pict>
    </w:r>
    <w:r>
      <w:rPr/>
      <w:pict>
        <v:shape style="position:absolute;margin-left:263.890015pt;margin-top:53.665607pt;width:67.4pt;height:11pt;mso-position-horizontal-relative:page;mso-position-vertical-relative:page;z-index:-10360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42.840008pt;width:69.361pt;height:19.52pt;mso-position-horizontal-relative:page;mso-position-vertical-relative:page;z-index:-1036048" type="#_x0000_t75" stroked="false">
          <v:imagedata r:id="rId1" o:title=""/>
        </v:shape>
      </w:pict>
    </w:r>
    <w:r>
      <w:rPr/>
      <w:pict>
        <v:group style="position:absolute;margin-left:70.559998pt;margin-top:66.380005pt;width:695.4pt;height:.1pt;mso-position-horizontal-relative:page;mso-position-vertical-relative:page;z-index:-1036024" coordorigin="1411,1328" coordsize="13908,2">
          <v:shape style="position:absolute;left:1411;top:1328;width:13908;height:2" coordorigin="1411,1328" coordsize="13908,0" path="m1411,1328l15319,1328e" filled="false" stroked="true" strokeweight=".72pt" strokecolor="#000000">
            <v:path arrowok="t"/>
          </v:shape>
          <w10:wrap type="none"/>
        </v:group>
      </w:pict>
    </w:r>
    <w:r>
      <w:rPr/>
      <w:pict>
        <v:shape style="position:absolute;margin-left:246.009995pt;margin-top:53.665634pt;width:67.4pt;height:11pt;mso-position-horizontal-relative:page;mso-position-vertical-relative:page;z-index:-10360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49998pt;margin-top:42.750984pt;width:69.361pt;height:19.559pt;mso-position-horizontal-relative:page;mso-position-vertical-relative:page;z-index:-1035952" type="#_x0000_t75" stroked="false">
          <v:imagedata r:id="rId1" o:title=""/>
        </v:shape>
      </w:pict>
    </w:r>
    <w:r>
      <w:rPr/>
      <w:pict>
        <v:group style="position:absolute;margin-left:88.463997pt;margin-top:66.239983pt;width:443.35pt;height:.1pt;mso-position-horizontal-relative:page;mso-position-vertical-relative:page;z-index:-1035928" coordorigin="1769,1325" coordsize="8867,2">
          <v:shape style="position:absolute;left:1769;top:1325;width:8867;height:2" coordorigin="1769,1325" coordsize="8867,0" path="m1769,1325l10636,1325e" filled="false" stroked="true" strokeweight=".72pt" strokecolor="#000000">
            <v:path arrowok="t"/>
          </v:shape>
          <w10:wrap type="none"/>
        </v:group>
      </w:pict>
    </w:r>
    <w:r>
      <w:rPr/>
      <w:pict>
        <v:shape style="position:absolute;margin-left:263.890015pt;margin-top:53.545609pt;width:67.4pt;height:11pt;mso-position-horizontal-relative:page;mso-position-vertical-relative:page;z-index:-10359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42.751007pt;width:69.361pt;height:19.559pt;mso-position-horizontal-relative:page;mso-position-vertical-relative:page;z-index:-1035856" type="#_x0000_t75" stroked="false">
          <v:imagedata r:id="rId1" o:title=""/>
        </v:shape>
      </w:pict>
    </w:r>
    <w:r>
      <w:rPr/>
      <w:pict>
        <v:group style="position:absolute;margin-left:70.559998pt;margin-top:66.260010pt;width:695.4pt;height:.1pt;mso-position-horizontal-relative:page;mso-position-vertical-relative:page;z-index:-1035832" coordorigin="1411,1325" coordsize="13908,2">
          <v:shape style="position:absolute;left:1411;top:1325;width:13908;height:2" coordorigin="1411,1325" coordsize="13908,0" path="m1411,1325l15319,1325e" filled="false" stroked="true" strokeweight=".72pt" strokecolor="#000000">
            <v:path arrowok="t"/>
          </v:shape>
          <w10:wrap type="none"/>
        </v:group>
      </w:pict>
    </w:r>
    <w:r>
      <w:rPr/>
      <w:pict>
        <v:shape style="position:absolute;margin-left:246.009995pt;margin-top:53.545631pt;width:67.4pt;height:11pt;mso-position-horizontal-relative:page;mso-position-vertical-relative:page;z-index:-10358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54"/>
      <w:ind w:left="138"/>
    </w:pPr>
    <w:rPr>
      <w:rFonts w:ascii="宋体" w:hAnsi="宋体" w:eastAsia="宋体"/>
      <w:b/>
      <w:bCs/>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ind w:left="218"/>
      <w:outlineLvl w:val="2"/>
    </w:pPr>
    <w:rPr>
      <w:rFonts w:ascii="宋体" w:hAnsi="宋体" w:eastAsia="宋体"/>
      <w:b/>
      <w:bCs/>
      <w:sz w:val="24"/>
      <w:szCs w:val="24"/>
    </w:rPr>
  </w:style>
  <w:style w:styleId="Heading3" w:type="paragraph">
    <w:name w:val="Heading 3"/>
    <w:basedOn w:val="Normal"/>
    <w:uiPriority w:val="1"/>
    <w:qFormat/>
    <w:pPr>
      <w:ind w:left="218"/>
      <w:outlineLvl w:val="3"/>
    </w:pPr>
    <w:rPr>
      <w:rFonts w:ascii="宋体" w:hAnsi="宋体" w:eastAsia="宋体"/>
      <w:sz w:val="24"/>
      <w:szCs w:val="24"/>
    </w:rPr>
  </w:style>
  <w:style w:styleId="Heading4" w:type="paragraph">
    <w:name w:val="Heading 4"/>
    <w:basedOn w:val="Normal"/>
    <w:uiPriority w:val="1"/>
    <w:qFormat/>
    <w:pPr>
      <w:spacing w:before="18"/>
      <w:ind w:left="557"/>
      <w:outlineLvl w:val="4"/>
    </w:pPr>
    <w:rPr>
      <w:rFonts w:ascii="宋体" w:hAnsi="宋体" w:eastAsia="宋体"/>
      <w:i/>
      <w:sz w:val="22"/>
      <w:szCs w:val="22"/>
    </w:rPr>
  </w:style>
  <w:style w:styleId="Heading5" w:type="paragraph">
    <w:name w:val="Heading 5"/>
    <w:basedOn w:val="Normal"/>
    <w:uiPriority w:val="1"/>
    <w:qFormat/>
    <w:pPr>
      <w:ind w:left="218"/>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mailto:q-zhengquan@360.cn" TargetMode="External"/><Relationship Id="rId9" Type="http://schemas.openxmlformats.org/officeDocument/2006/relationships/hyperlink" Target="http://www.360.cn/"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yperlink" Target="http://www.youxi.com/" TargetMode="External"/><Relationship Id="rId15" Type="http://schemas.openxmlformats.org/officeDocument/2006/relationships/header" Target="header2.xml"/><Relationship Id="rId16" Type="http://schemas.openxmlformats.org/officeDocument/2006/relationships/footer" Target="footer5.xml"/><Relationship Id="rId17" Type="http://schemas.openxmlformats.org/officeDocument/2006/relationships/header" Target="header3.xml"/><Relationship Id="rId18" Type="http://schemas.openxmlformats.org/officeDocument/2006/relationships/footer" Target="footer6.xml"/><Relationship Id="rId19" Type="http://schemas.openxmlformats.org/officeDocument/2006/relationships/header" Target="header4.xml"/><Relationship Id="rId20" Type="http://schemas.openxmlformats.org/officeDocument/2006/relationships/footer" Target="footer7.xml"/><Relationship Id="rId21" Type="http://schemas.openxmlformats.org/officeDocument/2006/relationships/image" Target="media/image1.png"/><Relationship Id="rId22" Type="http://schemas.openxmlformats.org/officeDocument/2006/relationships/footer" Target="footer8.xml"/><Relationship Id="rId23" Type="http://schemas.openxmlformats.org/officeDocument/2006/relationships/header" Target="header5.xml"/><Relationship Id="rId24" Type="http://schemas.openxmlformats.org/officeDocument/2006/relationships/footer" Target="footer9.xml"/><Relationship Id="rId25" Type="http://schemas.openxmlformats.org/officeDocument/2006/relationships/header" Target="header6.xml"/><Relationship Id="rId26" Type="http://schemas.openxmlformats.org/officeDocument/2006/relationships/footer" Target="footer10.xml"/><Relationship Id="rId27" Type="http://schemas.openxmlformats.org/officeDocument/2006/relationships/header" Target="header7.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footer" Target="footer12.xml"/><Relationship Id="rId31" Type="http://schemas.openxmlformats.org/officeDocument/2006/relationships/header" Target="header9.xml"/><Relationship Id="rId32" Type="http://schemas.openxmlformats.org/officeDocument/2006/relationships/footer" Target="footer13.xml"/><Relationship Id="rId33" Type="http://schemas.openxmlformats.org/officeDocument/2006/relationships/header" Target="header10.xml"/><Relationship Id="rId34" Type="http://schemas.openxmlformats.org/officeDocument/2006/relationships/footer" Target="footer14.xml"/><Relationship Id="rId35" Type="http://schemas.openxmlformats.org/officeDocument/2006/relationships/header" Target="header11.xml"/><Relationship Id="rId36" Type="http://schemas.openxmlformats.org/officeDocument/2006/relationships/footer" Target="footer15.xml"/><Relationship Id="rId37" Type="http://schemas.openxmlformats.org/officeDocument/2006/relationships/header" Target="header12.xml"/><Relationship Id="rId38" Type="http://schemas.openxmlformats.org/officeDocument/2006/relationships/footer" Target="footer16.xml"/><Relationship Id="rId39" Type="http://schemas.openxmlformats.org/officeDocument/2006/relationships/header" Target="header13.xml"/><Relationship Id="rId40" Type="http://schemas.openxmlformats.org/officeDocument/2006/relationships/footer" Target="footer17.xml"/><Relationship Id="rId41" Type="http://schemas.openxmlformats.org/officeDocument/2006/relationships/header" Target="header14.xml"/><Relationship Id="rId42" Type="http://schemas.openxmlformats.org/officeDocument/2006/relationships/footer" Target="footer18.xml"/><Relationship Id="rId43" Type="http://schemas.openxmlformats.org/officeDocument/2006/relationships/image" Target="media/image3.png"/><Relationship Id="rId44" Type="http://schemas.openxmlformats.org/officeDocument/2006/relationships/image" Target="media/image4.png"/><Relationship Id="rId45" Type="http://schemas.openxmlformats.org/officeDocument/2006/relationships/header" Target="header15.xml"/><Relationship Id="rId46" Type="http://schemas.openxmlformats.org/officeDocument/2006/relationships/footer" Target="footer19.xml"/><Relationship Id="rId47" Type="http://schemas.openxmlformats.org/officeDocument/2006/relationships/header" Target="header16.xml"/><Relationship Id="rId48" Type="http://schemas.openxmlformats.org/officeDocument/2006/relationships/footer" Target="footer20.xml"/><Relationship Id="rId49" Type="http://schemas.openxmlformats.org/officeDocument/2006/relationships/footer" Target="footer21.xml"/><Relationship Id="rId50" Type="http://schemas.openxmlformats.org/officeDocument/2006/relationships/footer" Target="footer22.xml"/><Relationship Id="rId51" Type="http://schemas.openxmlformats.org/officeDocument/2006/relationships/footer" Target="footer23.xml"/><Relationship Id="rId52" Type="http://schemas.openxmlformats.org/officeDocument/2006/relationships/footer" Target="footer24.xml"/><Relationship Id="rId53" Type="http://schemas.openxmlformats.org/officeDocument/2006/relationships/header" Target="header17.xml"/><Relationship Id="rId54" Type="http://schemas.openxmlformats.org/officeDocument/2006/relationships/footer" Target="footer25.xml"/><Relationship Id="rId55" Type="http://schemas.openxmlformats.org/officeDocument/2006/relationships/header" Target="header18.xml"/><Relationship Id="rId56" Type="http://schemas.openxmlformats.org/officeDocument/2006/relationships/footer" Target="footer26.xml"/><Relationship Id="rId57" Type="http://schemas.openxmlformats.org/officeDocument/2006/relationships/footer" Target="footer27.xml"/><Relationship Id="rId58" Type="http://schemas.openxmlformats.org/officeDocument/2006/relationships/footer" Target="footer28.xml"/><Relationship Id="rId59" Type="http://schemas.openxmlformats.org/officeDocument/2006/relationships/footer" Target="footer29.xml"/><Relationship Id="rId60" Type="http://schemas.openxmlformats.org/officeDocument/2006/relationships/header" Target="header19.xml"/><Relationship Id="rId61" Type="http://schemas.openxmlformats.org/officeDocument/2006/relationships/footer" Target="footer30.xml"/><Relationship Id="rId62" Type="http://schemas.openxmlformats.org/officeDocument/2006/relationships/footer" Target="footer31.xml"/><Relationship Id="rId63" Type="http://schemas.openxmlformats.org/officeDocument/2006/relationships/header" Target="header20.xml"/><Relationship Id="rId64" Type="http://schemas.openxmlformats.org/officeDocument/2006/relationships/footer" Target="footer32.xml"/><Relationship Id="rId65" Type="http://schemas.openxmlformats.org/officeDocument/2006/relationships/footer" Target="footer33.xml"/><Relationship Id="rId66" Type="http://schemas.openxmlformats.org/officeDocument/2006/relationships/header" Target="header21.xml"/><Relationship Id="rId67" Type="http://schemas.openxmlformats.org/officeDocument/2006/relationships/footer" Target="footer34.xml"/><Relationship Id="rId68" Type="http://schemas.openxmlformats.org/officeDocument/2006/relationships/header" Target="header22.xml"/><Relationship Id="rId69" Type="http://schemas.openxmlformats.org/officeDocument/2006/relationships/footer" Target="footer35.xml"/><Relationship Id="rId70" Type="http://schemas.openxmlformats.org/officeDocument/2006/relationships/header" Target="header23.xml"/><Relationship Id="rId71" Type="http://schemas.openxmlformats.org/officeDocument/2006/relationships/footer" Target="footer36.xml"/><Relationship Id="rId72" Type="http://schemas.openxmlformats.org/officeDocument/2006/relationships/header" Target="header24.xml"/><Relationship Id="rId73" Type="http://schemas.openxmlformats.org/officeDocument/2006/relationships/footer" Target="footer37.xml"/><Relationship Id="rId74" Type="http://schemas.openxmlformats.org/officeDocument/2006/relationships/header" Target="header25.xml"/><Relationship Id="rId75" Type="http://schemas.openxmlformats.org/officeDocument/2006/relationships/footer" Target="footer38.xml"/><Relationship Id="rId76" Type="http://schemas.openxmlformats.org/officeDocument/2006/relationships/footer" Target="footer39.xml"/><Relationship Id="rId77" Type="http://schemas.openxmlformats.org/officeDocument/2006/relationships/header" Target="header26.xml"/><Relationship Id="rId78" Type="http://schemas.openxmlformats.org/officeDocument/2006/relationships/footer" Target="footer40.xml"/><Relationship Id="rId79" Type="http://schemas.openxmlformats.org/officeDocument/2006/relationships/footer" Target="footer41.xml"/><Relationship Id="rId80" Type="http://schemas.openxmlformats.org/officeDocument/2006/relationships/header" Target="header27.xml"/><Relationship Id="rId81" Type="http://schemas.openxmlformats.org/officeDocument/2006/relationships/footer" Target="footer42.xml"/><Relationship Id="rId82" Type="http://schemas.openxmlformats.org/officeDocument/2006/relationships/footer" Target="footer43.xml"/><Relationship Id="rId83" Type="http://schemas.openxmlformats.org/officeDocument/2006/relationships/header" Target="header28.xml"/><Relationship Id="rId84" Type="http://schemas.openxmlformats.org/officeDocument/2006/relationships/footer" Target="footer44.xml"/><Relationship Id="rId85" Type="http://schemas.openxmlformats.org/officeDocument/2006/relationships/header" Target="header29.xml"/><Relationship Id="rId86" Type="http://schemas.openxmlformats.org/officeDocument/2006/relationships/footer" Target="footer45.xml"/><Relationship Id="rId87" Type="http://schemas.openxmlformats.org/officeDocument/2006/relationships/footer" Target="footer46.xml"/><Relationship Id="rId88" Type="http://schemas.openxmlformats.org/officeDocument/2006/relationships/header" Target="header30.xml"/><Relationship Id="rId89" Type="http://schemas.openxmlformats.org/officeDocument/2006/relationships/footer" Target="footer47.xml"/><Relationship Id="rId90" Type="http://schemas.openxmlformats.org/officeDocument/2006/relationships/footer" Target="footer48.xml"/><Relationship Id="rId91" Type="http://schemas.openxmlformats.org/officeDocument/2006/relationships/footer" Target="footer49.xml"/><Relationship Id="rId92" Type="http://schemas.openxmlformats.org/officeDocument/2006/relationships/footer" Target="footer50.xml"/><Relationship Id="rId93" Type="http://schemas.openxmlformats.org/officeDocument/2006/relationships/header" Target="header31.xml"/><Relationship Id="rId94" Type="http://schemas.openxmlformats.org/officeDocument/2006/relationships/footer" Target="footer51.xml"/><Relationship Id="rId95" Type="http://schemas.openxmlformats.org/officeDocument/2006/relationships/footer" Target="footer52.xml"/><Relationship Id="rId96" Type="http://schemas.openxmlformats.org/officeDocument/2006/relationships/header" Target="header32.xml"/><Relationship Id="rId97" Type="http://schemas.openxmlformats.org/officeDocument/2006/relationships/footer" Target="footer53.xml"/><Relationship Id="rId98" Type="http://schemas.openxmlformats.org/officeDocument/2006/relationships/footer" Target="footer5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9.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30.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2020-05-04T23:48:50Z</dcterms:created>
  <dcterms:modified xsi:type="dcterms:W3CDTF">2020-05-04T23:48:50Z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2019-04-15T00:00:00Z</vt:filetime>
  </property>
  <property fmtid="{D5CDD505-2E9C-101B-9397-08002B2CF9AE}" pid="3" name="Creator">
    <vt:lpwstr>Microsoft® Office Word 2007</vt:lpwstr>
  </property>
  <property fmtid="{D5CDD505-2E9C-101B-9397-08002B2CF9AE}" pid="4" name="LastSaved">
    <vt:filetime>2020-05-04T00:00:00Z</vt:filetime>
  </property>
</Properties>
</file>