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0"/>
        <w:jc w:val="left"/>
      </w:pPr>
      <w:r>
        <w:rPr>
          <w:spacing w:val="-1"/>
        </w:rPr>
        <w:t>公司代码：</w:t>
      </w:r>
      <w:r>
        <w:rPr>
          <w:rFonts w:ascii="Times New Roman" w:hAnsi="Times New Roman" w:cs="Times New Roman" w:eastAsia="Times New Roman" w:hint="default"/>
          <w:spacing w:val="-1"/>
        </w:rPr>
        <w:t>601789</w:t>
        <w:tab/>
      </w:r>
      <w:r>
        <w:rPr>
          <w:spacing w:val="-2"/>
        </w:rPr>
        <w:t>公司简称：宁波建工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宁波建工股份有限公司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3"/>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3"/>
        <w:spacing w:line="240" w:lineRule="auto" w:before="0"/>
        <w:ind w:left="138" w:right="0"/>
        <w:jc w:val="left"/>
        <w:rPr>
          <w:b w:val="0"/>
          <w:bCs w:val="0"/>
        </w:rPr>
      </w:pPr>
      <w:r>
        <w:rPr/>
        <w:t>三、</w:t>
      </w:r>
      <w:r>
        <w:rPr>
          <w:spacing w:val="-14"/>
        </w:rPr>
        <w:t> </w:t>
      </w:r>
      <w:r>
        <w:rPr/>
        <w:t>大信会计师事务所（特殊普通合伙）为本公司出具了标准无保留意见的审计报告。</w:t>
      </w:r>
      <w:r>
        <w:rPr>
          <w:b w:val="0"/>
          <w:bCs w:val="0"/>
        </w:rPr>
      </w:r>
    </w:p>
    <w:p>
      <w:pPr>
        <w:spacing w:line="240" w:lineRule="auto" w:before="7"/>
        <w:rPr>
          <w:rFonts w:ascii="宋体" w:hAnsi="宋体" w:cs="宋体" w:eastAsia="宋体" w:hint="default"/>
          <w:b/>
          <w:bCs/>
          <w:sz w:val="28"/>
          <w:szCs w:val="28"/>
        </w:rPr>
      </w:pPr>
    </w:p>
    <w:p>
      <w:pPr>
        <w:pStyle w:val="Heading3"/>
        <w:spacing w:line="357" w:lineRule="auto" w:before="0"/>
        <w:ind w:left="505" w:right="0" w:hanging="368"/>
        <w:jc w:val="left"/>
        <w:rPr>
          <w:b w:val="0"/>
          <w:bCs w:val="0"/>
        </w:rPr>
      </w:pPr>
      <w:r>
        <w:rPr>
          <w:spacing w:val="-1"/>
        </w:rPr>
        <w:t>四、公司负责人徐文卫、主管会计工作负责人李长春及会计机构负责人（会计主管人员）王菊侠</w:t>
      </w:r>
      <w:r>
        <w:rPr>
          <w:spacing w:val="-88"/>
        </w:rPr>
        <w:t> </w:t>
      </w:r>
      <w:r>
        <w:rPr>
          <w:spacing w:val="-88"/>
        </w:rPr>
      </w:r>
      <w:r>
        <w:rPr/>
        <w:t>声明：保证年度报告中财务报告的真实、准确、完整。</w:t>
      </w:r>
      <w:r>
        <w:rPr>
          <w:b w:val="0"/>
          <w:bCs w:val="0"/>
        </w:rPr>
      </w:r>
    </w:p>
    <w:p>
      <w:pPr>
        <w:spacing w:line="240" w:lineRule="auto" w:before="9"/>
        <w:rPr>
          <w:rFonts w:ascii="宋体" w:hAnsi="宋体" w:cs="宋体" w:eastAsia="宋体" w:hint="default"/>
          <w:b/>
          <w:bCs/>
          <w:sz w:val="20"/>
          <w:szCs w:val="20"/>
        </w:rPr>
      </w:pPr>
    </w:p>
    <w:p>
      <w:pPr>
        <w:pStyle w:val="Heading3"/>
        <w:spacing w:line="240" w:lineRule="auto" w:before="0"/>
        <w:ind w:left="138" w:right="0"/>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3"/>
        <w:rPr>
          <w:rFonts w:ascii="宋体" w:hAnsi="宋体" w:cs="宋体" w:eastAsia="宋体" w:hint="default"/>
          <w:b/>
          <w:bCs/>
          <w:sz w:val="16"/>
          <w:szCs w:val="16"/>
        </w:rPr>
      </w:pPr>
    </w:p>
    <w:p>
      <w:pPr>
        <w:pStyle w:val="BodyText"/>
        <w:spacing w:line="297" w:lineRule="auto"/>
        <w:ind w:right="0"/>
        <w:jc w:val="left"/>
      </w:pPr>
      <w:r>
        <w:rPr>
          <w:spacing w:val="-2"/>
          <w:w w:val="100"/>
        </w:rPr>
        <w:t>公司拟以</w:t>
      </w:r>
      <w:r>
        <w:rPr>
          <w:rFonts w:ascii="Times New Roman" w:hAnsi="Times New Roman" w:cs="Times New Roman" w:eastAsia="Times New Roman" w:hint="default"/>
          <w:spacing w:val="-2"/>
          <w:w w:val="100"/>
        </w:rPr>
        <w:t>2017</w:t>
      </w:r>
      <w:r>
        <w:rPr>
          <w:spacing w:val="-2"/>
          <w:w w:val="100"/>
        </w:rPr>
        <w:t>年末股本</w:t>
      </w:r>
      <w:r>
        <w:rPr>
          <w:rFonts w:ascii="Times New Roman" w:hAnsi="Times New Roman" w:cs="Times New Roman" w:eastAsia="Times New Roman" w:hint="default"/>
          <w:spacing w:val="-2"/>
          <w:w w:val="100"/>
        </w:rPr>
        <w:t>976080000</w:t>
      </w:r>
      <w:r>
        <w:rPr>
          <w:spacing w:val="-2"/>
          <w:w w:val="100"/>
        </w:rPr>
        <w:t>股为基数，每</w:t>
      </w:r>
      <w:r>
        <w:rPr>
          <w:rFonts w:ascii="Times New Roman" w:hAnsi="Times New Roman" w:cs="Times New Roman" w:eastAsia="Times New Roman" w:hint="default"/>
          <w:spacing w:val="-2"/>
          <w:w w:val="100"/>
        </w:rPr>
        <w:t>10</w:t>
      </w:r>
      <w:r>
        <w:rPr>
          <w:spacing w:val="-2"/>
          <w:w w:val="100"/>
        </w:rPr>
        <w:t>股派现金红利</w:t>
      </w:r>
      <w:r>
        <w:rPr>
          <w:rFonts w:ascii="Times New Roman" w:hAnsi="Times New Roman" w:cs="Times New Roman" w:eastAsia="Times New Roman" w:hint="default"/>
          <w:spacing w:val="-2"/>
          <w:w w:val="100"/>
        </w:rPr>
        <w:t>0.70</w:t>
      </w:r>
      <w:r>
        <w:rPr>
          <w:spacing w:val="-2"/>
          <w:w w:val="100"/>
        </w:rPr>
        <w:t>元（含税），拟支付</w:t>
      </w:r>
      <w:r>
        <w:rPr>
          <w:rFonts w:ascii="Times New Roman" w:hAnsi="Times New Roman" w:cs="Times New Roman" w:eastAsia="Times New Roman" w:hint="default"/>
          <w:spacing w:val="-2"/>
          <w:w w:val="100"/>
        </w:rPr>
        <w:t>2017</w:t>
      </w:r>
      <w:r>
        <w:rPr>
          <w:spacing w:val="-2"/>
          <w:w w:val="100"/>
        </w:rPr>
        <w:t>年普</w:t>
      </w:r>
      <w:r>
        <w:rPr>
          <w:spacing w:val="-93"/>
          <w:w w:val="100"/>
        </w:rPr>
        <w:t> </w:t>
      </w:r>
      <w:r>
        <w:rPr/>
        <w:t>通股股利</w:t>
      </w:r>
      <w:r>
        <w:rPr>
          <w:rFonts w:ascii="Times New Roman" w:hAnsi="Times New Roman" w:cs="Times New Roman" w:eastAsia="Times New Roman" w:hint="default"/>
        </w:rPr>
        <w:t>68325600.00</w:t>
      </w:r>
      <w:r>
        <w:rPr/>
        <w:t>元。</w:t>
      </w:r>
    </w:p>
    <w:p>
      <w:pPr>
        <w:spacing w:line="240" w:lineRule="auto" w:before="9"/>
        <w:rPr>
          <w:rFonts w:ascii="宋体" w:hAnsi="宋体" w:cs="宋体" w:eastAsia="宋体" w:hint="default"/>
          <w:sz w:val="22"/>
          <w:szCs w:val="22"/>
        </w:rPr>
      </w:pPr>
    </w:p>
    <w:p>
      <w:pPr>
        <w:pStyle w:val="Heading3"/>
        <w:spacing w:line="240" w:lineRule="auto" w:before="0"/>
        <w:ind w:left="138" w:right="0"/>
        <w:jc w:val="left"/>
        <w:rPr>
          <w:b w:val="0"/>
          <w:bCs w:val="0"/>
        </w:rPr>
      </w:pPr>
      <w:r>
        <w:rPr/>
        <w:t>六、</w:t>
      </w:r>
      <w:r>
        <w:rPr>
          <w:spacing w:val="-24"/>
        </w:rPr>
        <w:t> </w:t>
      </w:r>
      <w:r>
        <w:rPr/>
        <w:t>前瞻性陈述的风险声明</w:t>
      </w:r>
      <w:r>
        <w:rPr>
          <w:b w:val="0"/>
          <w:bCs w:val="0"/>
        </w:rPr>
      </w:r>
    </w:p>
    <w:p>
      <w:pPr>
        <w:pStyle w:val="BodyText"/>
        <w:spacing w:line="300" w:lineRule="auto" w:before="133"/>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本年度报告中涉及未来计划等前瞻性陈述，不构成公司对投资者的实质承诺，请广大投资者注意</w:t>
      </w:r>
      <w:r>
        <w:rPr>
          <w:spacing w:val="-55"/>
        </w:rPr>
        <w:t> </w:t>
      </w:r>
      <w:r>
        <w:rPr>
          <w:spacing w:val="-55"/>
        </w:rPr>
      </w:r>
      <w:r>
        <w:rPr/>
        <w:t>投资风险。</w:t>
      </w:r>
    </w:p>
    <w:p>
      <w:pPr>
        <w:spacing w:line="240" w:lineRule="auto" w:before="2"/>
        <w:rPr>
          <w:rFonts w:ascii="宋体" w:hAnsi="宋体" w:cs="宋体" w:eastAsia="宋体" w:hint="default"/>
          <w:sz w:val="24"/>
          <w:szCs w:val="24"/>
        </w:rPr>
      </w:pPr>
    </w:p>
    <w:p>
      <w:pPr>
        <w:pStyle w:val="Heading3"/>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3"/>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3"/>
        <w:tabs>
          <w:tab w:pos="781" w:val="left" w:leader="none"/>
        </w:tabs>
        <w:spacing w:line="240" w:lineRule="auto" w:before="138"/>
        <w:ind w:left="138" w:right="0"/>
        <w:jc w:val="left"/>
        <w:rPr>
          <w:b w:val="0"/>
          <w:bCs w:val="0"/>
        </w:rPr>
      </w:pPr>
      <w:r>
        <w:rPr/>
        <w:t>九、</w:t>
        <w:tab/>
        <w:t>重大风险提示</w:t>
      </w:r>
      <w:r>
        <w:rPr>
          <w:b w:val="0"/>
          <w:bCs w:val="0"/>
        </w:rPr>
      </w:r>
    </w:p>
    <w:p>
      <w:pPr>
        <w:pStyle w:val="BodyText"/>
        <w:spacing w:line="230" w:lineRule="auto" w:before="143"/>
        <w:ind w:right="127"/>
        <w:jc w:val="both"/>
      </w:pPr>
      <w:r>
        <w:rPr>
          <w:spacing w:val="-1"/>
        </w:rPr>
        <w:t>本报告中对公司未来的经营展望是公司根据当前的宏观经济政策、市场状况做出的预判和计划，</w:t>
      </w:r>
      <w:r>
        <w:rPr>
          <w:spacing w:val="-55"/>
        </w:rPr>
        <w:t> </w:t>
      </w:r>
      <w:r>
        <w:rPr>
          <w:spacing w:val="-55"/>
        </w:rPr>
      </w:r>
      <w:r>
        <w:rPr>
          <w:spacing w:val="-4"/>
        </w:rPr>
        <w:t>并不构成公司的业绩承诺。公司已在本报告中描述存在的风险因素，敬请查阅参阅本报告</w:t>
      </w:r>
      <w:r>
        <w:rPr>
          <w:rFonts w:ascii="Times New Roman" w:hAnsi="Times New Roman" w:cs="Times New Roman" w:eastAsia="Times New Roman" w:hint="default"/>
          <w:spacing w:val="-4"/>
        </w:rPr>
        <w:t>“</w:t>
      </w:r>
      <w:r>
        <w:rPr>
          <w:spacing w:val="-4"/>
        </w:rPr>
        <w:t>第四节</w:t>
      </w:r>
      <w:r>
        <w:rPr>
          <w:spacing w:val="-22"/>
        </w:rPr>
        <w:t> </w:t>
      </w:r>
      <w:r>
        <w:rPr>
          <w:spacing w:val="-22"/>
        </w:rPr>
      </w:r>
      <w:r>
        <w:rPr/>
        <w:t>经营情况讨论与分析</w:t>
      </w:r>
      <w:r>
        <w:rPr>
          <w:rFonts w:ascii="Times New Roman" w:hAnsi="Times New Roman" w:cs="Times New Roman" w:eastAsia="Times New Roman" w:hint="default"/>
        </w:rPr>
        <w:t>”</w:t>
      </w:r>
      <w:r>
        <w:rPr/>
        <w:t>中公司关于未来发展的讨论与分析中“可能面对的风险”部分的内容。</w:t>
      </w:r>
    </w:p>
    <w:p>
      <w:pPr>
        <w:spacing w:line="240" w:lineRule="auto" w:before="9"/>
        <w:rPr>
          <w:rFonts w:ascii="宋体" w:hAnsi="宋体" w:cs="宋体" w:eastAsia="宋体" w:hint="default"/>
          <w:sz w:val="16"/>
          <w:szCs w:val="16"/>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55"/>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653"/>
        <w:gridCol w:w="850"/>
        <w:gridCol w:w="4547"/>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公司、本公司、上市公司、宁波建工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控股股东、广天日月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宁波建工股份有限公司股东大会</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宁波建工股份有限公司董事会</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宁波市政、市政集团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建工集团、工程集团、建工工程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建乐工程、建工建乐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建乐装潢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安兰证券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南非安兰证券有限公司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南非安旌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安旌控股（南非）有限公司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广天构件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建工钢构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宁波建工钢构有限公司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建兴物资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宁波经济技术开发区建兴物资有限公司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宁冶勘、宁勘院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明州设计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建达起重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普利凯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芜湖宁建建筑工程有限公司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温州宁建投资有限公司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宁建金科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广天物流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广天建材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宁波广天新型建材有限公司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建工构件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顺安运输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宁波广天顺安运输有限公司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上饶广天构件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融美科技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深圳市融美科技有限公司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中经云数据存储科技（北京）有限公司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万邦德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万邦德医疗科技有限公司</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韬盛科技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北京韬盛科技发展有限公司</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人民币元、万元</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21"/>
                <w:szCs w:val="21"/>
              </w:rPr>
            </w:pPr>
            <w:r>
              <w:rPr>
                <w:rFonts w:ascii="Times New Roman"/>
                <w:sz w:val="21"/>
              </w:rPr>
              <w:t>BIM</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Building Information Modeling</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建筑信息模型</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BT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Build-Transfer</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建设－转让</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BOT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Build-Operate-Transfer</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建设－运营－转让</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EPC</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承包商负责工程项目的设计、采购、施工安装全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过程的总承包，并负责试运行服务</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850"/>
        <w:gridCol w:w="4547"/>
      </w:tblGrid>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QES</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质量、环境、职业健康与安全三合一标准体系认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证</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PPP</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Public</w:t>
            </w:r>
            <w:r>
              <w:rPr>
                <w:rFonts w:ascii="宋体" w:hAnsi="宋体" w:cs="宋体" w:eastAsia="宋体" w:hint="default"/>
                <w:sz w:val="21"/>
                <w:szCs w:val="21"/>
              </w:rPr>
              <w:t>—</w:t>
            </w:r>
            <w:r>
              <w:rPr>
                <w:rFonts w:ascii="Times New Roman" w:hAnsi="Times New Roman" w:cs="Times New Roman" w:eastAsia="Times New Roman" w:hint="default"/>
                <w:sz w:val="21"/>
                <w:szCs w:val="21"/>
              </w:rPr>
              <w:t>Private</w:t>
            </w:r>
            <w:r>
              <w:rPr>
                <w:rFonts w:ascii="宋体" w:hAnsi="宋体" w:cs="宋体" w:eastAsia="宋体" w:hint="default"/>
                <w:sz w:val="21"/>
                <w:szCs w:val="21"/>
              </w:rPr>
              <w:t>—</w:t>
            </w:r>
            <w:r>
              <w:rPr>
                <w:rFonts w:ascii="Times New Roman" w:hAnsi="Times New Roman" w:cs="Times New Roman" w:eastAsia="Times New Roman" w:hint="default"/>
                <w:sz w:val="21"/>
                <w:szCs w:val="21"/>
              </w:rPr>
              <w:t>Partnership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政府与社会资本合</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作</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717" w:val="left" w:leader="none"/>
        </w:tabs>
        <w:spacing w:line="240" w:lineRule="auto" w:before="191"/>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left="218"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Ningbo Construction Co.,</w:t>
            </w:r>
            <w:r>
              <w:rPr>
                <w:rFonts w:ascii="Times New Roman"/>
                <w:spacing w:val="-8"/>
                <w:sz w:val="21"/>
              </w:rPr>
              <w:t> </w:t>
            </w:r>
            <w:r>
              <w:rPr>
                <w:rFonts w:ascii="Times New Roman"/>
                <w:sz w:val="21"/>
              </w:rPr>
              <w:t>Ltd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NB</w:t>
            </w:r>
            <w:r>
              <w:rPr>
                <w:rFonts w:ascii="Times New Roman"/>
                <w:spacing w:val="-8"/>
                <w:sz w:val="21"/>
              </w:rPr>
              <w:t> </w:t>
            </w:r>
            <w:r>
              <w:rPr>
                <w:rFonts w:ascii="Times New Roman"/>
                <w:sz w:val="21"/>
              </w:rPr>
              <w:t>CONSTRUCTION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徐文卫</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240" w:lineRule="auto"/>
        <w:ind w:left="218" w:right="246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陈小辉</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浙江省宁波市鄞州区宁穿路</w:t>
            </w:r>
            <w:r>
              <w:rPr>
                <w:rFonts w:ascii="Times New Roman" w:hAnsi="Times New Roman" w:cs="Times New Roman" w:eastAsia="Times New Roman" w:hint="default"/>
                <w:spacing w:val="2"/>
                <w:sz w:val="21"/>
                <w:szCs w:val="21"/>
              </w:rPr>
              <w:t>538</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浙江省宁波市鄞州区宁穿路</w:t>
            </w:r>
            <w:r>
              <w:rPr>
                <w:rFonts w:ascii="Times New Roman" w:hAnsi="Times New Roman" w:cs="Times New Roman" w:eastAsia="Times New Roman" w:hint="default"/>
                <w:spacing w:val="2"/>
                <w:sz w:val="21"/>
                <w:szCs w:val="21"/>
              </w:rPr>
              <w:t>538</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号</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0574-87066873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0574-87066661</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0574-87888090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0574-87888090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7">
              <w:r>
                <w:rPr>
                  <w:rFonts w:ascii="Times New Roman"/>
                  <w:sz w:val="21"/>
                </w:rPr>
                <w:t>licc@jiangong.com.cn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8">
              <w:r>
                <w:rPr>
                  <w:rFonts w:ascii="Times New Roman"/>
                  <w:sz w:val="21"/>
                </w:rPr>
                <w:t>veichxh@163.com</w:t>
              </w:r>
            </w:hyperlink>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3"/>
        <w:spacing w:line="240" w:lineRule="auto"/>
        <w:ind w:left="218" w:right="2465"/>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浙江省宁波市鄞州区兴宁路</w:t>
            </w:r>
            <w:r>
              <w:rPr>
                <w:rFonts w:ascii="Times New Roman" w:hAnsi="Times New Roman" w:cs="Times New Roman" w:eastAsia="Times New Roman" w:hint="default"/>
                <w:sz w:val="21"/>
                <w:szCs w:val="21"/>
              </w:rPr>
              <w:t>46</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315040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浙江省宁波市鄞州区宁穿路</w:t>
            </w:r>
            <w:r>
              <w:rPr>
                <w:rFonts w:ascii="Times New Roman" w:hAnsi="Times New Roman" w:cs="Times New Roman" w:eastAsia="Times New Roman" w:hint="default"/>
                <w:sz w:val="21"/>
                <w:szCs w:val="21"/>
              </w:rPr>
              <w:t>538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315040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9">
              <w:r>
                <w:rPr>
                  <w:rFonts w:ascii="Times New Roman"/>
                  <w:sz w:val="21"/>
                </w:rPr>
                <w:t>www.jiangong.com.cn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 w:right="0"/>
              <w:jc w:val="left"/>
              <w:rPr>
                <w:rFonts w:ascii="Times New Roman" w:hAnsi="Times New Roman" w:cs="Times New Roman" w:eastAsia="Times New Roman" w:hint="default"/>
                <w:sz w:val="21"/>
                <w:szCs w:val="21"/>
              </w:rPr>
            </w:pPr>
            <w:hyperlink r:id="rId10">
              <w:r>
                <w:rPr>
                  <w:rFonts w:ascii="Times New Roman"/>
                  <w:sz w:val="21"/>
                </w:rPr>
                <w:t>nbjg601789@163.com</w:t>
              </w:r>
            </w:hyperlink>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240" w:lineRule="auto"/>
        <w:ind w:left="218"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w w:val="100"/>
                <w:sz w:val="21"/>
                <w:szCs w:val="21"/>
              </w:rPr>
              <w:t>《中国证券报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《上海</w:t>
            </w:r>
            <w:r>
              <w:rPr>
                <w:rFonts w:ascii="宋体" w:hAnsi="宋体" w:cs="宋体" w:eastAsia="宋体" w:hint="default"/>
                <w:w w:val="100"/>
                <w:sz w:val="21"/>
                <w:szCs w:val="21"/>
              </w:rPr>
              <w:t>证</w:t>
            </w:r>
            <w:r>
              <w:rPr>
                <w:rFonts w:ascii="宋体" w:hAnsi="宋体" w:cs="宋体" w:eastAsia="宋体" w:hint="default"/>
                <w:spacing w:val="2"/>
                <w:w w:val="100"/>
                <w:sz w:val="21"/>
                <w:szCs w:val="21"/>
              </w:rPr>
              <w:t>券报</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《证券</w:t>
            </w:r>
            <w:r>
              <w:rPr>
                <w:rFonts w:ascii="宋体" w:hAnsi="宋体" w:cs="宋体" w:eastAsia="宋体" w:hint="default"/>
                <w:w w:val="100"/>
                <w:sz w:val="21"/>
                <w:szCs w:val="21"/>
              </w:rPr>
              <w:t>时</w:t>
            </w:r>
            <w:r>
              <w:rPr>
                <w:rFonts w:ascii="宋体" w:hAnsi="宋体" w:cs="宋体" w:eastAsia="宋体" w:hint="default"/>
                <w:spacing w:val="2"/>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公司证券与投资部</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240" w:lineRule="auto"/>
        <w:ind w:left="218"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64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宁波建工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601789</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240" w:lineRule="auto"/>
        <w:ind w:left="678" w:right="0"/>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号学院国际大厦</w:t>
            </w:r>
            <w:r>
              <w:rPr>
                <w:rFonts w:ascii="宋体" w:hAnsi="宋体" w:cs="宋体" w:eastAsia="宋体" w:hint="default"/>
                <w:spacing w:val="-65"/>
                <w:sz w:val="21"/>
                <w:szCs w:val="21"/>
              </w:rPr>
              <w:t> </w:t>
            </w:r>
            <w:r>
              <w:rPr>
                <w:rFonts w:ascii="宋体" w:hAnsi="宋体" w:cs="宋体" w:eastAsia="宋体" w:hint="default"/>
                <w:sz w:val="21"/>
                <w:szCs w:val="21"/>
              </w:rPr>
              <w:t>22</w:t>
            </w:r>
            <w:r>
              <w:rPr>
                <w:rFonts w:ascii="宋体" w:hAnsi="宋体" w:cs="宋体" w:eastAsia="宋体" w:hint="default"/>
                <w:spacing w:val="-66"/>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舒铭、陈伟</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120" w:right="1040"/>
        </w:sectPr>
      </w:pPr>
    </w:p>
    <w:p>
      <w:pPr>
        <w:pStyle w:val="Heading3"/>
        <w:spacing w:line="240" w:lineRule="auto"/>
        <w:ind w:left="678"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9"/>
        <w:ind w:left="67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9" w:val="left" w:leader="none"/>
        </w:tabs>
        <w:spacing w:line="240" w:lineRule="auto" w:before="178"/>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4127" w:space="2394"/>
            <w:col w:w="322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12"/>
        <w:gridCol w:w="1791"/>
        <w:gridCol w:w="1790"/>
        <w:gridCol w:w="833"/>
        <w:gridCol w:w="1791"/>
        <w:gridCol w:w="1790"/>
      </w:tblGrid>
      <w:tr>
        <w:trPr>
          <w:trHeight w:val="473"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833" w:type="dxa"/>
            <w:vMerge w:val="restart"/>
            <w:tcBorders>
              <w:top w:val="single" w:sz="4" w:space="0" w:color="000000"/>
              <w:left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49" w:right="14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比上</w:t>
            </w:r>
            <w:r>
              <w:rPr>
                <w:rFonts w:ascii="宋体" w:hAnsi="宋体" w:cs="宋体" w:eastAsia="宋体" w:hint="default"/>
                <w:w w:val="100"/>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898" w:hRule="exact"/>
        </w:trPr>
        <w:tc>
          <w:tcPr>
            <w:tcW w:w="1512" w:type="dxa"/>
            <w:vMerge/>
            <w:tcBorders>
              <w:left w:val="single" w:sz="4" w:space="0" w:color="000000"/>
              <w:bottom w:val="single" w:sz="4" w:space="0" w:color="000000"/>
              <w:right w:val="single" w:sz="4" w:space="0" w:color="000000"/>
            </w:tcBorders>
          </w:tcPr>
          <w:p>
            <w:pPr/>
          </w:p>
        </w:tc>
        <w:tc>
          <w:tcPr>
            <w:tcW w:w="1791" w:type="dxa"/>
            <w:vMerge/>
            <w:tcBorders>
              <w:left w:val="single" w:sz="4" w:space="0" w:color="000000"/>
              <w:bottom w:val="single" w:sz="4" w:space="0" w:color="000000"/>
              <w:right w:val="single" w:sz="4" w:space="0" w:color="000000"/>
            </w:tcBorders>
          </w:tcPr>
          <w:p>
            <w:pPr/>
          </w:p>
        </w:tc>
        <w:tc>
          <w:tcPr>
            <w:tcW w:w="1790"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14,746,271,174.48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13,695,796,802.68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13,276,230,505.00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13,276,230,505.00</w:t>
            </w:r>
          </w:p>
        </w:tc>
      </w:tr>
      <w:tr>
        <w:trPr>
          <w:trHeight w:val="82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w:t>
            </w:r>
          </w:p>
          <w:p>
            <w:pPr>
              <w:pStyle w:val="TableParagraph"/>
              <w:spacing w:line="272" w:lineRule="exact" w:before="27"/>
              <w:ind w:left="101" w:right="102"/>
              <w:jc w:val="left"/>
              <w:rPr>
                <w:rFonts w:ascii="宋体" w:hAnsi="宋体" w:cs="宋体" w:eastAsia="宋体" w:hint="default"/>
                <w:sz w:val="21"/>
                <w:szCs w:val="21"/>
              </w:rPr>
            </w:pPr>
            <w:r>
              <w:rPr>
                <w:rFonts w:ascii="宋体" w:hAnsi="宋体" w:cs="宋体" w:eastAsia="宋体" w:hint="default"/>
                <w:spacing w:val="3"/>
                <w:sz w:val="21"/>
                <w:szCs w:val="21"/>
              </w:rPr>
              <w:t>司股东的净利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213,929,328.80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195,386,531.53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9.49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191,004,899.58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191,004,899.58</w:t>
            </w:r>
          </w:p>
        </w:tc>
      </w:tr>
      <w:tr>
        <w:trPr>
          <w:trHeight w:val="110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3"/>
                <w:sz w:val="21"/>
                <w:szCs w:val="21"/>
              </w:rPr>
              <w:t>归属于上市公</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pacing w:val="3"/>
                <w:sz w:val="21"/>
                <w:szCs w:val="21"/>
              </w:rPr>
              <w:t>司股东的扣除</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非经常性损益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的净利润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167,400,670.35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167,215,126.37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4"/>
                <w:sz w:val="21"/>
              </w:rPr>
              <w:t>0.11</w:t>
            </w:r>
            <w:r>
              <w:rPr>
                <w:rFonts w:ascii="Times New Roman"/>
                <w:sz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164,939,469.59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164,939,469.59</w:t>
            </w:r>
          </w:p>
        </w:tc>
      </w:tr>
      <w:tr>
        <w:trPr>
          <w:trHeight w:val="8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经营活动产生</w:t>
            </w:r>
          </w:p>
          <w:p>
            <w:pPr>
              <w:pStyle w:val="TableParagraph"/>
              <w:spacing w:line="240" w:lineRule="auto"/>
              <w:ind w:left="101" w:right="102"/>
              <w:jc w:val="left"/>
              <w:rPr>
                <w:rFonts w:ascii="宋体" w:hAnsi="宋体" w:cs="宋体" w:eastAsia="宋体" w:hint="default"/>
                <w:sz w:val="21"/>
                <w:szCs w:val="21"/>
              </w:rPr>
            </w:pPr>
            <w:r>
              <w:rPr>
                <w:rFonts w:ascii="宋体" w:hAnsi="宋体" w:cs="宋体" w:eastAsia="宋体" w:hint="default"/>
                <w:spacing w:val="3"/>
                <w:sz w:val="21"/>
                <w:szCs w:val="21"/>
              </w:rPr>
              <w:t>的现金流量净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484,775,465.48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399,599,576.88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158,446,288.54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158,446,288.54</w:t>
            </w:r>
          </w:p>
        </w:tc>
      </w:tr>
      <w:tr>
        <w:trPr>
          <w:trHeight w:val="391" w:hRule="exact"/>
        </w:trPr>
        <w:tc>
          <w:tcPr>
            <w:tcW w:w="1512" w:type="dxa"/>
            <w:vMerge w:val="restart"/>
            <w:tcBorders>
              <w:top w:val="single" w:sz="4" w:space="0" w:color="000000"/>
              <w:left w:val="single" w:sz="4" w:space="0" w:color="000000"/>
              <w:right w:val="single" w:sz="4" w:space="0" w:color="000000"/>
            </w:tcBorders>
          </w:tcPr>
          <w:p>
            <w:pPr/>
          </w:p>
        </w:tc>
        <w:tc>
          <w:tcPr>
            <w:tcW w:w="17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13" w:right="110" w:firstLine="88"/>
              <w:jc w:val="both"/>
              <w:rPr>
                <w:rFonts w:ascii="Times New Roman" w:hAnsi="Times New Roman" w:cs="Times New Roman" w:eastAsia="Times New Roman" w:hint="default"/>
                <w:sz w:val="21"/>
                <w:szCs w:val="21"/>
              </w:rPr>
            </w:pPr>
            <w:r>
              <w:rPr>
                <w:rFonts w:ascii="宋体" w:hAnsi="宋体" w:cs="宋体" w:eastAsia="宋体" w:hint="default"/>
                <w:sz w:val="21"/>
                <w:szCs w:val="21"/>
              </w:rPr>
              <w:t>末比</w:t>
            </w:r>
            <w:r>
              <w:rPr>
                <w:rFonts w:ascii="宋体" w:hAnsi="宋体" w:cs="宋体" w:eastAsia="宋体" w:hint="default"/>
                <w:w w:val="100"/>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末增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1527" w:hRule="exact"/>
        </w:trPr>
        <w:tc>
          <w:tcPr>
            <w:tcW w:w="1512" w:type="dxa"/>
            <w:vMerge/>
            <w:tcBorders>
              <w:left w:val="single" w:sz="4" w:space="0" w:color="000000"/>
              <w:bottom w:val="single" w:sz="4" w:space="0" w:color="000000"/>
              <w:right w:val="single" w:sz="4" w:space="0" w:color="000000"/>
            </w:tcBorders>
          </w:tcPr>
          <w:p>
            <w:pPr/>
          </w:p>
        </w:tc>
        <w:tc>
          <w:tcPr>
            <w:tcW w:w="1791" w:type="dxa"/>
            <w:vMerge/>
            <w:tcBorders>
              <w:left w:val="single" w:sz="4" w:space="0" w:color="000000"/>
              <w:bottom w:val="single" w:sz="4" w:space="0" w:color="000000"/>
              <w:right w:val="single" w:sz="4" w:space="0" w:color="000000"/>
            </w:tcBorders>
          </w:tcPr>
          <w:p>
            <w:pPr/>
          </w:p>
        </w:tc>
        <w:tc>
          <w:tcPr>
            <w:tcW w:w="1790"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8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归属于上市公</w:t>
            </w:r>
          </w:p>
          <w:p>
            <w:pPr>
              <w:pStyle w:val="TableParagraph"/>
              <w:spacing w:line="240" w:lineRule="auto"/>
              <w:ind w:left="101" w:right="102"/>
              <w:jc w:val="left"/>
              <w:rPr>
                <w:rFonts w:ascii="宋体" w:hAnsi="宋体" w:cs="宋体" w:eastAsia="宋体" w:hint="default"/>
                <w:sz w:val="21"/>
                <w:szCs w:val="21"/>
              </w:rPr>
            </w:pPr>
            <w:r>
              <w:rPr>
                <w:rFonts w:ascii="宋体" w:hAnsi="宋体" w:cs="宋体" w:eastAsia="宋体" w:hint="default"/>
                <w:spacing w:val="3"/>
                <w:sz w:val="21"/>
                <w:szCs w:val="21"/>
              </w:rPr>
              <w:t>司股东的净资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2,584,898,349.76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2,441,819,394.69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5.86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2,300,556,218.30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2,300,556,218.30</w:t>
            </w:r>
          </w:p>
        </w:tc>
      </w:tr>
      <w:tr>
        <w:trPr>
          <w:trHeight w:val="28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13,914,818,009.68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13,033,719,613.47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6.76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12,229,840,391.01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12,229,840,391.01</w:t>
            </w:r>
          </w:p>
        </w:tc>
      </w:tr>
    </w:tbl>
    <w:p>
      <w:pPr>
        <w:spacing w:line="240" w:lineRule="auto" w:before="10"/>
        <w:rPr>
          <w:rFonts w:ascii="宋体" w:hAnsi="宋体" w:cs="宋体" w:eastAsia="宋体" w:hint="default"/>
          <w:sz w:val="17"/>
          <w:szCs w:val="17"/>
        </w:rPr>
      </w:pPr>
    </w:p>
    <w:p>
      <w:pPr>
        <w:pStyle w:val="Heading3"/>
        <w:tabs>
          <w:tab w:pos="1517" w:val="left" w:leader="none"/>
        </w:tabs>
        <w:spacing w:line="240" w:lineRule="auto"/>
        <w:ind w:left="67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565" w:type="dxa"/>
        <w:tblLayout w:type="fixed"/>
        <w:tblCellMar>
          <w:top w:w="0" w:type="dxa"/>
          <w:left w:w="0" w:type="dxa"/>
          <w:bottom w:w="0" w:type="dxa"/>
          <w:right w:w="0" w:type="dxa"/>
        </w:tblCellMar>
        <w:tblLook w:val="01E0"/>
      </w:tblPr>
      <w:tblGrid>
        <w:gridCol w:w="3020"/>
        <w:gridCol w:w="1150"/>
        <w:gridCol w:w="1133"/>
        <w:gridCol w:w="1385"/>
        <w:gridCol w:w="1177"/>
        <w:gridCol w:w="1186"/>
      </w:tblGrid>
      <w:tr>
        <w:trPr>
          <w:trHeight w:val="295" w:hRule="exact"/>
        </w:trPr>
        <w:tc>
          <w:tcPr>
            <w:tcW w:w="3020" w:type="dxa"/>
            <w:vMerge w:val="restart"/>
            <w:tcBorders>
              <w:top w:val="single" w:sz="4" w:space="0" w:color="000000"/>
              <w:left w:val="single" w:sz="4" w:space="0" w:color="000000"/>
              <w:right w:val="single" w:sz="4" w:space="0" w:color="000000"/>
            </w:tcBorders>
          </w:tcPr>
          <w:p>
            <w:pPr>
              <w:pStyle w:val="TableParagraph"/>
              <w:spacing w:line="240" w:lineRule="auto" w:before="117"/>
              <w:ind w:left="873"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117"/>
              <w:ind w:left="2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17"/>
              <w:ind w:left="2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385" w:type="dxa"/>
            <w:vMerge w:val="restart"/>
            <w:tcBorders>
              <w:top w:val="single" w:sz="4" w:space="0" w:color="000000"/>
              <w:left w:val="single" w:sz="4" w:space="0" w:color="000000"/>
              <w:right w:val="single" w:sz="4" w:space="0" w:color="000000"/>
            </w:tcBorders>
          </w:tcPr>
          <w:p>
            <w:pPr>
              <w:pStyle w:val="TableParagraph"/>
              <w:spacing w:line="272" w:lineRule="exact" w:before="10"/>
              <w:ind w:left="110" w:right="106" w:firstLine="5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0" w:hRule="exact"/>
        </w:trPr>
        <w:tc>
          <w:tcPr>
            <w:tcW w:w="3020"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71"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0.2192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0.2002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9.49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0.1957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0.3914</w:t>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0.2192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0.2002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9.49</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0.1957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0.3914</w:t>
            </w:r>
          </w:p>
        </w:tc>
      </w:tr>
      <w:tr>
        <w:trPr>
          <w:trHeight w:val="555"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0.1715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0.1713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0.1690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0.3380</w:t>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Times New Roman" w:hAnsi="Times New Roman" w:cs="Times New Roman" w:eastAsia="Times New Roman" w:hint="default"/>
                <w:spacing w:val="-1"/>
                <w:sz w:val="21"/>
                <w:szCs w:val="21"/>
              </w:rPr>
              <w:t>0.36</w:t>
            </w:r>
            <w:r>
              <w:rPr>
                <w:rFonts w:ascii="宋体" w:hAnsi="宋体" w:cs="宋体" w:eastAsia="宋体" w:hint="default"/>
                <w:spacing w:val="-1"/>
                <w:sz w:val="21"/>
                <w:szCs w:val="21"/>
              </w:rPr>
              <w:t>个</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12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20"/>
        <w:gridCol w:w="1150"/>
        <w:gridCol w:w="1133"/>
        <w:gridCol w:w="1385"/>
        <w:gridCol w:w="1177"/>
        <w:gridCol w:w="1186"/>
      </w:tblGrid>
      <w:tr>
        <w:trPr>
          <w:trHeight w:val="284" w:hRule="exact"/>
        </w:trPr>
        <w:tc>
          <w:tcPr>
            <w:tcW w:w="302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40"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7" w:right="0"/>
              <w:jc w:val="left"/>
              <w:rPr>
                <w:rFonts w:ascii="Times New Roman" w:hAnsi="Times New Roman" w:cs="Times New Roman" w:eastAsia="Times New Roman" w:hint="default"/>
                <w:sz w:val="21"/>
                <w:szCs w:val="21"/>
              </w:rPr>
            </w:pPr>
            <w:r>
              <w:rPr>
                <w:rFonts w:ascii="Times New Roman"/>
                <w:sz w:val="21"/>
              </w:rPr>
              <w:t>6.66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6.97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0.31</w:t>
            </w:r>
            <w:r>
              <w:rPr>
                <w:rFonts w:ascii="宋体" w:hAnsi="宋体" w:cs="宋体" w:eastAsia="宋体" w:hint="default"/>
                <w:sz w:val="21"/>
                <w:szCs w:val="21"/>
              </w:rPr>
              <w:t>个</w:t>
            </w:r>
          </w:p>
          <w:p>
            <w:pPr>
              <w:pStyle w:val="TableParagraph"/>
              <w:spacing w:line="266" w:lineRule="exact"/>
              <w:ind w:left="640"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6" w:right="0"/>
              <w:jc w:val="left"/>
              <w:rPr>
                <w:rFonts w:ascii="Times New Roman" w:hAnsi="Times New Roman" w:cs="Times New Roman" w:eastAsia="Times New Roman" w:hint="default"/>
                <w:sz w:val="21"/>
                <w:szCs w:val="21"/>
              </w:rPr>
            </w:pPr>
            <w:r>
              <w:rPr>
                <w:rFonts w:ascii="Times New Roman"/>
                <w:sz w:val="21"/>
              </w:rPr>
              <w:t>7.26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5" w:right="0"/>
              <w:jc w:val="left"/>
              <w:rPr>
                <w:rFonts w:ascii="Times New Roman" w:hAnsi="Times New Roman" w:cs="Times New Roman" w:eastAsia="Times New Roman" w:hint="default"/>
                <w:sz w:val="21"/>
                <w:szCs w:val="21"/>
              </w:rPr>
            </w:pPr>
            <w:r>
              <w:rPr>
                <w:rFonts w:ascii="Times New Roman"/>
                <w:sz w:val="21"/>
              </w:rPr>
              <w:t>7.26</w:t>
            </w:r>
          </w:p>
        </w:tc>
      </w:tr>
    </w:tbl>
    <w:p>
      <w:pPr>
        <w:spacing w:line="240" w:lineRule="auto" w:before="2"/>
        <w:rPr>
          <w:rFonts w:ascii="宋体" w:hAnsi="宋体" w:cs="宋体" w:eastAsia="宋体" w:hint="default"/>
          <w:b/>
          <w:bCs/>
          <w:sz w:val="13"/>
          <w:szCs w:val="13"/>
        </w:rPr>
      </w:pPr>
    </w:p>
    <w:p>
      <w:pPr>
        <w:pStyle w:val="BodyText"/>
        <w:spacing w:line="273" w:lineRule="exact" w:before="36"/>
        <w:ind w:left="218" w:right="2465"/>
        <w:jc w:val="left"/>
      </w:pPr>
      <w:r>
        <w:rPr/>
        <w:t>报告期末公司前三年主要会计数据和财务指标的说明</w:t>
      </w:r>
    </w:p>
    <w:p>
      <w:pPr>
        <w:pStyle w:val="BodyText"/>
        <w:spacing w:line="280" w:lineRule="exact"/>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218" w:right="227"/>
        <w:jc w:val="left"/>
      </w:pPr>
      <w:r>
        <w:rPr/>
        <w:t>公司</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年发生资本公积金转增股本事项，对</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年财务指标进行了追溯调整。</w:t>
      </w:r>
    </w:p>
    <w:p>
      <w:pPr>
        <w:spacing w:line="240" w:lineRule="auto" w:before="8"/>
        <w:rPr>
          <w:rFonts w:ascii="宋体" w:hAnsi="宋体" w:cs="宋体" w:eastAsia="宋体" w:hint="default"/>
          <w:sz w:val="21"/>
          <w:szCs w:val="21"/>
        </w:rPr>
      </w:pPr>
    </w:p>
    <w:p>
      <w:pPr>
        <w:pStyle w:val="Heading3"/>
        <w:spacing w:line="240" w:lineRule="auto" w:before="0"/>
        <w:ind w:left="218" w:right="2465"/>
        <w:jc w:val="left"/>
        <w:rPr>
          <w:b w:val="0"/>
          <w:bCs w:val="0"/>
        </w:rPr>
      </w:pPr>
      <w:r>
        <w:rPr/>
        <w:t>八、</w:t>
      </w:r>
      <w:r>
        <w:rPr>
          <w:spacing w:val="-32"/>
        </w:rPr>
        <w:t> </w:t>
      </w:r>
      <w:r>
        <w:rPr/>
        <w:t>境内外会计准则下会计数据差异</w:t>
      </w:r>
      <w:r>
        <w:rPr>
          <w:b w:val="0"/>
          <w:bCs w:val="0"/>
        </w:rPr>
      </w:r>
    </w:p>
    <w:p>
      <w:pPr>
        <w:pStyle w:val="Heading3"/>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72" w:lineRule="exact" w:before="71"/>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21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3"/>
        <w:spacing w:line="240" w:lineRule="auto"/>
        <w:ind w:left="218" w:right="2465"/>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3,295,338,056.55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3,290,055,120.48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3,147,055,867.47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5,013,822,129.98</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52,531,294.34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46,738,445.89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41,935,689.27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72,723,899.30</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0"/>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47,057,710.58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29,716,075.06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36,980,520.67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53,646,364.04</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-676,726,838.72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455,427,291.14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47,341,062.01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658,733,951.05</w:t>
            </w:r>
          </w:p>
        </w:tc>
      </w:tr>
    </w:tbl>
    <w:p>
      <w:pPr>
        <w:spacing w:line="240" w:lineRule="auto" w:before="13"/>
        <w:rPr>
          <w:rFonts w:ascii="宋体" w:hAnsi="宋体" w:cs="宋体" w:eastAsia="宋体" w:hint="default"/>
          <w:sz w:val="12"/>
          <w:szCs w:val="12"/>
        </w:rPr>
      </w:pPr>
    </w:p>
    <w:p>
      <w:pPr>
        <w:pStyle w:val="BodyText"/>
        <w:spacing w:line="274" w:lineRule="exact" w:before="36"/>
        <w:ind w:left="218" w:right="2465"/>
        <w:jc w:val="left"/>
      </w:pPr>
      <w:r>
        <w:rPr/>
        <w:t>季度数据与已披露定期报告数据差异说明</w:t>
      </w:r>
    </w:p>
    <w:p>
      <w:pPr>
        <w:pStyle w:val="BodyText"/>
        <w:tabs>
          <w:tab w:pos="976" w:val="left" w:leader="none"/>
        </w:tabs>
        <w:spacing w:line="290" w:lineRule="exact"/>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pStyle w:val="Heading3"/>
        <w:spacing w:line="240" w:lineRule="auto"/>
        <w:ind w:left="21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036" w:space="3790"/>
            <w:col w:w="2464"/>
          </w:cols>
        </w:sectPr>
      </w:pPr>
    </w:p>
    <w:tbl>
      <w:tblPr>
        <w:tblW w:w="0" w:type="auto"/>
        <w:jc w:val="left"/>
        <w:tblInd w:w="105" w:type="dxa"/>
        <w:tblLayout w:type="fixed"/>
        <w:tblCellMar>
          <w:top w:w="0" w:type="dxa"/>
          <w:left w:w="0" w:type="dxa"/>
          <w:bottom w:w="0" w:type="dxa"/>
          <w:right w:w="0" w:type="dxa"/>
        </w:tblCellMar>
        <w:tblLook w:val="01E0"/>
      </w:tblPr>
      <w:tblGrid>
        <w:gridCol w:w="3325"/>
        <w:gridCol w:w="1496"/>
        <w:gridCol w:w="1224"/>
        <w:gridCol w:w="1582"/>
        <w:gridCol w:w="1423"/>
      </w:tblGrid>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0"/>
                <w:sz w:val="21"/>
                <w:szCs w:val="21"/>
              </w:rPr>
              <w:t>附注（如适</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288,922.42</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-399,647.73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977,981.28</w:t>
            </w: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4"/>
                <w:sz w:val="21"/>
                <w:szCs w:val="21"/>
              </w:rPr>
              <w:t>司正常经营业务密切相关，符合国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家政策规定、按照一定标准定额或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定量持续享受的政府补助除外</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14,990,489.30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19,906,126.46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20,417,699.71</w:t>
            </w: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18,964,329.00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25"/>
        <w:gridCol w:w="1496"/>
        <w:gridCol w:w="1224"/>
        <w:gridCol w:w="1582"/>
        <w:gridCol w:w="1423"/>
      </w:tblGrid>
      <w:tr>
        <w:trPr>
          <w:trHeight w:val="1100"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企业取得子公司、联营企业及合营</w:t>
            </w:r>
          </w:p>
          <w:p>
            <w:pPr>
              <w:pStyle w:val="TableParagraph"/>
              <w:spacing w:line="237" w:lineRule="auto"/>
              <w:ind w:left="103" w:right="264"/>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65,696.05</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效套期保值业务外，持有交易性金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融资产、交易性金融负债产生的公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允价值变动损益，以及处置交易性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金融资产、交易性金融负债和可供</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出售金融资产取得的投资收益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30,240,873.05</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11,011,531.16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16,349,255.74</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-1,452,684.88</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8,020,451.07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-1,089,433.68</w:t>
            </w:r>
          </w:p>
        </w:tc>
      </w:tr>
      <w:tr>
        <w:trPr>
          <w:trHeight w:val="555"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-474,850.10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-781,712.62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-1,299,363.04</w:t>
            </w:r>
          </w:p>
        </w:tc>
      </w:tr>
      <w:tr>
        <w:trPr>
          <w:trHeight w:val="28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-16,028,420.34</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-9,651,039.23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-9,290,710.02</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46,528,658.45</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28,171,405.16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26,065,429.99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1057" w:val="left" w:leader="none"/>
        </w:tabs>
        <w:spacing w:line="240" w:lineRule="auto"/>
        <w:ind w:left="218" w:right="2465"/>
        <w:jc w:val="left"/>
        <w:rPr>
          <w:b w:val="0"/>
          <w:bCs w:val="0"/>
        </w:rPr>
      </w:pPr>
      <w:r>
        <w:rPr/>
        <w:t>十一、</w:t>
        <w:tab/>
        <w:t>采用公允价值计量的项目</w:t>
      </w:r>
      <w:r>
        <w:rPr>
          <w:b w:val="0"/>
          <w:bCs w:val="0"/>
        </w:rPr>
      </w:r>
    </w:p>
    <w:p>
      <w:pPr>
        <w:tabs>
          <w:tab w:pos="1057" w:val="left" w:leader="none"/>
        </w:tabs>
        <w:spacing w:line="273" w:lineRule="auto" w:before="58"/>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29"/>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2323"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、公司的主要业务</w:t>
      </w:r>
    </w:p>
    <w:p>
      <w:pPr>
        <w:pStyle w:val="BodyText"/>
        <w:spacing w:line="226" w:lineRule="exact"/>
        <w:ind w:right="0" w:firstLine="419"/>
        <w:jc w:val="left"/>
      </w:pPr>
      <w:r>
        <w:rPr/>
        <w:t>公司主业为房屋建筑工程勘察、设计、施工、安装，市政道路桥梁、园林绿化、城市轨道交</w:t>
      </w:r>
    </w:p>
    <w:p>
      <w:pPr>
        <w:pStyle w:val="BodyText"/>
        <w:spacing w:line="272" w:lineRule="exact" w:before="27"/>
        <w:ind w:right="0"/>
        <w:jc w:val="left"/>
      </w:pPr>
      <w:r>
        <w:rPr>
          <w:spacing w:val="-2"/>
        </w:rPr>
        <w:t>通的施工，建筑装修装饰、建筑幕墙的设计、施工及预拌商品混凝土、水泥预制构件等的生产、</w:t>
      </w:r>
      <w:r>
        <w:rPr>
          <w:spacing w:val="-24"/>
        </w:rPr>
        <w:t> </w:t>
      </w:r>
      <w:r>
        <w:rPr>
          <w:spacing w:val="-24"/>
        </w:rPr>
      </w:r>
      <w:r>
        <w:rPr/>
        <w:t>销售。</w:t>
      </w:r>
    </w:p>
    <w:p>
      <w:pPr>
        <w:pStyle w:val="BodyText"/>
        <w:spacing w:line="272" w:lineRule="exact" w:before="1"/>
        <w:ind w:left="558" w:right="0"/>
        <w:jc w:val="left"/>
      </w:pPr>
      <w:r>
        <w:rPr>
          <w:rFonts w:ascii="宋体" w:hAnsi="宋体" w:cs="宋体" w:eastAsia="宋体" w:hint="default"/>
        </w:rPr>
        <w:t>2</w:t>
      </w:r>
      <w:r>
        <w:rPr/>
        <w:t>、主营业务经营模式</w:t>
      </w:r>
      <w:r>
        <w:rPr>
          <w:w w:val="100"/>
        </w:rPr>
        <w:t> </w:t>
      </w:r>
      <w:r>
        <w:rPr>
          <w:spacing w:val="-2"/>
        </w:rPr>
        <w:t>多年来公司建筑主业形成了以“大市场、大业主、大项目”为主的目标市场经营策略及总承</w:t>
      </w:r>
    </w:p>
    <w:p>
      <w:pPr>
        <w:pStyle w:val="BodyText"/>
        <w:spacing w:line="272" w:lineRule="exact" w:before="1"/>
        <w:ind w:right="0"/>
        <w:jc w:val="left"/>
      </w:pPr>
      <w:r>
        <w:rPr>
          <w:spacing w:val="-2"/>
        </w:rPr>
        <w:t>包业务和专业分包业务相互配合的横向营销体系。公司通过成功实施一大批富有影响力的“高、</w:t>
      </w:r>
      <w:r>
        <w:rPr>
          <w:spacing w:val="-25"/>
        </w:rPr>
        <w:t> </w:t>
      </w:r>
      <w:r>
        <w:rPr>
          <w:spacing w:val="-25"/>
        </w:rPr>
      </w:r>
      <w:r>
        <w:rPr>
          <w:spacing w:val="-2"/>
        </w:rPr>
        <w:t>大、精、尖”项目，强化精品理念，提升品牌优势，进行品牌经营，巩固深耕宁波本地及周边市</w:t>
      </w:r>
    </w:p>
    <w:p>
      <w:pPr>
        <w:pStyle w:val="BodyText"/>
        <w:spacing w:line="272" w:lineRule="exact" w:before="1"/>
        <w:ind w:left="558" w:right="0" w:hanging="420"/>
        <w:jc w:val="left"/>
      </w:pPr>
      <w:r>
        <w:rPr/>
        <w:t>场，拓展外地市场，逐步实现大区域发展。</w:t>
      </w:r>
      <w:r>
        <w:rPr>
          <w:w w:val="100"/>
        </w:rPr>
        <w:t> </w:t>
      </w:r>
      <w:r>
        <w:rPr>
          <w:spacing w:val="-2"/>
        </w:rPr>
        <w:t>生产经营方面，通常情况下在公司工程项目中标签约之后，在公司各级职能管理部门管控、</w:t>
      </w:r>
    </w:p>
    <w:p>
      <w:pPr>
        <w:pStyle w:val="BodyText"/>
        <w:spacing w:line="272" w:lineRule="exact" w:before="1"/>
        <w:ind w:right="0"/>
        <w:jc w:val="left"/>
      </w:pPr>
      <w:r>
        <w:rPr>
          <w:spacing w:val="-6"/>
        </w:rPr>
        <w:t>指导和支持下，由各子、分公司成立工程项目部负责具体项目履约过程中各项事务（合约、成本、</w:t>
      </w:r>
      <w:r>
        <w:rPr>
          <w:spacing w:val="-53"/>
        </w:rPr>
        <w:t> </w:t>
      </w:r>
      <w:r>
        <w:rPr>
          <w:spacing w:val="-53"/>
        </w:rPr>
      </w:r>
      <w:r>
        <w:rPr/>
        <w:t>进度、技术、质量、安全等）的策划、实施、管理与综合协调，完成各项工程任务。</w:t>
      </w:r>
    </w:p>
    <w:p>
      <w:pPr>
        <w:pStyle w:val="BodyText"/>
        <w:spacing w:line="272" w:lineRule="exact" w:before="1"/>
        <w:ind w:left="558" w:right="0"/>
        <w:jc w:val="left"/>
      </w:pPr>
      <w:r>
        <w:rPr>
          <w:rFonts w:ascii="宋体" w:hAnsi="宋体" w:cs="宋体" w:eastAsia="宋体" w:hint="default"/>
        </w:rPr>
        <w:t>3</w:t>
      </w:r>
      <w:r>
        <w:rPr/>
        <w:t>、行业情况</w:t>
      </w:r>
      <w:r>
        <w:rPr>
          <w:w w:val="100"/>
        </w:rPr>
        <w:t> </w:t>
      </w:r>
      <w:r>
        <w:rPr>
          <w:spacing w:val="-2"/>
        </w:rPr>
        <w:t>建筑业是国民经济发展的重要支柱产业，在拉动经济增长、全面建设小康社会和新型城镇化</w:t>
      </w:r>
    </w:p>
    <w:p>
      <w:pPr>
        <w:pStyle w:val="BodyText"/>
        <w:spacing w:line="272" w:lineRule="exact" w:before="1"/>
        <w:ind w:right="128"/>
        <w:jc w:val="both"/>
      </w:pPr>
      <w:r>
        <w:rPr>
          <w:spacing w:val="-2"/>
        </w:rPr>
        <w:t>建设的推进中起到了至关重要的作用。目前，随着国内工业化、城镇化的深入发展，大规模的投</w:t>
      </w:r>
      <w:r>
        <w:rPr>
          <w:spacing w:val="-25"/>
        </w:rPr>
        <w:t> </w:t>
      </w:r>
      <w:r>
        <w:rPr>
          <w:spacing w:val="-25"/>
        </w:rPr>
      </w:r>
      <w:r>
        <w:rPr>
          <w:spacing w:val="-6"/>
        </w:rPr>
        <w:t>资建设增速放缓，粗放式的发展模式逐步改变，国民经济步入了新常态，城镇化也进入了“创新、</w:t>
      </w:r>
      <w:r>
        <w:rPr>
          <w:spacing w:val="-51"/>
        </w:rPr>
        <w:t> </w:t>
      </w:r>
      <w:r>
        <w:rPr>
          <w:spacing w:val="-51"/>
        </w:rPr>
      </w:r>
      <w:r>
        <w:rPr>
          <w:spacing w:val="-2"/>
        </w:rPr>
        <w:t>协调、绿色、开放、共享”的新时期，宏观环境的变化对身入其中的建筑业企业提供了新的业务</w:t>
      </w:r>
    </w:p>
    <w:p>
      <w:pPr>
        <w:pStyle w:val="BodyText"/>
        <w:spacing w:line="272" w:lineRule="exact" w:before="1"/>
        <w:ind w:right="140"/>
        <w:jc w:val="left"/>
      </w:pPr>
      <w:r>
        <w:rPr/>
        <w:t>机会，同时也提出了转型升级的新要求。</w:t>
      </w:r>
      <w:r>
        <w:rPr>
          <w:rFonts w:ascii="宋体" w:hAnsi="宋体" w:cs="宋体" w:eastAsia="宋体" w:hint="default"/>
        </w:rPr>
        <w:t>2017</w:t>
      </w:r>
      <w:r>
        <w:rPr>
          <w:rFonts w:ascii="宋体" w:hAnsi="宋体" w:cs="宋体" w:eastAsia="宋体" w:hint="default"/>
          <w:spacing w:val="-56"/>
        </w:rPr>
        <w:t> </w:t>
      </w:r>
      <w:r>
        <w:rPr/>
        <w:t>年全社会建筑业完成增加值</w:t>
      </w:r>
      <w:r>
        <w:rPr>
          <w:spacing w:val="-56"/>
        </w:rPr>
        <w:t> </w:t>
      </w:r>
      <w:r>
        <w:rPr>
          <w:rFonts w:ascii="宋体" w:hAnsi="宋体" w:cs="宋体" w:eastAsia="宋体" w:hint="default"/>
        </w:rPr>
        <w:t>5.57</w:t>
      </w:r>
      <w:r>
        <w:rPr>
          <w:rFonts w:ascii="宋体" w:hAnsi="宋体" w:cs="宋体" w:eastAsia="宋体" w:hint="default"/>
          <w:spacing w:val="-55"/>
        </w:rPr>
        <w:t> </w:t>
      </w:r>
      <w:r>
        <w:rPr/>
        <w:t>万亿元，比上年</w:t>
      </w:r>
      <w:r>
        <w:rPr>
          <w:w w:val="100"/>
        </w:rPr>
        <w:t> </w:t>
      </w:r>
      <w:r>
        <w:rPr/>
        <w:t>增长</w:t>
      </w:r>
      <w:r>
        <w:rPr>
          <w:spacing w:val="-55"/>
        </w:rPr>
        <w:t> </w:t>
      </w:r>
      <w:r>
        <w:rPr>
          <w:rFonts w:ascii="宋体" w:hAnsi="宋体" w:cs="宋体" w:eastAsia="宋体" w:hint="default"/>
        </w:rPr>
        <w:t>4.3%</w:t>
      </w:r>
      <w:r>
        <w:rPr/>
        <w:t>，全国具有资质等级的总承包和专业承包建筑业企业实现利润</w:t>
      </w:r>
      <w:r>
        <w:rPr>
          <w:spacing w:val="-55"/>
        </w:rPr>
        <w:t> </w:t>
      </w:r>
      <w:r>
        <w:rPr>
          <w:rFonts w:ascii="宋体" w:hAnsi="宋体" w:cs="宋体" w:eastAsia="宋体" w:hint="default"/>
        </w:rPr>
        <w:t>7661</w:t>
      </w:r>
      <w:r>
        <w:rPr>
          <w:rFonts w:ascii="宋体" w:hAnsi="宋体" w:cs="宋体" w:eastAsia="宋体" w:hint="default"/>
          <w:spacing w:val="-57"/>
        </w:rPr>
        <w:t> </w:t>
      </w:r>
      <w:r>
        <w:rPr/>
        <w:t>亿元，增长</w:t>
      </w:r>
      <w:r>
        <w:rPr>
          <w:spacing w:val="-55"/>
        </w:rPr>
        <w:t> </w:t>
      </w:r>
      <w:r>
        <w:rPr>
          <w:rFonts w:ascii="宋体" w:hAnsi="宋体" w:cs="宋体" w:eastAsia="宋体" w:hint="default"/>
        </w:rPr>
        <w:t>9.7%</w:t>
      </w:r>
      <w:r>
        <w:rPr/>
        <w:t>。</w:t>
      </w:r>
    </w:p>
    <w:p>
      <w:pPr>
        <w:pStyle w:val="BodyText"/>
        <w:spacing w:line="272" w:lineRule="exact" w:before="1"/>
        <w:ind w:right="172"/>
        <w:jc w:val="left"/>
      </w:pPr>
      <w:r>
        <w:rPr/>
        <w:t>社会固定资产投资</w:t>
      </w:r>
      <w:r>
        <w:rPr>
          <w:spacing w:val="-55"/>
        </w:rPr>
        <w:t> </w:t>
      </w:r>
      <w:r>
        <w:rPr>
          <w:rFonts w:ascii="宋体" w:hAnsi="宋体" w:cs="宋体" w:eastAsia="宋体" w:hint="default"/>
        </w:rPr>
        <w:t>641238</w:t>
      </w:r>
      <w:r>
        <w:rPr>
          <w:rFonts w:ascii="宋体" w:hAnsi="宋体" w:cs="宋体" w:eastAsia="宋体" w:hint="default"/>
          <w:spacing w:val="-57"/>
        </w:rPr>
        <w:t> </w:t>
      </w:r>
      <w:r>
        <w:rPr/>
        <w:t>亿元，</w:t>
      </w:r>
      <w:r>
        <w:rPr>
          <w:color w:val="333333"/>
        </w:rPr>
        <w:t>比上年增长</w:t>
      </w:r>
      <w:r>
        <w:rPr>
          <w:color w:val="333333"/>
          <w:spacing w:val="-55"/>
        </w:rPr>
        <w:t> </w:t>
      </w:r>
      <w:r>
        <w:rPr>
          <w:rFonts w:ascii="Times New Roman" w:hAnsi="Times New Roman" w:cs="Times New Roman" w:eastAsia="Times New Roman" w:hint="default"/>
          <w:color w:val="333333"/>
        </w:rPr>
        <w:t>7.0%</w:t>
      </w:r>
      <w:r>
        <w:rPr>
          <w:color w:val="333333"/>
        </w:rPr>
        <w:t>。固定资产投资</w:t>
      </w:r>
      <w:r>
        <w:rPr/>
        <w:t>与建筑业发展密切相关，近年</w:t>
      </w:r>
      <w:r>
        <w:rPr>
          <w:w w:val="100"/>
        </w:rPr>
        <w:t> </w:t>
      </w:r>
      <w:r>
        <w:rPr/>
        <w:t>来来年全社会固定资产投资增长变动情况如下图（数据来源：国家统计局）：</w:t>
      </w:r>
    </w:p>
    <w:p>
      <w:pPr>
        <w:spacing w:line="3825" w:lineRule="exact"/>
        <w:ind w:left="587"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5267875" cy="24288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5267875" cy="2428875"/>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1"/>
        <w:rPr>
          <w:rFonts w:ascii="宋体" w:hAnsi="宋体" w:cs="宋体" w:eastAsia="宋体" w:hint="default"/>
          <w:sz w:val="21"/>
          <w:szCs w:val="21"/>
        </w:rPr>
      </w:pPr>
    </w:p>
    <w:p>
      <w:pPr>
        <w:pStyle w:val="Heading3"/>
        <w:spacing w:line="240" w:lineRule="auto" w:before="0"/>
        <w:ind w:left="138" w:right="0"/>
        <w:jc w:val="left"/>
        <w:rPr>
          <w:b w:val="0"/>
          <w:bCs w:val="0"/>
        </w:rPr>
      </w:pPr>
      <w:r>
        <w:rPr/>
        <w:t>二、报告期内公司主要资产发生重大变化情况的说明</w:t>
      </w:r>
      <w:r>
        <w:rPr>
          <w:b w:val="0"/>
          <w:bCs w:val="0"/>
        </w:rPr>
      </w:r>
    </w:p>
    <w:p>
      <w:pPr>
        <w:pStyle w:val="BodyText"/>
        <w:spacing w:line="240" w:lineRule="auto" w:before="58"/>
        <w:ind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left"/>
        <w:rPr>
          <w:b w:val="0"/>
          <w:bCs w:val="0"/>
        </w:rPr>
      </w:pPr>
      <w:r>
        <w:rPr/>
        <w:t>三、报告期内核心竞争力分析</w:t>
      </w:r>
      <w:r>
        <w:rPr>
          <w:b w:val="0"/>
          <w:bCs w:val="0"/>
        </w:rPr>
      </w:r>
    </w:p>
    <w:p>
      <w:pPr>
        <w:pStyle w:val="BodyText"/>
        <w:spacing w:line="240" w:lineRule="auto" w:before="56"/>
        <w:ind w:left="558" w:right="0" w:hanging="420"/>
        <w:jc w:val="left"/>
      </w:pPr>
      <w:r>
        <w:rPr/>
        <w:t>√适用</w:t>
      </w:r>
      <w:r>
        <w:rPr>
          <w:spacing w:val="-2"/>
        </w:rPr>
        <w:t> </w:t>
      </w:r>
      <w:r>
        <w:rPr/>
        <w:t>□不适用</w:t>
      </w:r>
      <w:r>
        <w:rPr>
          <w:spacing w:val="-103"/>
        </w:rPr>
        <w:t> </w:t>
      </w:r>
      <w:r>
        <w:rPr>
          <w:spacing w:val="-103"/>
        </w:rPr>
      </w:r>
      <w:r>
        <w:rPr>
          <w:spacing w:val="-2"/>
        </w:rPr>
        <w:t>公司自成立以来一直从事建筑施工及相关业务，目前已形成了以建筑施工、装饰幕墙、市政</w:t>
      </w:r>
    </w:p>
    <w:p>
      <w:pPr>
        <w:pStyle w:val="BodyText"/>
        <w:spacing w:line="274" w:lineRule="exact" w:before="22"/>
        <w:ind w:right="0"/>
        <w:jc w:val="left"/>
      </w:pPr>
      <w:r>
        <w:rPr>
          <w:spacing w:val="-2"/>
        </w:rPr>
        <w:t>工程为核心，涵盖建筑科研、勘察测绘、工程设计、施工、安装、钢结构、商品混凝土、预制构</w:t>
      </w:r>
      <w:r>
        <w:rPr>
          <w:spacing w:val="-25"/>
        </w:rPr>
        <w:t> </w:t>
      </w:r>
      <w:r>
        <w:rPr>
          <w:spacing w:val="-25"/>
        </w:rPr>
      </w:r>
      <w:r>
        <w:rPr/>
        <w:t>件等相对完整而紧凑的产业链，各细分产业具有协同发展效应，整体效益日益增强。</w:t>
      </w:r>
    </w:p>
    <w:p>
      <w:pPr>
        <w:pStyle w:val="BodyText"/>
        <w:spacing w:line="246" w:lineRule="exact"/>
        <w:ind w:right="0" w:firstLine="419"/>
        <w:jc w:val="left"/>
      </w:pPr>
      <w:r>
        <w:rPr/>
        <w:t>近年来公司完成了产业架构调整，经过探索优化，公司目前已经形成了上市公司母公司平台</w:t>
      </w:r>
    </w:p>
    <w:p>
      <w:pPr>
        <w:pStyle w:val="BodyText"/>
        <w:spacing w:line="274" w:lineRule="exact"/>
        <w:ind w:right="0"/>
        <w:jc w:val="left"/>
      </w:pPr>
      <w:r>
        <w:rPr/>
        <w:t>引领，下辖建工工程集团、宁波市政集团、建工建乐三个总承包业务板块齐头并进、协同互补的</w:t>
      </w:r>
    </w:p>
    <w:p>
      <w:pPr>
        <w:spacing w:after="0" w:line="274"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right="217"/>
        <w:jc w:val="both"/>
      </w:pPr>
      <w:r>
        <w:rPr>
          <w:spacing w:val="-2"/>
        </w:rPr>
        <w:t>拓展态势，宁波建工母公司逐步聚焦于战略管理、投资资产管理及资本经营，下辖各业务板块经</w:t>
      </w:r>
      <w:r>
        <w:rPr>
          <w:spacing w:val="-25"/>
        </w:rPr>
        <w:t> </w:t>
      </w:r>
      <w:r>
        <w:rPr>
          <w:spacing w:val="-25"/>
        </w:rPr>
      </w:r>
      <w:r>
        <w:rPr/>
        <w:t>营活力得到充分激发，上市公司总体经营风险有效降低，经营拓展能力大幅增强。</w:t>
      </w:r>
    </w:p>
    <w:p>
      <w:pPr>
        <w:pStyle w:val="BodyText"/>
        <w:spacing w:line="237" w:lineRule="auto"/>
        <w:ind w:right="217" w:firstLine="419"/>
        <w:jc w:val="both"/>
      </w:pPr>
      <w:r>
        <w:rPr>
          <w:spacing w:val="-2"/>
        </w:rPr>
        <w:t>公司具有房屋建筑工程施工总承包特级、市政公用工程施工总承包特级、建筑装饰装修工程</w:t>
      </w:r>
      <w:r>
        <w:rPr>
          <w:w w:val="100"/>
        </w:rPr>
        <w:t> </w:t>
      </w:r>
      <w:r>
        <w:rPr>
          <w:spacing w:val="-2"/>
        </w:rPr>
        <w:t>专业承包壹级、机电安装工程施工总承包壹级、钢结构工程专业承包壹级、地基与基础工程专业</w:t>
      </w:r>
      <w:r>
        <w:rPr>
          <w:spacing w:val="-25"/>
        </w:rPr>
        <w:t> </w:t>
      </w:r>
      <w:r>
        <w:rPr>
          <w:spacing w:val="-25"/>
        </w:rPr>
      </w:r>
      <w:r>
        <w:rPr>
          <w:spacing w:val="-2"/>
        </w:rPr>
        <w:t>承包壹级、消防设施工程专业承包壹级、建筑智能化工程专业承包壹级、建筑幕墙工程专业承包</w:t>
      </w:r>
      <w:r>
        <w:rPr>
          <w:spacing w:val="-25"/>
        </w:rPr>
        <w:t> </w:t>
      </w:r>
      <w:r>
        <w:rPr>
          <w:spacing w:val="-25"/>
        </w:rPr>
      </w:r>
      <w:r>
        <w:rPr>
          <w:spacing w:val="-2"/>
        </w:rPr>
        <w:t>壹级、起重设备安装工程专业承包壹级、模架脚手架安拆壹级、公路工程施工总承包二级、桥梁</w:t>
      </w:r>
      <w:r>
        <w:rPr>
          <w:spacing w:val="-25"/>
        </w:rPr>
        <w:t> </w:t>
      </w:r>
      <w:r>
        <w:rPr>
          <w:spacing w:val="-25"/>
        </w:rPr>
      </w:r>
      <w:r>
        <w:rPr>
          <w:spacing w:val="-2"/>
        </w:rPr>
        <w:t>工程专业承包贰级、石油化工工程施工总承包贰级、预拌商品混凝土专业承包、混凝土预制构件</w:t>
      </w:r>
      <w:r>
        <w:rPr>
          <w:spacing w:val="-25"/>
        </w:rPr>
        <w:t> </w:t>
      </w:r>
      <w:r>
        <w:rPr>
          <w:spacing w:val="-25"/>
        </w:rPr>
      </w:r>
      <w:r>
        <w:rPr>
          <w:spacing w:val="-2"/>
        </w:rPr>
        <w:t>专业贰级、工程勘察综合甲级、测绘甲级、地灾评估甲级、建筑工程设计行业甲级、工程设计市</w:t>
      </w:r>
      <w:r>
        <w:rPr>
          <w:spacing w:val="-25"/>
        </w:rPr>
        <w:t> </w:t>
      </w:r>
      <w:r>
        <w:rPr>
          <w:spacing w:val="-25"/>
        </w:rPr>
      </w:r>
      <w:r>
        <w:rPr/>
        <w:t>政行业甲级、建筑装饰及建筑幕墙专项工程设计甲级等资质。</w:t>
      </w:r>
    </w:p>
    <w:p>
      <w:pPr>
        <w:pStyle w:val="BodyText"/>
        <w:spacing w:line="272" w:lineRule="exact" w:before="26"/>
        <w:ind w:right="105" w:firstLine="419"/>
        <w:jc w:val="left"/>
      </w:pPr>
      <w:r>
        <w:rPr/>
        <w:t>宁波建工具有</w:t>
      </w:r>
      <w:r>
        <w:rPr>
          <w:spacing w:val="-53"/>
        </w:rPr>
        <w:t> </w:t>
      </w:r>
      <w:r>
        <w:rPr>
          <w:rFonts w:ascii="宋体" w:hAnsi="宋体" w:cs="宋体" w:eastAsia="宋体" w:hint="default"/>
        </w:rPr>
        <w:t>60</w:t>
      </w:r>
      <w:r>
        <w:rPr>
          <w:rFonts w:ascii="宋体" w:hAnsi="宋体" w:cs="宋体" w:eastAsia="宋体" w:hint="default"/>
          <w:spacing w:val="-53"/>
        </w:rPr>
        <w:t> </w:t>
      </w:r>
      <w:r>
        <w:rPr/>
        <w:t>余年的建筑业从业历史，参与了本地区建筑业发展中所有阶段的建设任务，</w:t>
      </w:r>
      <w:r>
        <w:rPr>
          <w:w w:val="100"/>
        </w:rPr>
        <w:t> </w:t>
      </w:r>
      <w:r>
        <w:rPr/>
        <w:t>在长期生产实践和市场竞争中培养了自身的核心竞争力：</w:t>
      </w:r>
    </w:p>
    <w:p>
      <w:pPr>
        <w:pStyle w:val="BodyText"/>
        <w:spacing w:line="272" w:lineRule="exact" w:before="1"/>
        <w:ind w:right="208" w:firstLine="419"/>
        <w:jc w:val="both"/>
      </w:pPr>
      <w:r>
        <w:rPr>
          <w:rFonts w:ascii="宋体" w:hAnsi="宋体" w:cs="宋体" w:eastAsia="宋体" w:hint="default"/>
          <w:spacing w:val="-4"/>
        </w:rPr>
        <w:t>1</w:t>
      </w:r>
      <w:r>
        <w:rPr>
          <w:spacing w:val="-4"/>
        </w:rPr>
        <w:t>、区域市场品牌知名度和美誉度高，业务基础良好。公司深耕宁波市场几十年，承建了宁波</w:t>
      </w:r>
      <w:r>
        <w:rPr>
          <w:w w:val="100"/>
        </w:rPr>
        <w:t> </w:t>
      </w:r>
      <w:r>
        <w:rPr>
          <w:spacing w:val="-2"/>
        </w:rPr>
        <w:t>万豪大酒店、宁波科技广场、丽水财税局办公大楼、宁波商会国贸中心、宁波汇金大厦和东部新</w:t>
      </w:r>
    </w:p>
    <w:p>
      <w:pPr>
        <w:pStyle w:val="BodyText"/>
        <w:spacing w:line="272" w:lineRule="exact" w:before="1"/>
        <w:ind w:right="207"/>
        <w:jc w:val="both"/>
      </w:pPr>
      <w:r>
        <w:rPr/>
        <w:t>城及南部商务区大量的地标性建筑。公司获得国家建筑业最高奖项“鲁班奖”</w:t>
      </w:r>
      <w:r>
        <w:rPr>
          <w:rFonts w:ascii="宋体" w:hAnsi="宋体" w:cs="宋体" w:eastAsia="宋体" w:hint="default"/>
        </w:rPr>
        <w:t>4</w:t>
      </w:r>
      <w:r>
        <w:rPr>
          <w:rFonts w:ascii="宋体" w:hAnsi="宋体" w:cs="宋体" w:eastAsia="宋体" w:hint="default"/>
          <w:spacing w:val="-55"/>
        </w:rPr>
        <w:t> </w:t>
      </w:r>
      <w:r>
        <w:rPr/>
        <w:t>项，获评“全国</w:t>
      </w:r>
      <w:r>
        <w:rPr>
          <w:w w:val="100"/>
        </w:rPr>
        <w:t> </w:t>
      </w:r>
      <w:r>
        <w:rPr>
          <w:spacing w:val="-2"/>
        </w:rPr>
        <w:t>五一劳动奖状”、“全国先进施工企业”、“浙江省重点骨干企业”等殊荣多次，是宁波市竞争</w:t>
      </w:r>
    </w:p>
    <w:p>
      <w:pPr>
        <w:pStyle w:val="BodyText"/>
        <w:spacing w:line="272" w:lineRule="exact" w:before="1"/>
        <w:ind w:right="207"/>
        <w:jc w:val="both"/>
      </w:pPr>
      <w:r>
        <w:rPr>
          <w:spacing w:val="-4"/>
        </w:rPr>
        <w:t>力最强的施工企业之一，浙江省综合百强、宁波市纳税</w:t>
      </w:r>
      <w:r>
        <w:rPr>
          <w:spacing w:val="-44"/>
        </w:rPr>
        <w:t> </w:t>
      </w:r>
      <w:r>
        <w:rPr>
          <w:rFonts w:ascii="宋体" w:hAnsi="宋体" w:cs="宋体" w:eastAsia="宋体" w:hint="default"/>
        </w:rPr>
        <w:t>50</w:t>
      </w:r>
      <w:r>
        <w:rPr>
          <w:rFonts w:ascii="宋体" w:hAnsi="宋体" w:cs="宋体" w:eastAsia="宋体" w:hint="default"/>
          <w:spacing w:val="-44"/>
        </w:rPr>
        <w:t> </w:t>
      </w:r>
      <w:r>
        <w:rPr/>
        <w:t>强和中国民企</w:t>
      </w:r>
      <w:r>
        <w:rPr>
          <w:spacing w:val="-44"/>
        </w:rPr>
        <w:t> </w:t>
      </w:r>
      <w:r>
        <w:rPr>
          <w:rFonts w:ascii="宋体" w:hAnsi="宋体" w:cs="宋体" w:eastAsia="宋体" w:hint="default"/>
        </w:rPr>
        <w:t>500</w:t>
      </w:r>
      <w:r>
        <w:rPr>
          <w:rFonts w:ascii="宋体" w:hAnsi="宋体" w:cs="宋体" w:eastAsia="宋体" w:hint="default"/>
          <w:spacing w:val="-46"/>
        </w:rPr>
        <w:t> </w:t>
      </w:r>
      <w:r>
        <w:rPr>
          <w:spacing w:val="-5"/>
        </w:rPr>
        <w:t>强企业。报告期公司</w:t>
      </w:r>
      <w:r>
        <w:rPr>
          <w:spacing w:val="-101"/>
        </w:rPr>
        <w:t> </w:t>
      </w:r>
      <w:r>
        <w:rPr>
          <w:spacing w:val="-101"/>
        </w:rPr>
      </w:r>
      <w:r>
        <w:rPr>
          <w:spacing w:val="-8"/>
        </w:rPr>
        <w:t>及子公司荣获“《财富》中国 </w:t>
      </w:r>
      <w:r>
        <w:rPr>
          <w:rFonts w:ascii="宋体" w:hAnsi="宋体" w:cs="宋体" w:eastAsia="宋体" w:hint="default"/>
        </w:rPr>
        <w:t>500 </w:t>
      </w:r>
      <w:r>
        <w:rPr>
          <w:spacing w:val="-12"/>
        </w:rPr>
        <w:t>强”、“</w:t>
      </w:r>
      <w:r>
        <w:rPr>
          <w:rFonts w:ascii="宋体" w:hAnsi="宋体" w:cs="宋体" w:eastAsia="宋体" w:hint="default"/>
          <w:spacing w:val="-12"/>
        </w:rPr>
        <w:t>2017</w:t>
      </w:r>
      <w:r>
        <w:rPr>
          <w:rFonts w:ascii="宋体" w:hAnsi="宋体" w:cs="宋体" w:eastAsia="宋体" w:hint="default"/>
          <w:spacing w:val="-75"/>
        </w:rPr>
        <w:t> </w:t>
      </w:r>
      <w:r>
        <w:rPr>
          <w:spacing w:val="-6"/>
        </w:rPr>
        <w:t>年度全国建设质量管理小组活动优秀企业”、“全</w:t>
      </w:r>
    </w:p>
    <w:p>
      <w:pPr>
        <w:pStyle w:val="BodyText"/>
        <w:spacing w:line="272" w:lineRule="exact" w:before="1"/>
        <w:ind w:right="217"/>
        <w:jc w:val="both"/>
      </w:pPr>
      <w:r>
        <w:rPr>
          <w:spacing w:val="-2"/>
        </w:rPr>
        <w:t>国装饰百强企业”、“全国幕墙百强企业”、“全国装配式建筑产业基地”、“中国混凝土行业</w:t>
      </w:r>
      <w:r>
        <w:rPr>
          <w:spacing w:val="-25"/>
        </w:rPr>
        <w:t> </w:t>
      </w:r>
      <w:r>
        <w:rPr>
          <w:spacing w:val="-25"/>
        </w:rPr>
      </w:r>
      <w:r>
        <w:rPr/>
        <w:t>优秀企业”、“中国混凝土行业绿色生产示范企业”等多项荣誉。</w:t>
      </w:r>
    </w:p>
    <w:p>
      <w:pPr>
        <w:pStyle w:val="BodyText"/>
        <w:spacing w:line="246" w:lineRule="exact"/>
        <w:ind w:right="0" w:firstLine="419"/>
        <w:jc w:val="both"/>
      </w:pPr>
      <w:r>
        <w:rPr>
          <w:rFonts w:ascii="宋体" w:hAnsi="宋体" w:cs="宋体" w:eastAsia="宋体" w:hint="default"/>
          <w:spacing w:val="-4"/>
        </w:rPr>
        <w:t>2</w:t>
      </w:r>
      <w:r>
        <w:rPr>
          <w:spacing w:val="-4"/>
        </w:rPr>
        <w:t>、拥有一支勇于开拓、善于学习、素质优良、管理有力的企业团队。公司董事、监事、高级</w:t>
      </w:r>
    </w:p>
    <w:p>
      <w:pPr>
        <w:pStyle w:val="BodyText"/>
        <w:spacing w:line="272" w:lineRule="exact" w:before="27"/>
        <w:ind w:right="217"/>
        <w:jc w:val="both"/>
      </w:pPr>
      <w:r>
        <w:rPr>
          <w:spacing w:val="-2"/>
        </w:rPr>
        <w:t>管理人员及绝大多数业务、技术骨干都具有深厚的理论基础及实践经验，在公司生产经营、技术</w:t>
      </w:r>
      <w:r>
        <w:rPr>
          <w:spacing w:val="-25"/>
        </w:rPr>
        <w:t> </w:t>
      </w:r>
      <w:r>
        <w:rPr>
          <w:spacing w:val="-25"/>
        </w:rPr>
      </w:r>
      <w:r>
        <w:rPr/>
        <w:t>研发、资本运营中发挥着重要作用。</w:t>
      </w:r>
    </w:p>
    <w:p>
      <w:pPr>
        <w:pStyle w:val="BodyText"/>
        <w:spacing w:line="272" w:lineRule="exact" w:before="1"/>
        <w:ind w:right="208" w:firstLine="419"/>
        <w:jc w:val="both"/>
      </w:pPr>
      <w:r>
        <w:rPr>
          <w:rFonts w:ascii="宋体" w:hAnsi="宋体" w:cs="宋体" w:eastAsia="宋体" w:hint="default"/>
          <w:spacing w:val="-4"/>
        </w:rPr>
        <w:t>3</w:t>
      </w:r>
      <w:r>
        <w:rPr>
          <w:spacing w:val="-4"/>
        </w:rPr>
        <w:t>、产业链完整而紧凑、产业布局优化合理。公司目前已形成从勘察测绘、工程设计、建筑施</w:t>
      </w:r>
      <w:r>
        <w:rPr>
          <w:w w:val="100"/>
        </w:rPr>
        <w:t> </w:t>
      </w:r>
      <w:r>
        <w:rPr>
          <w:spacing w:val="-2"/>
        </w:rPr>
        <w:t>工、市政工程、轨道交通、安装工程、装饰装修、建筑材料、制造加工、园林绿化等完整的建筑</w:t>
      </w:r>
    </w:p>
    <w:p>
      <w:pPr>
        <w:pStyle w:val="BodyText"/>
        <w:spacing w:line="272" w:lineRule="exact" w:before="2"/>
        <w:ind w:right="217"/>
        <w:jc w:val="both"/>
      </w:pPr>
      <w:r>
        <w:rPr>
          <w:spacing w:val="-2"/>
        </w:rPr>
        <w:t>业产业链，具备提供全方位建筑服务的能力。为巩固及强化市政园林业务的市场竞争力，报告期</w:t>
      </w:r>
      <w:r>
        <w:rPr>
          <w:spacing w:val="-25"/>
        </w:rPr>
        <w:t> </w:t>
      </w:r>
      <w:r>
        <w:rPr>
          <w:spacing w:val="-25"/>
        </w:rPr>
      </w:r>
      <w:r>
        <w:rPr/>
        <w:t>公司向宁波市政增资</w:t>
      </w:r>
      <w:r>
        <w:rPr>
          <w:spacing w:val="-56"/>
        </w:rPr>
        <w:t> </w:t>
      </w:r>
      <w:r>
        <w:rPr>
          <w:rFonts w:ascii="宋体" w:hAnsi="宋体" w:cs="宋体" w:eastAsia="宋体" w:hint="default"/>
        </w:rPr>
        <w:t>20050</w:t>
      </w:r>
      <w:r>
        <w:rPr>
          <w:rFonts w:ascii="宋体" w:hAnsi="宋体" w:cs="宋体" w:eastAsia="宋体" w:hint="default"/>
          <w:spacing w:val="-55"/>
        </w:rPr>
        <w:t> </w:t>
      </w:r>
      <w:r>
        <w:rPr/>
        <w:t>万元，本次增资后市政集团注册资本增加到</w:t>
      </w:r>
      <w:r>
        <w:rPr>
          <w:spacing w:val="-56"/>
        </w:rPr>
        <w:t> </w:t>
      </w:r>
      <w:r>
        <w:rPr>
          <w:rFonts w:ascii="宋体" w:hAnsi="宋体" w:cs="宋体" w:eastAsia="宋体" w:hint="default"/>
        </w:rPr>
        <w:t>50050</w:t>
      </w:r>
      <w:r>
        <w:rPr>
          <w:rFonts w:ascii="宋体" w:hAnsi="宋体" w:cs="宋体" w:eastAsia="宋体" w:hint="default"/>
          <w:spacing w:val="-55"/>
        </w:rPr>
        <w:t> </w:t>
      </w:r>
      <w:r>
        <w:rPr/>
        <w:t>万元，公司三大施</w:t>
      </w:r>
    </w:p>
    <w:p>
      <w:pPr>
        <w:pStyle w:val="BodyText"/>
        <w:spacing w:line="272" w:lineRule="exact" w:before="1"/>
        <w:ind w:right="207"/>
        <w:jc w:val="both"/>
      </w:pPr>
      <w:r>
        <w:rPr>
          <w:spacing w:val="-2"/>
        </w:rPr>
        <w:t>工总包业务平台业务拓展能力进一步增强。为增强建筑工业化及建筑建材生产实施能力，年度内</w:t>
      </w:r>
      <w:r>
        <w:rPr>
          <w:spacing w:val="-26"/>
        </w:rPr>
        <w:t> </w:t>
      </w:r>
      <w:r>
        <w:rPr>
          <w:spacing w:val="-26"/>
        </w:rPr>
      </w:r>
      <w:r>
        <w:rPr/>
        <w:t>公司对控股子公司广天构件现金增资 </w:t>
      </w:r>
      <w:r>
        <w:rPr>
          <w:rFonts w:ascii="宋体" w:hAnsi="宋体" w:cs="宋体" w:eastAsia="宋体" w:hint="default"/>
        </w:rPr>
        <w:t>7764</w:t>
      </w:r>
      <w:r>
        <w:rPr>
          <w:rFonts w:ascii="宋体" w:hAnsi="宋体" w:cs="宋体" w:eastAsia="宋体" w:hint="default"/>
          <w:spacing w:val="-62"/>
        </w:rPr>
        <w:t> </w:t>
      </w:r>
      <w:r>
        <w:rPr>
          <w:spacing w:val="-6"/>
        </w:rPr>
        <w:t>万元，并受让了部分自然人持有的股份，增资及股份受</w:t>
      </w:r>
    </w:p>
    <w:p>
      <w:pPr>
        <w:pStyle w:val="BodyText"/>
        <w:spacing w:line="272" w:lineRule="exact" w:before="1"/>
        <w:ind w:right="217"/>
        <w:jc w:val="both"/>
      </w:pPr>
      <w:r>
        <w:rPr/>
        <w:t>让后广天构件注册资本增加到</w:t>
      </w:r>
      <w:r>
        <w:rPr>
          <w:spacing w:val="-55"/>
        </w:rPr>
        <w:t> </w:t>
      </w:r>
      <w:r>
        <w:rPr>
          <w:rFonts w:ascii="宋体" w:hAnsi="宋体" w:cs="宋体" w:eastAsia="宋体" w:hint="default"/>
        </w:rPr>
        <w:t>5364.5</w:t>
      </w:r>
      <w:r>
        <w:rPr>
          <w:rFonts w:ascii="宋体" w:hAnsi="宋体" w:cs="宋体" w:eastAsia="宋体" w:hint="default"/>
          <w:spacing w:val="-56"/>
        </w:rPr>
        <w:t> </w:t>
      </w:r>
      <w:r>
        <w:rPr/>
        <w:t>万元，公司持股比例由</w:t>
      </w:r>
      <w:r>
        <w:rPr>
          <w:spacing w:val="-55"/>
        </w:rPr>
        <w:t> </w:t>
      </w:r>
      <w:r>
        <w:rPr>
          <w:rFonts w:ascii="宋体" w:hAnsi="宋体" w:cs="宋体" w:eastAsia="宋体" w:hint="default"/>
        </w:rPr>
        <w:t>60.69%</w:t>
      </w:r>
      <w:r>
        <w:rPr/>
        <w:t>增加到</w:t>
      </w:r>
      <w:r>
        <w:rPr>
          <w:spacing w:val="-56"/>
        </w:rPr>
        <w:t> </w:t>
      </w:r>
      <w:r>
        <w:rPr>
          <w:rFonts w:ascii="宋体" w:hAnsi="宋体" w:cs="宋体" w:eastAsia="宋体" w:hint="default"/>
        </w:rPr>
        <w:t>74.77%</w:t>
      </w:r>
      <w:r>
        <w:rPr/>
        <w:t>，广天构件治</w:t>
      </w:r>
      <w:r>
        <w:rPr>
          <w:w w:val="100"/>
        </w:rPr>
        <w:t> </w:t>
      </w:r>
      <w:r>
        <w:rPr>
          <w:spacing w:val="-2"/>
        </w:rPr>
        <w:t>理结构更趋合理。为凸显建筑设计的产业引领作用，年度内向明州设计院进行了增资，明州设计</w:t>
      </w:r>
    </w:p>
    <w:p>
      <w:pPr>
        <w:pStyle w:val="BodyText"/>
        <w:spacing w:line="272" w:lineRule="exact" w:before="1"/>
        <w:ind w:left="558" w:right="105" w:hanging="420"/>
        <w:jc w:val="left"/>
      </w:pPr>
      <w:r>
        <w:rPr/>
        <w:t>院注册资本由</w:t>
      </w:r>
      <w:r>
        <w:rPr>
          <w:spacing w:val="-53"/>
        </w:rPr>
        <w:t> </w:t>
      </w:r>
      <w:r>
        <w:rPr>
          <w:rFonts w:ascii="宋体" w:hAnsi="宋体" w:cs="宋体" w:eastAsia="宋体" w:hint="default"/>
        </w:rPr>
        <w:t>300</w:t>
      </w:r>
      <w:r>
        <w:rPr>
          <w:rFonts w:ascii="宋体" w:hAnsi="宋体" w:cs="宋体" w:eastAsia="宋体" w:hint="default"/>
          <w:spacing w:val="-53"/>
        </w:rPr>
        <w:t> </w:t>
      </w:r>
      <w:r>
        <w:rPr/>
        <w:t>万元增加到</w:t>
      </w:r>
      <w:r>
        <w:rPr>
          <w:spacing w:val="-52"/>
        </w:rPr>
        <w:t> </w:t>
      </w:r>
      <w:r>
        <w:rPr>
          <w:rFonts w:ascii="宋体" w:hAnsi="宋体" w:cs="宋体" w:eastAsia="宋体" w:hint="default"/>
        </w:rPr>
        <w:t>1000</w:t>
      </w:r>
      <w:r>
        <w:rPr>
          <w:rFonts w:ascii="宋体" w:hAnsi="宋体" w:cs="宋体" w:eastAsia="宋体" w:hint="default"/>
          <w:spacing w:val="-55"/>
        </w:rPr>
        <w:t> </w:t>
      </w:r>
      <w:r>
        <w:rPr/>
        <w:t>万元。</w:t>
      </w:r>
      <w:r>
        <w:rPr>
          <w:w w:val="100"/>
        </w:rPr>
        <w:t> </w:t>
      </w:r>
      <w:r>
        <w:rPr>
          <w:rFonts w:ascii="宋体" w:hAnsi="宋体" w:cs="宋体" w:eastAsia="宋体" w:hint="default"/>
          <w:spacing w:val="-9"/>
          <w:w w:val="100"/>
        </w:rPr>
        <w:t>4</w:t>
      </w:r>
      <w:r>
        <w:rPr>
          <w:spacing w:val="-9"/>
          <w:w w:val="100"/>
        </w:rPr>
        <w:t>、技术优势明显。公司设有两个浙江省级企业技术中心，拥有一大批包括教授级高级工程师、</w:t>
      </w:r>
    </w:p>
    <w:p>
      <w:pPr>
        <w:pStyle w:val="BodyText"/>
        <w:spacing w:line="272" w:lineRule="exact" w:before="1"/>
        <w:ind w:right="207"/>
        <w:jc w:val="both"/>
      </w:pPr>
      <w:r>
        <w:rPr>
          <w:spacing w:val="-2"/>
        </w:rPr>
        <w:t>高级工程师、一级注册建造师、一级注册建筑师、一级注册结构师等高级技术人员，为生产经营</w:t>
      </w:r>
      <w:r>
        <w:rPr>
          <w:spacing w:val="-25"/>
        </w:rPr>
        <w:t> </w:t>
      </w:r>
      <w:r>
        <w:rPr>
          <w:spacing w:val="-25"/>
        </w:rPr>
      </w:r>
      <w:r>
        <w:rPr>
          <w:spacing w:val="-3"/>
        </w:rPr>
        <w:t>提供了强大的技术支持。多年来获得了大量技术研发成果，部分已应用于生产实际。</w:t>
      </w:r>
      <w:r>
        <w:rPr>
          <w:rFonts w:ascii="宋体" w:hAnsi="宋体" w:cs="宋体" w:eastAsia="宋体" w:hint="default"/>
          <w:spacing w:val="-3"/>
        </w:rPr>
        <w:t>2017</w:t>
      </w:r>
      <w:r>
        <w:rPr>
          <w:rFonts w:ascii="宋体" w:hAnsi="宋体" w:cs="宋体" w:eastAsia="宋体" w:hint="default"/>
          <w:spacing w:val="21"/>
        </w:rPr>
        <w:t> </w:t>
      </w:r>
      <w:r>
        <w:rPr/>
        <w:t>年公司</w:t>
      </w:r>
    </w:p>
    <w:p>
      <w:pPr>
        <w:pStyle w:val="BodyText"/>
        <w:spacing w:line="272" w:lineRule="exact" w:before="1"/>
        <w:ind w:right="207"/>
        <w:jc w:val="both"/>
        <w:rPr>
          <w:rFonts w:ascii="宋体" w:hAnsi="宋体" w:cs="宋体" w:eastAsia="宋体" w:hint="default"/>
        </w:rPr>
      </w:pPr>
      <w:r>
        <w:rPr/>
        <w:t>获得发明专利</w:t>
      </w:r>
      <w:r>
        <w:rPr>
          <w:spacing w:val="-47"/>
        </w:rPr>
        <w:t> </w:t>
      </w:r>
      <w:r>
        <w:rPr>
          <w:rFonts w:ascii="宋体" w:hAnsi="宋体" w:cs="宋体" w:eastAsia="宋体" w:hint="default"/>
        </w:rPr>
        <w:t>9</w:t>
      </w:r>
      <w:r>
        <w:rPr>
          <w:rFonts w:ascii="宋体" w:hAnsi="宋体" w:cs="宋体" w:eastAsia="宋体" w:hint="default"/>
          <w:spacing w:val="-49"/>
        </w:rPr>
        <w:t> </w:t>
      </w:r>
      <w:r>
        <w:rPr>
          <w:spacing w:val="-5"/>
        </w:rPr>
        <w:t>项，实用新型专利</w:t>
      </w:r>
      <w:r>
        <w:rPr>
          <w:spacing w:val="-45"/>
        </w:rPr>
        <w:t> </w:t>
      </w:r>
      <w:r>
        <w:rPr>
          <w:rFonts w:ascii="宋体" w:hAnsi="宋体" w:cs="宋体" w:eastAsia="宋体" w:hint="default"/>
        </w:rPr>
        <w:t>38</w:t>
      </w:r>
      <w:r>
        <w:rPr>
          <w:rFonts w:ascii="宋体" w:hAnsi="宋体" w:cs="宋体" w:eastAsia="宋体" w:hint="default"/>
          <w:spacing w:val="-47"/>
        </w:rPr>
        <w:t> </w:t>
      </w:r>
      <w:r>
        <w:rPr>
          <w:spacing w:val="-5"/>
        </w:rPr>
        <w:t>项，获评省级工法</w:t>
      </w:r>
      <w:r>
        <w:rPr>
          <w:spacing w:val="-45"/>
        </w:rPr>
        <w:t> </w:t>
      </w:r>
      <w:r>
        <w:rPr>
          <w:rFonts w:ascii="宋体" w:hAnsi="宋体" w:cs="宋体" w:eastAsia="宋体" w:hint="default"/>
        </w:rPr>
        <w:t>9</w:t>
      </w:r>
      <w:r>
        <w:rPr>
          <w:rFonts w:ascii="宋体" w:hAnsi="宋体" w:cs="宋体" w:eastAsia="宋体" w:hint="default"/>
          <w:spacing w:val="-49"/>
        </w:rPr>
        <w:t> </w:t>
      </w:r>
      <w:r>
        <w:rPr>
          <w:spacing w:val="-4"/>
        </w:rPr>
        <w:t>项，主编参编行业标准</w:t>
      </w:r>
      <w:r>
        <w:rPr>
          <w:spacing w:val="-45"/>
        </w:rPr>
        <w:t> </w:t>
      </w:r>
      <w:r>
        <w:rPr>
          <w:rFonts w:ascii="宋体" w:hAnsi="宋体" w:cs="宋体" w:eastAsia="宋体" w:hint="default"/>
        </w:rPr>
        <w:t>2</w:t>
      </w:r>
      <w:r>
        <w:rPr>
          <w:rFonts w:ascii="宋体" w:hAnsi="宋体" w:cs="宋体" w:eastAsia="宋体" w:hint="default"/>
          <w:spacing w:val="-49"/>
        </w:rPr>
        <w:t> </w:t>
      </w:r>
      <w:r>
        <w:rPr>
          <w:spacing w:val="-5"/>
        </w:rPr>
        <w:t>项。科研项目</w:t>
      </w:r>
      <w:r>
        <w:rPr>
          <w:spacing w:val="-103"/>
        </w:rPr>
        <w:t> </w:t>
      </w:r>
      <w:r>
        <w:rPr>
          <w:spacing w:val="-103"/>
        </w:rPr>
      </w:r>
      <w:r>
        <w:rPr>
          <w:spacing w:val="-5"/>
          <w:w w:val="100"/>
        </w:rPr>
        <w:t>“超高层弧形外墙施工技术研究”获得中国施工企业协会科学技术奖创新成果二等奖。《建筑</w:t>
      </w:r>
      <w:r>
        <w:rPr>
          <w:spacing w:val="-50"/>
          <w:w w:val="100"/>
        </w:rPr>
        <w:t> </w:t>
      </w:r>
      <w:r>
        <w:rPr>
          <w:rFonts w:ascii="宋体" w:hAnsi="宋体" w:cs="宋体" w:eastAsia="宋体" w:hint="default"/>
          <w:spacing w:val="-1"/>
          <w:w w:val="100"/>
        </w:rPr>
        <w:t>BIM</w:t>
      </w:r>
    </w:p>
    <w:p>
      <w:pPr>
        <w:pStyle w:val="BodyText"/>
        <w:spacing w:line="249" w:lineRule="exact"/>
        <w:ind w:right="105"/>
        <w:jc w:val="left"/>
      </w:pPr>
      <w:r>
        <w:rPr/>
        <w:t>技术在宁波城市展览馆工程中应用的技术研究》被列为浙江省技术创新协会重点项目。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1259" w:val="left" w:leader="none"/>
        </w:tabs>
        <w:spacing w:line="240" w:lineRule="auto" w:before="0"/>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105"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国内经济经过三十多年的高速发展，工业化、城镇化水平极大提升，发展阶段已由高速增长</w:t>
      </w:r>
    </w:p>
    <w:p>
      <w:pPr>
        <w:pStyle w:val="BodyText"/>
        <w:spacing w:line="226" w:lineRule="exact"/>
        <w:ind w:right="105"/>
        <w:jc w:val="left"/>
      </w:pPr>
      <w:r>
        <w:rPr/>
        <w:t>转向高质量发展，社会主要矛盾已经转化为人民日益增长的美好生活需要和不平衡不充分的发展</w:t>
      </w:r>
    </w:p>
    <w:p>
      <w:pPr>
        <w:pStyle w:val="BodyText"/>
        <w:spacing w:line="237" w:lineRule="auto" w:before="2"/>
        <w:ind w:right="217"/>
        <w:jc w:val="both"/>
      </w:pPr>
      <w:r>
        <w:rPr>
          <w:spacing w:val="-2"/>
        </w:rPr>
        <w:t>之间的矛盾，作为我国经济支柱型产业的建筑业也正经历着转变发展方式、优化产业结构、转换</w:t>
      </w:r>
      <w:r>
        <w:rPr>
          <w:spacing w:val="-26"/>
        </w:rPr>
        <w:t> </w:t>
      </w:r>
      <w:r>
        <w:rPr>
          <w:spacing w:val="-26"/>
        </w:rPr>
      </w:r>
      <w:r>
        <w:rPr>
          <w:spacing w:val="-2"/>
        </w:rPr>
        <w:t>增长动力的攻关期。新型城镇化更加注重优质高效、节能环保，践行新发展理念、高质量的推进</w:t>
      </w:r>
      <w:r>
        <w:rPr>
          <w:spacing w:val="-25"/>
        </w:rPr>
        <w:t> </w:t>
      </w:r>
      <w:r>
        <w:rPr>
          <w:spacing w:val="-25"/>
        </w:rPr>
      </w:r>
      <w:r>
        <w:rPr>
          <w:spacing w:val="-2"/>
        </w:rPr>
        <w:t>“创新、协调、绿色、开放、共享”的新型城镇化建设为传统建筑企业的转型升级提出了要求、</w:t>
      </w:r>
      <w:r>
        <w:rPr>
          <w:spacing w:val="-25"/>
        </w:rPr>
        <w:t> </w:t>
      </w:r>
      <w:r>
        <w:rPr>
          <w:spacing w:val="-25"/>
        </w:rPr>
      </w:r>
      <w:r>
        <w:rPr/>
        <w:t>指明了方向。</w:t>
      </w:r>
    </w:p>
    <w:p>
      <w:pPr>
        <w:pStyle w:val="BodyText"/>
        <w:spacing w:line="272" w:lineRule="exact" w:before="26"/>
        <w:ind w:right="217" w:firstLine="419"/>
        <w:jc w:val="both"/>
      </w:pPr>
      <w:r>
        <w:rPr>
          <w:spacing w:val="-2"/>
        </w:rPr>
        <w:t>报告期公司继续坚持以科学发展为指导，重点做好促改革、调结构、添动力、控风险。坚持</w:t>
      </w:r>
      <w:r>
        <w:rPr>
          <w:w w:val="100"/>
        </w:rPr>
        <w:t> </w:t>
      </w:r>
      <w:r>
        <w:rPr>
          <w:spacing w:val="-2"/>
        </w:rPr>
        <w:t>以提高企业发展质量效益为中心推进产业结构优化、加快管理模式升级、强化内控建设。紧跟市</w:t>
      </w:r>
    </w:p>
    <w:p>
      <w:pPr>
        <w:spacing w:after="0" w:line="272" w:lineRule="exact"/>
        <w:jc w:val="both"/>
        <w:sectPr>
          <w:footerReference w:type="default" r:id="rId13"/>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210"/>
        <w:jc w:val="both"/>
      </w:pPr>
      <w:r>
        <w:rPr>
          <w:spacing w:val="-7"/>
        </w:rPr>
        <w:t>场步伐深入贯彻“进行品牌经营，巩固本地市场，深耕外地市场，实现大区域发展”的拓展思路，</w:t>
      </w:r>
      <w:r>
        <w:rPr>
          <w:spacing w:val="-13"/>
        </w:rPr>
        <w:t> </w:t>
      </w:r>
      <w:r>
        <w:rPr>
          <w:spacing w:val="-13"/>
        </w:rPr>
      </w:r>
      <w:r>
        <w:rPr>
          <w:spacing w:val="-2"/>
        </w:rPr>
        <w:t>公司大市场、大业主、大项目的市场策略和总承包专业分包营销体系逐步确立，外地拓展取得较</w:t>
      </w:r>
      <w:r>
        <w:rPr>
          <w:spacing w:val="-25"/>
        </w:rPr>
        <w:t> </w:t>
      </w:r>
      <w:r>
        <w:rPr>
          <w:spacing w:val="-25"/>
        </w:rPr>
      </w:r>
      <w:r>
        <w:rPr>
          <w:spacing w:val="-2"/>
        </w:rPr>
        <w:t>好成绩，业务结构进一步获得优化，公司下辖房建、市政、装修、建材几大业务平台管控结构更</w:t>
      </w:r>
      <w:r>
        <w:rPr>
          <w:spacing w:val="-25"/>
        </w:rPr>
        <w:t> </w:t>
      </w:r>
      <w:r>
        <w:rPr>
          <w:spacing w:val="-25"/>
        </w:rPr>
      </w:r>
      <w:r>
        <w:rPr/>
        <w:t>为科学合理、拓展能力进一步加强。</w:t>
      </w:r>
    </w:p>
    <w:p>
      <w:pPr>
        <w:pStyle w:val="BodyText"/>
        <w:spacing w:line="271" w:lineRule="exact"/>
        <w:ind w:left="0" w:right="224"/>
        <w:jc w:val="right"/>
      </w:pPr>
      <w:r>
        <w:rPr>
          <w:rFonts w:ascii="宋体" w:hAnsi="宋体" w:cs="宋体" w:eastAsia="宋体" w:hint="default"/>
        </w:rPr>
        <w:t>2017</w:t>
      </w:r>
      <w:r>
        <w:rPr>
          <w:rFonts w:ascii="宋体" w:hAnsi="宋体" w:cs="宋体" w:eastAsia="宋体" w:hint="default"/>
          <w:spacing w:val="-57"/>
        </w:rPr>
        <w:t> </w:t>
      </w:r>
      <w:r>
        <w:rPr/>
        <w:t>年公司主营业务经营全年承接业务量</w:t>
      </w:r>
      <w:r>
        <w:rPr>
          <w:spacing w:val="-55"/>
        </w:rPr>
        <w:t> </w:t>
      </w:r>
      <w:r>
        <w:rPr>
          <w:rFonts w:ascii="宋体" w:hAnsi="宋体" w:cs="宋体" w:eastAsia="宋体" w:hint="default"/>
        </w:rPr>
        <w:t>227.36</w:t>
      </w:r>
      <w:r>
        <w:rPr>
          <w:rFonts w:ascii="宋体" w:hAnsi="宋体" w:cs="宋体" w:eastAsia="宋体" w:hint="default"/>
          <w:spacing w:val="-57"/>
        </w:rPr>
        <w:t> </w:t>
      </w:r>
      <w:r>
        <w:rPr/>
        <w:t>亿元，同比增长</w:t>
      </w:r>
      <w:r>
        <w:rPr>
          <w:spacing w:val="-55"/>
        </w:rPr>
        <w:t> </w:t>
      </w:r>
      <w:r>
        <w:rPr>
          <w:rFonts w:ascii="宋体" w:hAnsi="宋体" w:cs="宋体" w:eastAsia="宋体" w:hint="default"/>
        </w:rPr>
        <w:t>23.53%</w:t>
      </w:r>
      <w:r>
        <w:rPr/>
        <w:t>，其中承接房建施</w:t>
      </w:r>
    </w:p>
    <w:p>
      <w:pPr>
        <w:pStyle w:val="BodyText"/>
        <w:spacing w:line="272" w:lineRule="exact"/>
        <w:ind w:right="0"/>
        <w:jc w:val="both"/>
        <w:rPr>
          <w:rFonts w:ascii="宋体" w:hAnsi="宋体" w:cs="宋体" w:eastAsia="宋体" w:hint="default"/>
        </w:rPr>
      </w:pPr>
      <w:r>
        <w:rPr/>
        <w:t>工业务</w:t>
      </w:r>
      <w:r>
        <w:rPr>
          <w:spacing w:val="-54"/>
        </w:rPr>
        <w:t> </w:t>
      </w:r>
      <w:r>
        <w:rPr>
          <w:rFonts w:ascii="宋体" w:hAnsi="宋体" w:cs="宋体" w:eastAsia="宋体" w:hint="default"/>
        </w:rPr>
        <w:t>107.08</w:t>
      </w:r>
      <w:r>
        <w:rPr>
          <w:rFonts w:ascii="宋体" w:hAnsi="宋体" w:cs="宋体" w:eastAsia="宋体" w:hint="default"/>
          <w:spacing w:val="-56"/>
        </w:rPr>
        <w:t> </w:t>
      </w:r>
      <w:r>
        <w:rPr/>
        <w:t>亿元、市政园林业务</w:t>
      </w:r>
      <w:r>
        <w:rPr>
          <w:spacing w:val="-53"/>
        </w:rPr>
        <w:t> </w:t>
      </w:r>
      <w:r>
        <w:rPr>
          <w:rFonts w:ascii="宋体" w:hAnsi="宋体" w:cs="宋体" w:eastAsia="宋体" w:hint="default"/>
        </w:rPr>
        <w:t>81.31</w:t>
      </w:r>
      <w:r>
        <w:rPr>
          <w:rFonts w:ascii="宋体" w:hAnsi="宋体" w:cs="宋体" w:eastAsia="宋体" w:hint="default"/>
          <w:spacing w:val="-56"/>
        </w:rPr>
        <w:t> </w:t>
      </w:r>
      <w:r>
        <w:rPr/>
        <w:t>亿元、装饰装修业务</w:t>
      </w:r>
      <w:r>
        <w:rPr>
          <w:spacing w:val="-54"/>
        </w:rPr>
        <w:t> </w:t>
      </w:r>
      <w:r>
        <w:rPr>
          <w:rFonts w:ascii="宋体" w:hAnsi="宋体" w:cs="宋体" w:eastAsia="宋体" w:hint="default"/>
        </w:rPr>
        <w:t>7.78</w:t>
      </w:r>
      <w:r>
        <w:rPr>
          <w:rFonts w:ascii="宋体" w:hAnsi="宋体" w:cs="宋体" w:eastAsia="宋体" w:hint="default"/>
          <w:spacing w:val="-54"/>
        </w:rPr>
        <w:t> </w:t>
      </w:r>
      <w:r>
        <w:rPr/>
        <w:t>亿元、安装工程业务</w:t>
      </w:r>
      <w:r>
        <w:rPr>
          <w:spacing w:val="-53"/>
        </w:rPr>
        <w:t> </w:t>
      </w:r>
      <w:r>
        <w:rPr>
          <w:rFonts w:ascii="宋体" w:hAnsi="宋体" w:cs="宋体" w:eastAsia="宋体" w:hint="default"/>
        </w:rPr>
        <w:t>15.09</w:t>
      </w:r>
    </w:p>
    <w:p>
      <w:pPr>
        <w:pStyle w:val="BodyText"/>
        <w:spacing w:line="237" w:lineRule="auto"/>
        <w:ind w:right="208"/>
        <w:jc w:val="both"/>
      </w:pPr>
      <w:r>
        <w:rPr/>
        <w:t>亿元、钢结构</w:t>
      </w:r>
      <w:r>
        <w:rPr>
          <w:spacing w:val="-54"/>
        </w:rPr>
        <w:t> </w:t>
      </w:r>
      <w:r>
        <w:rPr>
          <w:rFonts w:ascii="宋体" w:hAnsi="宋体" w:cs="宋体" w:eastAsia="宋体" w:hint="default"/>
        </w:rPr>
        <w:t>3.15</w:t>
      </w:r>
      <w:r>
        <w:rPr>
          <w:rFonts w:ascii="宋体" w:hAnsi="宋体" w:cs="宋体" w:eastAsia="宋体" w:hint="default"/>
          <w:spacing w:val="-56"/>
        </w:rPr>
        <w:t> </w:t>
      </w:r>
      <w:r>
        <w:rPr/>
        <w:t>亿元、勘察设计</w:t>
      </w:r>
      <w:r>
        <w:rPr>
          <w:spacing w:val="-53"/>
        </w:rPr>
        <w:t> </w:t>
      </w:r>
      <w:r>
        <w:rPr>
          <w:rFonts w:ascii="宋体" w:hAnsi="宋体" w:cs="宋体" w:eastAsia="宋体" w:hint="default"/>
        </w:rPr>
        <w:t>1.41</w:t>
      </w:r>
      <w:r>
        <w:rPr>
          <w:rFonts w:ascii="宋体" w:hAnsi="宋体" w:cs="宋体" w:eastAsia="宋体" w:hint="default"/>
          <w:spacing w:val="-56"/>
        </w:rPr>
        <w:t> </w:t>
      </w:r>
      <w:r>
        <w:rPr/>
        <w:t>亿元，建筑工业化</w:t>
      </w:r>
      <w:r>
        <w:rPr>
          <w:spacing w:val="-54"/>
        </w:rPr>
        <w:t> </w:t>
      </w:r>
      <w:r>
        <w:rPr>
          <w:rFonts w:ascii="宋体" w:hAnsi="宋体" w:cs="宋体" w:eastAsia="宋体" w:hint="default"/>
        </w:rPr>
        <w:t>3.99</w:t>
      </w:r>
      <w:r>
        <w:rPr>
          <w:rFonts w:ascii="宋体" w:hAnsi="宋体" w:cs="宋体" w:eastAsia="宋体" w:hint="default"/>
          <w:spacing w:val="-54"/>
        </w:rPr>
        <w:t> </w:t>
      </w:r>
      <w:r>
        <w:rPr/>
        <w:t>亿元，桩基及其他</w:t>
      </w:r>
      <w:r>
        <w:rPr>
          <w:spacing w:val="-54"/>
        </w:rPr>
        <w:t> </w:t>
      </w:r>
      <w:r>
        <w:rPr>
          <w:rFonts w:ascii="宋体" w:hAnsi="宋体" w:cs="宋体" w:eastAsia="宋体" w:hint="default"/>
        </w:rPr>
        <w:t>7.55</w:t>
      </w:r>
      <w:r>
        <w:rPr>
          <w:rFonts w:ascii="宋体" w:hAnsi="宋体" w:cs="宋体" w:eastAsia="宋体" w:hint="default"/>
          <w:spacing w:val="-56"/>
        </w:rPr>
        <w:t> </w:t>
      </w:r>
      <w:r>
        <w:rPr/>
        <w:t>亿元。</w:t>
      </w:r>
      <w:r>
        <w:rPr>
          <w:w w:val="100"/>
        </w:rPr>
        <w:t> </w:t>
      </w:r>
      <w:r>
        <w:rPr>
          <w:spacing w:val="-2"/>
        </w:rPr>
        <w:t>报告期，公司承接了宁波机场快速路南延工程（绕城高速至岳林东路南）施工Ⅲ标段、Ⅴ标段、</w:t>
      </w:r>
      <w:r>
        <w:rPr>
          <w:spacing w:val="-25"/>
        </w:rPr>
        <w:t> </w:t>
      </w:r>
      <w:r>
        <w:rPr>
          <w:spacing w:val="-25"/>
        </w:rPr>
      </w:r>
      <w:r>
        <w:rPr>
          <w:spacing w:val="-2"/>
          <w:w w:val="100"/>
        </w:rPr>
        <w:t>简阳市东城新区雄州大道提质改造工程</w:t>
      </w:r>
      <w:r>
        <w:rPr>
          <w:w w:val="100"/>
        </w:rPr>
        <w:t> </w:t>
      </w:r>
      <w:r>
        <w:rPr>
          <w:rFonts w:ascii="宋体" w:hAnsi="宋体" w:cs="宋体" w:eastAsia="宋体" w:hint="default"/>
          <w:spacing w:val="-1"/>
          <w:w w:val="100"/>
        </w:rPr>
        <w:t>BLT+EPC</w:t>
      </w:r>
      <w:r>
        <w:rPr>
          <w:rFonts w:ascii="宋体" w:hAnsi="宋体" w:cs="宋体" w:eastAsia="宋体" w:hint="default"/>
          <w:spacing w:val="14"/>
          <w:w w:val="100"/>
        </w:rPr>
        <w:t> </w:t>
      </w:r>
      <w:r>
        <w:rPr>
          <w:spacing w:val="-10"/>
          <w:w w:val="100"/>
        </w:rPr>
        <w:t>项目、蒲江县西河河滨景观建设项目投资（</w:t>
      </w:r>
      <w:r>
        <w:rPr>
          <w:rFonts w:ascii="宋体" w:hAnsi="宋体" w:cs="宋体" w:eastAsia="宋体" w:hint="default"/>
          <w:spacing w:val="-10"/>
          <w:w w:val="100"/>
        </w:rPr>
        <w:t>BLT</w:t>
      </w:r>
      <w:r>
        <w:rPr>
          <w:spacing w:val="-10"/>
          <w:w w:val="100"/>
        </w:rPr>
        <w:t>）</w:t>
      </w:r>
    </w:p>
    <w:p>
      <w:pPr>
        <w:pStyle w:val="BodyText"/>
        <w:spacing w:line="237" w:lineRule="auto" w:before="1"/>
        <w:ind w:right="207"/>
        <w:jc w:val="both"/>
      </w:pPr>
      <w:r>
        <w:rPr>
          <w:rFonts w:ascii="宋体" w:hAnsi="宋体" w:cs="宋体" w:eastAsia="宋体" w:hint="default"/>
          <w:spacing w:val="-4"/>
        </w:rPr>
        <w:t>+</w:t>
      </w:r>
      <w:r>
        <w:rPr>
          <w:spacing w:val="-4"/>
        </w:rPr>
        <w:t>勘察设计施工总承包（</w:t>
      </w:r>
      <w:r>
        <w:rPr>
          <w:rFonts w:ascii="宋体" w:hAnsi="宋体" w:cs="宋体" w:eastAsia="宋体" w:hint="default"/>
          <w:spacing w:val="-4"/>
        </w:rPr>
        <w:t>EPC</w:t>
      </w:r>
      <w:r>
        <w:rPr>
          <w:spacing w:val="-4"/>
        </w:rPr>
        <w:t>）项目、南昌七里滨江勘察、设计、采购、施工总承包（</w:t>
      </w:r>
      <w:r>
        <w:rPr>
          <w:rFonts w:ascii="宋体" w:hAnsi="宋体" w:cs="宋体" w:eastAsia="宋体" w:hint="default"/>
          <w:spacing w:val="-4"/>
        </w:rPr>
        <w:t>EPC</w:t>
      </w:r>
      <w:r>
        <w:rPr>
          <w:spacing w:val="-4"/>
        </w:rPr>
        <w:t>）项目仙</w:t>
      </w:r>
      <w:r>
        <w:rPr>
          <w:spacing w:val="-27"/>
        </w:rPr>
        <w:t> </w:t>
      </w:r>
      <w:r>
        <w:rPr>
          <w:spacing w:val="-27"/>
        </w:rPr>
      </w:r>
      <w:r>
        <w:rPr/>
        <w:t>居县经济开发区工艺小微园及</w:t>
      </w:r>
      <w:r>
        <w:rPr>
          <w:spacing w:val="40"/>
        </w:rPr>
        <w:t> </w:t>
      </w:r>
      <w:r>
        <w:rPr>
          <w:spacing w:val="-8"/>
        </w:rPr>
        <w:t>配套建设项目设计</w:t>
      </w:r>
      <w:r>
        <w:rPr>
          <w:rFonts w:ascii="宋体" w:hAnsi="宋体" w:cs="宋体" w:eastAsia="宋体" w:hint="default"/>
          <w:spacing w:val="-8"/>
        </w:rPr>
        <w:t>-</w:t>
      </w:r>
      <w:r>
        <w:rPr>
          <w:spacing w:val="-8"/>
        </w:rPr>
        <w:t>采购</w:t>
      </w:r>
      <w:r>
        <w:rPr>
          <w:rFonts w:ascii="宋体" w:hAnsi="宋体" w:cs="宋体" w:eastAsia="宋体" w:hint="default"/>
          <w:spacing w:val="-8"/>
        </w:rPr>
        <w:t>-</w:t>
      </w:r>
      <w:r>
        <w:rPr>
          <w:spacing w:val="-8"/>
        </w:rPr>
        <w:t>施工（</w:t>
      </w:r>
      <w:r>
        <w:rPr>
          <w:rFonts w:ascii="宋体" w:hAnsi="宋体" w:cs="宋体" w:eastAsia="宋体" w:hint="default"/>
          <w:spacing w:val="-8"/>
        </w:rPr>
        <w:t>EPC</w:t>
      </w:r>
      <w:r>
        <w:rPr>
          <w:spacing w:val="-8"/>
        </w:rPr>
        <w:t>）总承包工程、宁波南山路（老</w:t>
      </w:r>
      <w:r>
        <w:rPr>
          <w:spacing w:val="-97"/>
        </w:rPr>
        <w:t> </w:t>
      </w:r>
      <w:r>
        <w:rPr>
          <w:spacing w:val="-97"/>
        </w:rPr>
      </w:r>
      <w:r>
        <w:rPr>
          <w:spacing w:val="-4"/>
        </w:rPr>
        <w:t>波导</w:t>
      </w:r>
      <w:r>
        <w:rPr>
          <w:rFonts w:ascii="宋体" w:hAnsi="宋体" w:cs="宋体" w:eastAsia="宋体" w:hint="default"/>
          <w:spacing w:val="-4"/>
        </w:rPr>
        <w:t>-</w:t>
      </w:r>
      <w:r>
        <w:rPr>
          <w:spacing w:val="-4"/>
        </w:rPr>
        <w:t>甬临线）道路改造工程等一系列预期较好的重大项目，其中简阳市东城新区雄州大道提质改</w:t>
      </w:r>
      <w:r>
        <w:rPr>
          <w:spacing w:val="-33"/>
        </w:rPr>
        <w:t> </w:t>
      </w:r>
      <w:r>
        <w:rPr>
          <w:spacing w:val="-33"/>
        </w:rPr>
      </w:r>
      <w:r>
        <w:rPr/>
        <w:t>造工程 </w:t>
      </w:r>
      <w:r>
        <w:rPr>
          <w:rFonts w:ascii="宋体" w:hAnsi="宋体" w:cs="宋体" w:eastAsia="宋体" w:hint="default"/>
        </w:rPr>
        <w:t>BLT+EPC </w:t>
      </w:r>
      <w:r>
        <w:rPr>
          <w:spacing w:val="-3"/>
        </w:rPr>
        <w:t>项目等多个项目为公司市政业务在外省的重大拓展，为公司市政园林业务走出去</w:t>
      </w:r>
      <w:r>
        <w:rPr>
          <w:spacing w:val="-100"/>
        </w:rPr>
        <w:t> </w:t>
      </w:r>
      <w:r>
        <w:rPr>
          <w:spacing w:val="-100"/>
        </w:rPr>
      </w:r>
      <w:r>
        <w:rPr>
          <w:spacing w:val="-2"/>
        </w:rPr>
        <w:t>战略奠定了项目基础。报告期公司深化品牌营销战略，继续深耕国内知名大房企市场，寻求长期</w:t>
      </w:r>
      <w:r>
        <w:rPr>
          <w:spacing w:val="-26"/>
        </w:rPr>
        <w:t> </w:t>
      </w:r>
      <w:r>
        <w:rPr>
          <w:spacing w:val="-26"/>
        </w:rPr>
      </w:r>
      <w:r>
        <w:rPr>
          <w:spacing w:val="-5"/>
        </w:rPr>
        <w:t>稳定合作的大客户，目前已与万科、中海、招商、华润、恒大、碧桂园、港中旅等</w:t>
      </w:r>
      <w:r>
        <w:rPr>
          <w:spacing w:val="-25"/>
        </w:rPr>
        <w:t> </w:t>
      </w:r>
      <w:r>
        <w:rPr>
          <w:rFonts w:ascii="宋体" w:hAnsi="宋体" w:cs="宋体" w:eastAsia="宋体" w:hint="default"/>
        </w:rPr>
        <w:t>20</w:t>
      </w:r>
      <w:r>
        <w:rPr>
          <w:rFonts w:ascii="宋体" w:hAnsi="宋体" w:cs="宋体" w:eastAsia="宋体" w:hint="default"/>
          <w:spacing w:val="-28"/>
        </w:rPr>
        <w:t> </w:t>
      </w:r>
      <w:r>
        <w:rPr/>
        <w:t>余家品牌房</w:t>
      </w:r>
      <w:r>
        <w:rPr>
          <w:spacing w:val="-89"/>
        </w:rPr>
        <w:t> </w:t>
      </w:r>
      <w:r>
        <w:rPr>
          <w:spacing w:val="-89"/>
        </w:rPr>
      </w:r>
      <w:r>
        <w:rPr/>
        <w:t>企建立合作关系。公司建筑主业“走出去”持续推进，</w:t>
      </w:r>
      <w:r>
        <w:rPr>
          <w:rFonts w:ascii="宋体" w:hAnsi="宋体" w:cs="宋体" w:eastAsia="宋体" w:hint="default"/>
        </w:rPr>
        <w:t>2017</w:t>
      </w:r>
      <w:r>
        <w:rPr>
          <w:rFonts w:ascii="宋体" w:hAnsi="宋体" w:cs="宋体" w:eastAsia="宋体" w:hint="default"/>
          <w:spacing w:val="-56"/>
        </w:rPr>
        <w:t> </w:t>
      </w:r>
      <w:r>
        <w:rPr/>
        <w:t>年承接宁波本地业务</w:t>
      </w:r>
      <w:r>
        <w:rPr>
          <w:spacing w:val="-53"/>
        </w:rPr>
        <w:t> </w:t>
      </w:r>
      <w:r>
        <w:rPr>
          <w:rFonts w:ascii="宋体" w:hAnsi="宋体" w:cs="宋体" w:eastAsia="宋体" w:hint="default"/>
        </w:rPr>
        <w:t>138.47</w:t>
      </w:r>
      <w:r>
        <w:rPr>
          <w:rFonts w:ascii="宋体" w:hAnsi="宋体" w:cs="宋体" w:eastAsia="宋体" w:hint="default"/>
          <w:spacing w:val="-54"/>
        </w:rPr>
        <w:t> </w:t>
      </w:r>
      <w:r>
        <w:rPr/>
        <w:t>亿元，</w:t>
      </w:r>
      <w:r>
        <w:rPr>
          <w:w w:val="100"/>
        </w:rPr>
        <w:t> </w:t>
      </w:r>
      <w:r>
        <w:rPr/>
        <w:t>占比</w:t>
      </w:r>
      <w:r>
        <w:rPr>
          <w:spacing w:val="-45"/>
        </w:rPr>
        <w:t> </w:t>
      </w:r>
      <w:r>
        <w:rPr>
          <w:rFonts w:ascii="宋体" w:hAnsi="宋体" w:cs="宋体" w:eastAsia="宋体" w:hint="default"/>
          <w:spacing w:val="-3"/>
        </w:rPr>
        <w:t>60.90%</w:t>
      </w:r>
      <w:r>
        <w:rPr>
          <w:spacing w:val="-3"/>
        </w:rPr>
        <w:t>，宁波以外浙江省内业务</w:t>
      </w:r>
      <w:r>
        <w:rPr>
          <w:spacing w:val="-44"/>
        </w:rPr>
        <w:t> </w:t>
      </w:r>
      <w:r>
        <w:rPr>
          <w:rFonts w:ascii="宋体" w:hAnsi="宋体" w:cs="宋体" w:eastAsia="宋体" w:hint="default"/>
        </w:rPr>
        <w:t>24.66</w:t>
      </w:r>
      <w:r>
        <w:rPr>
          <w:rFonts w:ascii="宋体" w:hAnsi="宋体" w:cs="宋体" w:eastAsia="宋体" w:hint="default"/>
          <w:spacing w:val="-45"/>
        </w:rPr>
        <w:t> </w:t>
      </w:r>
      <w:r>
        <w:rPr>
          <w:spacing w:val="-6"/>
        </w:rPr>
        <w:t>亿元，占比</w:t>
      </w:r>
      <w:r>
        <w:rPr>
          <w:spacing w:val="-44"/>
        </w:rPr>
        <w:t> </w:t>
      </w:r>
      <w:r>
        <w:rPr>
          <w:rFonts w:ascii="宋体" w:hAnsi="宋体" w:cs="宋体" w:eastAsia="宋体" w:hint="default"/>
          <w:spacing w:val="-4"/>
        </w:rPr>
        <w:t>10.85%</w:t>
      </w:r>
      <w:r>
        <w:rPr>
          <w:spacing w:val="-4"/>
        </w:rPr>
        <w:t>，浙江省外项目</w:t>
      </w:r>
      <w:r>
        <w:rPr>
          <w:spacing w:val="-44"/>
        </w:rPr>
        <w:t> </w:t>
      </w:r>
      <w:r>
        <w:rPr>
          <w:rFonts w:ascii="宋体" w:hAnsi="宋体" w:cs="宋体" w:eastAsia="宋体" w:hint="default"/>
        </w:rPr>
        <w:t>64.23</w:t>
      </w:r>
      <w:r>
        <w:rPr>
          <w:rFonts w:ascii="宋体" w:hAnsi="宋体" w:cs="宋体" w:eastAsia="宋体" w:hint="default"/>
          <w:spacing w:val="-45"/>
        </w:rPr>
        <w:t> </w:t>
      </w:r>
      <w:r>
        <w:rPr>
          <w:spacing w:val="-6"/>
        </w:rPr>
        <w:t>亿元，占比</w:t>
      </w:r>
      <w:r>
        <w:rPr>
          <w:spacing w:val="-101"/>
        </w:rPr>
        <w:t> </w:t>
      </w:r>
      <w:r>
        <w:rPr>
          <w:spacing w:val="-101"/>
        </w:rPr>
      </w:r>
      <w:r>
        <w:rPr>
          <w:rFonts w:ascii="宋体" w:hAnsi="宋体" w:cs="宋体" w:eastAsia="宋体" w:hint="default"/>
        </w:rPr>
        <w:t>28.25%</w:t>
      </w:r>
      <w:r>
        <w:rPr/>
        <w:t>。</w:t>
      </w:r>
    </w:p>
    <w:p>
      <w:pPr>
        <w:pStyle w:val="BodyText"/>
        <w:spacing w:line="270" w:lineRule="exact"/>
        <w:ind w:left="0" w:right="210"/>
        <w:jc w:val="righ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3"/>
        </w:rPr>
        <w:t> </w:t>
      </w:r>
      <w:r>
        <w:rPr/>
        <w:t>年建工工程集团承接业务</w:t>
      </w:r>
      <w:r>
        <w:rPr>
          <w:spacing w:val="-49"/>
        </w:rPr>
        <w:t> </w:t>
      </w:r>
      <w:r>
        <w:rPr>
          <w:rFonts w:ascii="宋体" w:hAnsi="宋体" w:cs="宋体" w:eastAsia="宋体" w:hint="default"/>
        </w:rPr>
        <w:t>100.13</w:t>
      </w:r>
      <w:r>
        <w:rPr>
          <w:rFonts w:ascii="宋体" w:hAnsi="宋体" w:cs="宋体" w:eastAsia="宋体" w:hint="default"/>
          <w:spacing w:val="-50"/>
        </w:rPr>
        <w:t> </w:t>
      </w:r>
      <w:r>
        <w:rPr>
          <w:spacing w:val="-11"/>
        </w:rPr>
        <w:t>亿元，其中</w:t>
      </w:r>
      <w:r>
        <w:rPr>
          <w:spacing w:val="-53"/>
        </w:rPr>
        <w:t> </w:t>
      </w:r>
      <w:r>
        <w:rPr>
          <w:rFonts w:ascii="宋体" w:hAnsi="宋体" w:cs="宋体" w:eastAsia="宋体" w:hint="default"/>
        </w:rPr>
        <w:t>EPC</w:t>
      </w:r>
      <w:r>
        <w:rPr>
          <w:rFonts w:ascii="宋体" w:hAnsi="宋体" w:cs="宋体" w:eastAsia="宋体" w:hint="default"/>
          <w:spacing w:val="-50"/>
        </w:rPr>
        <w:t> </w:t>
      </w:r>
      <w:r>
        <w:rPr>
          <w:spacing w:val="-5"/>
        </w:rPr>
        <w:t>业务承接增长迅速，全年承接</w:t>
      </w:r>
      <w:r>
        <w:rPr>
          <w:spacing w:val="-50"/>
        </w:rPr>
        <w:t> </w:t>
      </w:r>
      <w:r>
        <w:rPr>
          <w:rFonts w:ascii="宋体" w:hAnsi="宋体" w:cs="宋体" w:eastAsia="宋体" w:hint="default"/>
        </w:rPr>
        <w:t>6</w:t>
      </w:r>
      <w:r>
        <w:rPr>
          <w:rFonts w:ascii="宋体" w:hAnsi="宋体" w:cs="宋体" w:eastAsia="宋体" w:hint="default"/>
          <w:spacing w:val="-53"/>
        </w:rPr>
        <w:t> </w:t>
      </w:r>
      <w:r>
        <w:rPr/>
        <w:t>个</w:t>
      </w:r>
      <w:r>
        <w:rPr>
          <w:spacing w:val="-50"/>
        </w:rPr>
        <w:t> </w:t>
      </w:r>
      <w:r>
        <w:rPr>
          <w:rFonts w:ascii="宋体" w:hAnsi="宋体" w:cs="宋体" w:eastAsia="宋体" w:hint="default"/>
        </w:rPr>
        <w:t>EPC</w:t>
      </w:r>
    </w:p>
    <w:p>
      <w:pPr>
        <w:pStyle w:val="BodyText"/>
        <w:spacing w:line="272" w:lineRule="exact"/>
        <w:ind w:right="0"/>
        <w:jc w:val="both"/>
      </w:pPr>
      <w:r>
        <w:rPr>
          <w:spacing w:val="-3"/>
        </w:rPr>
        <w:t>项目，总金额</w:t>
      </w:r>
      <w:r>
        <w:rPr>
          <w:spacing w:val="-45"/>
        </w:rPr>
        <w:t> </w:t>
      </w:r>
      <w:r>
        <w:rPr>
          <w:rFonts w:ascii="宋体" w:hAnsi="宋体" w:cs="宋体" w:eastAsia="宋体" w:hint="default"/>
        </w:rPr>
        <w:t>9.64</w:t>
      </w:r>
      <w:r>
        <w:rPr>
          <w:rFonts w:ascii="宋体" w:hAnsi="宋体" w:cs="宋体" w:eastAsia="宋体" w:hint="default"/>
          <w:spacing w:val="-47"/>
        </w:rPr>
        <w:t> </w:t>
      </w:r>
      <w:r>
        <w:rPr>
          <w:spacing w:val="-4"/>
        </w:rPr>
        <w:t>亿元（包括</w:t>
      </w:r>
      <w:r>
        <w:rPr>
          <w:spacing w:val="-44"/>
        </w:rPr>
        <w:t> </w:t>
      </w:r>
      <w:r>
        <w:rPr>
          <w:rFonts w:ascii="宋体" w:hAnsi="宋体" w:cs="宋体" w:eastAsia="宋体" w:hint="default"/>
        </w:rPr>
        <w:t>3</w:t>
      </w:r>
      <w:r>
        <w:rPr>
          <w:rFonts w:ascii="宋体" w:hAnsi="宋体" w:cs="宋体" w:eastAsia="宋体" w:hint="default"/>
          <w:spacing w:val="-47"/>
        </w:rPr>
        <w:t> </w:t>
      </w:r>
      <w:r>
        <w:rPr>
          <w:spacing w:val="-4"/>
        </w:rPr>
        <w:t>个市政项目），比去年增长</w:t>
      </w:r>
      <w:r>
        <w:rPr>
          <w:spacing w:val="-45"/>
        </w:rPr>
        <w:t> </w:t>
      </w:r>
      <w:r>
        <w:rPr>
          <w:rFonts w:ascii="宋体" w:hAnsi="宋体" w:cs="宋体" w:eastAsia="宋体" w:hint="default"/>
        </w:rPr>
        <w:t>157%,</w:t>
      </w:r>
      <w:r>
        <w:rPr/>
        <w:t>成立了装修事业部并首次承接</w:t>
      </w:r>
    </w:p>
    <w:p>
      <w:pPr>
        <w:pStyle w:val="BodyText"/>
        <w:spacing w:line="237" w:lineRule="auto" w:before="2"/>
        <w:ind w:right="104"/>
        <w:jc w:val="left"/>
      </w:pPr>
      <w:r>
        <w:rPr/>
        <w:t>了装修专业工程。年度内实现轨道交通领域业务的破局，承接了宁波市轨道交通</w:t>
      </w:r>
      <w:r>
        <w:rPr>
          <w:spacing w:val="-53"/>
        </w:rPr>
        <w:t> </w:t>
      </w:r>
      <w:r>
        <w:rPr>
          <w:rFonts w:ascii="宋体" w:hAnsi="宋体" w:cs="宋体" w:eastAsia="宋体" w:hint="default"/>
        </w:rPr>
        <w:t>5</w:t>
      </w:r>
      <w:r>
        <w:rPr>
          <w:rFonts w:ascii="宋体" w:hAnsi="宋体" w:cs="宋体" w:eastAsia="宋体" w:hint="default"/>
          <w:spacing w:val="-56"/>
        </w:rPr>
        <w:t> </w:t>
      </w:r>
      <w:r>
        <w:rPr/>
        <w:t>号线一期土建</w:t>
      </w:r>
      <w:r>
        <w:rPr>
          <w:w w:val="100"/>
        </w:rPr>
        <w:t> </w:t>
      </w:r>
      <w:r>
        <w:rPr/>
        <w:t>工程</w:t>
      </w:r>
      <w:r>
        <w:rPr>
          <w:spacing w:val="-53"/>
        </w:rPr>
        <w:t> </w:t>
      </w:r>
      <w:r>
        <w:rPr>
          <w:rFonts w:ascii="宋体" w:hAnsi="宋体" w:cs="宋体" w:eastAsia="宋体" w:hint="default"/>
        </w:rPr>
        <w:t>TJ5106</w:t>
      </w:r>
      <w:r>
        <w:rPr>
          <w:rFonts w:ascii="宋体" w:hAnsi="宋体" w:cs="宋体" w:eastAsia="宋体" w:hint="default"/>
          <w:spacing w:val="-53"/>
        </w:rPr>
        <w:t> </w:t>
      </w:r>
      <w:r>
        <w:rPr/>
        <w:t>标段。品牌房企合作方面取得新进展，除继续与大型房企老客户绿城、中海、恒大、</w:t>
      </w:r>
      <w:r>
        <w:rPr>
          <w:w w:val="100"/>
        </w:rPr>
        <w:t> </w:t>
      </w:r>
      <w:r>
        <w:rPr/>
        <w:t>融创、万科和宋都合作外，安装单位新开拓了华润、美的业务。工程管理创优夺杯取得新成绩，</w:t>
      </w:r>
      <w:r>
        <w:rPr>
          <w:w w:val="100"/>
        </w:rPr>
        <w:t> </w:t>
      </w:r>
      <w:r>
        <w:rPr>
          <w:spacing w:val="-7"/>
        </w:rPr>
        <w:t>获评国家优质工程、中国安装之星、钱江杯省级优质工程等各级荣誉多项，建筑产业化基地获“国</w:t>
      </w:r>
      <w:r>
        <w:rPr>
          <w:spacing w:val="-12"/>
        </w:rPr>
        <w:t> </w:t>
      </w:r>
      <w:r>
        <w:rPr>
          <w:spacing w:val="-12"/>
        </w:rPr>
      </w:r>
      <w:r>
        <w:rPr/>
        <w:t>家级装配式产业基地”认定。</w:t>
      </w:r>
    </w:p>
    <w:p>
      <w:pPr>
        <w:pStyle w:val="BodyText"/>
        <w:spacing w:line="237" w:lineRule="auto"/>
        <w:ind w:right="207" w:firstLine="419"/>
        <w:jc w:val="right"/>
      </w:pPr>
      <w:r>
        <w:rPr>
          <w:spacing w:val="-6"/>
        </w:rPr>
        <w:t>宁波市政集团顺应建筑业发展新常态，致力于“深化改革、创新发展”，全年新接业务</w:t>
      </w:r>
      <w:r>
        <w:rPr>
          <w:spacing w:val="21"/>
        </w:rPr>
        <w:t> </w:t>
      </w:r>
      <w:r>
        <w:rPr>
          <w:rFonts w:ascii="宋体" w:hAnsi="宋体" w:cs="宋体" w:eastAsia="宋体" w:hint="default"/>
        </w:rPr>
        <w:t>77.08</w:t>
      </w:r>
      <w:r>
        <w:rPr>
          <w:rFonts w:ascii="宋体" w:hAnsi="宋体" w:cs="宋体" w:eastAsia="宋体" w:hint="default"/>
          <w:w w:val="100"/>
        </w:rPr>
        <w:t> </w:t>
      </w:r>
      <w:r>
        <w:rPr>
          <w:spacing w:val="-11"/>
        </w:rPr>
        <w:t>亿元，同比增长</w:t>
      </w:r>
      <w:r>
        <w:rPr>
          <w:spacing w:val="-42"/>
        </w:rPr>
        <w:t> </w:t>
      </w:r>
      <w:r>
        <w:rPr>
          <w:rFonts w:ascii="宋体" w:hAnsi="宋体" w:cs="宋体" w:eastAsia="宋体" w:hint="default"/>
          <w:spacing w:val="-11"/>
        </w:rPr>
        <w:t>139.34%</w:t>
      </w:r>
      <w:r>
        <w:rPr>
          <w:spacing w:val="-11"/>
        </w:rPr>
        <w:t>，坚定实施“走出去”战略，全年承接省外业务</w:t>
      </w:r>
      <w:r>
        <w:rPr>
          <w:spacing w:val="-42"/>
        </w:rPr>
        <w:t> </w:t>
      </w:r>
      <w:r>
        <w:rPr>
          <w:rFonts w:ascii="宋体" w:hAnsi="宋体" w:cs="宋体" w:eastAsia="宋体" w:hint="default"/>
        </w:rPr>
        <w:t>30.12</w:t>
      </w:r>
      <w:r>
        <w:rPr>
          <w:rFonts w:ascii="宋体" w:hAnsi="宋体" w:cs="宋体" w:eastAsia="宋体" w:hint="default"/>
          <w:spacing w:val="-45"/>
        </w:rPr>
        <w:t> </w:t>
      </w:r>
      <w:r>
        <w:rPr>
          <w:spacing w:val="-15"/>
        </w:rPr>
        <w:t>亿元，占比</w:t>
      </w:r>
      <w:r>
        <w:rPr>
          <w:spacing w:val="-41"/>
        </w:rPr>
        <w:t> </w:t>
      </w:r>
      <w:r>
        <w:rPr>
          <w:rFonts w:ascii="宋体" w:hAnsi="宋体" w:cs="宋体" w:eastAsia="宋体" w:hint="default"/>
        </w:rPr>
        <w:t>39.08%</w:t>
      </w:r>
      <w:r>
        <w:rPr/>
        <w:t>。</w:t>
      </w:r>
      <w:r>
        <w:rPr>
          <w:w w:val="100"/>
        </w:rPr>
        <w:t> </w:t>
      </w:r>
      <w:r>
        <w:rPr>
          <w:spacing w:val="-2"/>
        </w:rPr>
        <w:t>经过多年积累和努力，报告期市政集团成功晋升为市政公用工程施工总承包特级企业，资质等级</w:t>
      </w:r>
      <w:r>
        <w:rPr>
          <w:spacing w:val="-53"/>
        </w:rPr>
        <w:t> </w:t>
      </w:r>
      <w:r>
        <w:rPr>
          <w:spacing w:val="-53"/>
        </w:rPr>
      </w:r>
      <w:r>
        <w:rPr>
          <w:spacing w:val="-2"/>
        </w:rPr>
        <w:t>和品牌形象大幅提升。同时，工程项目创优夺杯成果丰硕，全年获得浙江省钱江杯、江苏省扬子</w:t>
      </w:r>
      <w:r>
        <w:rPr>
          <w:spacing w:val="-53"/>
        </w:rPr>
        <w:t> </w:t>
      </w:r>
      <w:r>
        <w:rPr>
          <w:spacing w:val="-53"/>
        </w:rPr>
      </w:r>
      <w:r>
        <w:rPr>
          <w:spacing w:val="-2"/>
        </w:rPr>
        <w:t>杯、浙江省市政金奖、省优秀园林工程银奖、甬江杯、市优秀园林工程金奖等各级工程奖多项。</w:t>
      </w:r>
      <w:r>
        <w:rPr>
          <w:spacing w:val="-53"/>
        </w:rPr>
        <w:t> </w:t>
      </w:r>
      <w:r>
        <w:rPr>
          <w:spacing w:val="-53"/>
        </w:rPr>
      </w:r>
      <w:r>
        <w:rPr/>
        <w:t>建工建乐立足基础管理提升企业竞争能力，全年承接业务</w:t>
      </w:r>
      <w:r>
        <w:rPr>
          <w:spacing w:val="-55"/>
        </w:rPr>
        <w:t> </w:t>
      </w:r>
      <w:r>
        <w:rPr>
          <w:rFonts w:ascii="宋体" w:hAnsi="宋体" w:cs="宋体" w:eastAsia="宋体" w:hint="default"/>
        </w:rPr>
        <w:t>41.59</w:t>
      </w:r>
      <w:r>
        <w:rPr>
          <w:rFonts w:ascii="宋体" w:hAnsi="宋体" w:cs="宋体" w:eastAsia="宋体" w:hint="default"/>
          <w:spacing w:val="-55"/>
        </w:rPr>
        <w:t> </w:t>
      </w:r>
      <w:r>
        <w:rPr/>
        <w:t>亿元，报告期完成了对全资</w:t>
      </w:r>
      <w:r>
        <w:rPr>
          <w:w w:val="100"/>
        </w:rPr>
        <w:t> </w:t>
      </w:r>
      <w:r>
        <w:rPr>
          <w:spacing w:val="-2"/>
        </w:rPr>
        <w:t>子公司建乐装潢的吸收合并，进一步整合了工程总承包、装饰装修的管理、技术、业务力量，做</w:t>
      </w:r>
      <w:r>
        <w:rPr>
          <w:spacing w:val="-53"/>
        </w:rPr>
        <w:t> </w:t>
      </w:r>
      <w:r>
        <w:rPr>
          <w:spacing w:val="-53"/>
        </w:rPr>
      </w:r>
      <w:r>
        <w:rPr>
          <w:spacing w:val="-6"/>
        </w:rPr>
        <w:t>实人力资源管理、成本核算管理、质量安全管理，年度内相关项目获评国家优质工程、省钱江杯、</w:t>
      </w:r>
    </w:p>
    <w:p>
      <w:pPr>
        <w:pStyle w:val="BodyText"/>
        <w:spacing w:line="274" w:lineRule="exact" w:before="22"/>
        <w:ind w:left="558" w:right="105" w:hanging="420"/>
        <w:jc w:val="left"/>
      </w:pPr>
      <w:r>
        <w:rPr/>
        <w:t>市甬江杯、市结构优质奖等各级荣誉多项。</w:t>
      </w:r>
      <w:r>
        <w:rPr>
          <w:w w:val="100"/>
        </w:rPr>
        <w:t> </w:t>
      </w:r>
      <w:r>
        <w:rPr>
          <w:spacing w:val="-2"/>
        </w:rPr>
        <w:t>广天构件积极应对供给侧改革，加强制度建设，完成了增资扩股，骨干员工增资入股优化了</w:t>
      </w:r>
    </w:p>
    <w:p>
      <w:pPr>
        <w:pStyle w:val="BodyText"/>
        <w:spacing w:line="246" w:lineRule="exact"/>
        <w:ind w:right="0"/>
        <w:jc w:val="both"/>
      </w:pPr>
      <w:r>
        <w:rPr/>
        <w:t>持股结构，增强了发展动力。在确保传统建材业务市场地位的同时，深度融入宁波市轨道交通建</w:t>
      </w:r>
    </w:p>
    <w:p>
      <w:pPr>
        <w:pStyle w:val="BodyText"/>
        <w:spacing w:line="272" w:lineRule="exact" w:before="27"/>
        <w:ind w:left="558" w:right="213" w:hanging="420"/>
        <w:jc w:val="left"/>
      </w:pPr>
      <w:r>
        <w:rPr/>
        <w:t>设发展，目前已成为国内首家具备生产全系列地铁盾构管片的供应商。</w:t>
      </w:r>
      <w:r>
        <w:rPr>
          <w:w w:val="100"/>
        </w:rPr>
        <w:t> </w:t>
      </w:r>
      <w:r>
        <w:rPr/>
        <w:t>报告期公司及子公司荣获“《财富》中国</w:t>
      </w:r>
      <w:r>
        <w:rPr>
          <w:spacing w:val="-54"/>
        </w:rPr>
        <w:t> </w:t>
      </w:r>
      <w:r>
        <w:rPr>
          <w:rFonts w:ascii="宋体" w:hAnsi="宋体" w:cs="宋体" w:eastAsia="宋体" w:hint="default"/>
        </w:rPr>
        <w:t>500</w:t>
      </w:r>
      <w:r>
        <w:rPr>
          <w:rFonts w:ascii="宋体" w:hAnsi="宋体" w:cs="宋体" w:eastAsia="宋体" w:hint="default"/>
          <w:spacing w:val="-56"/>
        </w:rPr>
        <w:t> </w:t>
      </w:r>
      <w:r>
        <w:rPr/>
        <w:t>强”、“全国装饰百强企业”、“全国幕墙百</w:t>
      </w:r>
    </w:p>
    <w:p>
      <w:pPr>
        <w:pStyle w:val="BodyText"/>
        <w:spacing w:line="272" w:lineRule="exact" w:before="1"/>
        <w:ind w:right="105"/>
        <w:jc w:val="left"/>
      </w:pPr>
      <w:r>
        <w:rPr/>
        <w:t>强企业”、“全国装配式建筑产业基地”、“</w:t>
      </w:r>
      <w:r>
        <w:rPr>
          <w:rFonts w:ascii="宋体" w:hAnsi="宋体" w:cs="宋体" w:eastAsia="宋体" w:hint="default"/>
        </w:rPr>
        <w:t>2017</w:t>
      </w:r>
      <w:r>
        <w:rPr>
          <w:rFonts w:ascii="宋体" w:hAnsi="宋体" w:cs="宋体" w:eastAsia="宋体" w:hint="default"/>
          <w:spacing w:val="-10"/>
        </w:rPr>
        <w:t> </w:t>
      </w:r>
      <w:r>
        <w:rPr/>
        <w:t>年度全国建设质量管理小组活动优秀企业”、</w:t>
      </w:r>
      <w:r>
        <w:rPr>
          <w:spacing w:val="-94"/>
        </w:rPr>
        <w:t> </w:t>
      </w:r>
      <w:r>
        <w:rPr>
          <w:spacing w:val="-94"/>
        </w:rPr>
      </w:r>
      <w:r>
        <w:rPr>
          <w:spacing w:val="-11"/>
          <w:w w:val="100"/>
        </w:rPr>
        <w:t>“中国混凝土行业优秀企业”、“中国混凝土行业绿色生产示范企业”、“浙江省综合百强企业”、</w:t>
      </w:r>
      <w:r>
        <w:rPr>
          <w:spacing w:val="-92"/>
          <w:w w:val="100"/>
        </w:rPr>
        <w:t> </w:t>
      </w:r>
      <w:r>
        <w:rPr>
          <w:spacing w:val="-92"/>
          <w:w w:val="100"/>
        </w:rPr>
      </w:r>
      <w:r>
        <w:rPr>
          <w:spacing w:val="-11"/>
          <w:w w:val="100"/>
        </w:rPr>
        <w:t>“浙江省建筑业先进企业”、“浙江省住宅全装修产业链示范企业”、“宁波市走出去先进企业”、</w:t>
      </w:r>
    </w:p>
    <w:p>
      <w:pPr>
        <w:pStyle w:val="BodyText"/>
        <w:spacing w:line="247" w:lineRule="exact"/>
        <w:ind w:right="0"/>
        <w:jc w:val="both"/>
      </w:pPr>
      <w:r>
        <w:rPr/>
        <w:t>“宁波市制造业百强”、“宁波市轨道交通立功竞赛年度金质材料供应商”等多项荣誉。</w:t>
      </w:r>
    </w:p>
    <w:p>
      <w:pPr>
        <w:pStyle w:val="BodyText"/>
        <w:spacing w:line="272" w:lineRule="exact"/>
        <w:ind w:left="0" w:right="226"/>
        <w:jc w:val="right"/>
      </w:pPr>
      <w:r>
        <w:rPr>
          <w:rFonts w:ascii="宋体" w:hAnsi="宋体" w:cs="宋体" w:eastAsia="宋体" w:hint="default"/>
        </w:rPr>
        <w:t>2017</w:t>
      </w:r>
      <w:r>
        <w:rPr>
          <w:rFonts w:ascii="宋体" w:hAnsi="宋体" w:cs="宋体" w:eastAsia="宋体" w:hint="default"/>
          <w:spacing w:val="-56"/>
        </w:rPr>
        <w:t> </w:t>
      </w:r>
      <w:r>
        <w:rPr/>
        <w:t>年公司的技术研发及信息化工作取得新进展。公司获得发明专利</w:t>
      </w:r>
      <w:r>
        <w:rPr>
          <w:spacing w:val="-54"/>
        </w:rPr>
        <w:t> </w:t>
      </w:r>
      <w:r>
        <w:rPr>
          <w:rFonts w:ascii="宋体" w:hAnsi="宋体" w:cs="宋体" w:eastAsia="宋体" w:hint="default"/>
        </w:rPr>
        <w:t>9</w:t>
      </w:r>
      <w:r>
        <w:rPr>
          <w:rFonts w:ascii="宋体" w:hAnsi="宋体" w:cs="宋体" w:eastAsia="宋体" w:hint="default"/>
          <w:spacing w:val="-55"/>
        </w:rPr>
        <w:t> </w:t>
      </w:r>
      <w:r>
        <w:rPr/>
        <w:t>项，实用新型专利</w:t>
      </w:r>
    </w:p>
    <w:p>
      <w:pPr>
        <w:pStyle w:val="BodyText"/>
        <w:spacing w:line="237" w:lineRule="auto" w:before="2"/>
        <w:ind w:right="210"/>
        <w:jc w:val="both"/>
      </w:pPr>
      <w:r>
        <w:rPr>
          <w:rFonts w:ascii="宋体" w:hAnsi="宋体" w:cs="宋体" w:eastAsia="宋体" w:hint="default"/>
        </w:rPr>
        <w:t>38</w:t>
      </w:r>
      <w:r>
        <w:rPr>
          <w:rFonts w:ascii="宋体" w:hAnsi="宋体" w:cs="宋体" w:eastAsia="宋体" w:hint="default"/>
          <w:spacing w:val="-41"/>
        </w:rPr>
        <w:t> </w:t>
      </w:r>
      <w:r>
        <w:rPr>
          <w:spacing w:val="-3"/>
        </w:rPr>
        <w:t>项，获评省级工法</w:t>
      </w:r>
      <w:r>
        <w:rPr>
          <w:spacing w:val="-41"/>
        </w:rPr>
        <w:t> </w:t>
      </w:r>
      <w:r>
        <w:rPr>
          <w:rFonts w:ascii="宋体" w:hAnsi="宋体" w:cs="宋体" w:eastAsia="宋体" w:hint="default"/>
        </w:rPr>
        <w:t>9</w:t>
      </w:r>
      <w:r>
        <w:rPr>
          <w:rFonts w:ascii="宋体" w:hAnsi="宋体" w:cs="宋体" w:eastAsia="宋体" w:hint="default"/>
          <w:spacing w:val="-42"/>
        </w:rPr>
        <w:t> </w:t>
      </w:r>
      <w:r>
        <w:rPr>
          <w:spacing w:val="-3"/>
        </w:rPr>
        <w:t>项，主编参编行业标准</w:t>
      </w:r>
      <w:r>
        <w:rPr>
          <w:spacing w:val="-41"/>
        </w:rPr>
        <w:t> </w:t>
      </w:r>
      <w:r>
        <w:rPr>
          <w:rFonts w:ascii="宋体" w:hAnsi="宋体" w:cs="宋体" w:eastAsia="宋体" w:hint="default"/>
        </w:rPr>
        <w:t>2</w:t>
      </w:r>
      <w:r>
        <w:rPr>
          <w:rFonts w:ascii="宋体" w:hAnsi="宋体" w:cs="宋体" w:eastAsia="宋体" w:hint="default"/>
          <w:spacing w:val="-43"/>
        </w:rPr>
        <w:t> </w:t>
      </w:r>
      <w:r>
        <w:rPr>
          <w:spacing w:val="-3"/>
        </w:rPr>
        <w:t>项。科研项目“超高层弧形外墙施工技术研究”</w:t>
      </w:r>
      <w:r>
        <w:rPr>
          <w:spacing w:val="-100"/>
        </w:rPr>
        <w:t> </w:t>
      </w:r>
      <w:r>
        <w:rPr>
          <w:spacing w:val="-100"/>
        </w:rPr>
      </w:r>
      <w:r>
        <w:rPr/>
        <w:t>获得中国施工企业协会科学技术奖创新成果二等奖。《建筑</w:t>
      </w:r>
      <w:r>
        <w:rPr>
          <w:spacing w:val="-55"/>
        </w:rPr>
        <w:t> </w:t>
      </w:r>
      <w:r>
        <w:rPr>
          <w:rFonts w:ascii="宋体" w:hAnsi="宋体" w:cs="宋体" w:eastAsia="宋体" w:hint="default"/>
        </w:rPr>
        <w:t>BIM</w:t>
      </w:r>
      <w:r>
        <w:rPr>
          <w:rFonts w:ascii="宋体" w:hAnsi="宋体" w:cs="宋体" w:eastAsia="宋体" w:hint="default"/>
          <w:spacing w:val="-55"/>
        </w:rPr>
        <w:t> </w:t>
      </w:r>
      <w:r>
        <w:rPr/>
        <w:t>技术在宁波城市展览馆工程中应</w:t>
      </w:r>
      <w:r>
        <w:rPr>
          <w:w w:val="100"/>
        </w:rPr>
        <w:t> </w:t>
      </w:r>
      <w:r>
        <w:rPr>
          <w:spacing w:val="-2"/>
        </w:rPr>
        <w:t>用的技术研究》被列为浙江省技术创新协会重点项目。公司信息化系统深入对接各业务单元管理</w:t>
      </w:r>
      <w:r>
        <w:rPr>
          <w:spacing w:val="-25"/>
        </w:rPr>
        <w:t> </w:t>
      </w:r>
      <w:r>
        <w:rPr>
          <w:spacing w:val="-25"/>
        </w:rPr>
      </w:r>
      <w:r>
        <w:rPr/>
        <w:t>要求，进一步把</w:t>
      </w:r>
      <w:r>
        <w:rPr>
          <w:spacing w:val="-57"/>
        </w:rPr>
        <w:t> </w:t>
      </w:r>
      <w:r>
        <w:rPr>
          <w:rFonts w:ascii="宋体" w:hAnsi="宋体" w:cs="宋体" w:eastAsia="宋体" w:hint="default"/>
        </w:rPr>
        <w:t>OA</w:t>
      </w:r>
      <w:r>
        <w:rPr/>
        <w:t>、人力资源、</w:t>
      </w:r>
      <w:r>
        <w:rPr>
          <w:rFonts w:ascii="宋体" w:hAnsi="宋体" w:cs="宋体" w:eastAsia="宋体" w:hint="default"/>
        </w:rPr>
        <w:t>ERP</w:t>
      </w:r>
      <w:r>
        <w:rPr/>
        <w:t>、微信移动端企业办公、查询、管理平台的开发、应用实用</w:t>
      </w:r>
      <w:r>
        <w:rPr>
          <w:w w:val="100"/>
        </w:rPr>
        <w:t> </w:t>
      </w:r>
      <w:r>
        <w:rPr>
          <w:spacing w:val="-2"/>
        </w:rPr>
        <w:t>化、标准化。重新设计开发了票据管理、收付款管理与成本报表，将项目管理与票据管理、资金</w:t>
      </w:r>
      <w:r>
        <w:rPr>
          <w:spacing w:val="-27"/>
        </w:rPr>
        <w:t> </w:t>
      </w:r>
      <w:r>
        <w:rPr>
          <w:spacing w:val="-27"/>
        </w:rPr>
      </w:r>
      <w:r>
        <w:rPr>
          <w:spacing w:val="-2"/>
        </w:rPr>
        <w:t>收支优化集成，建立整个项目管理的闭环流程管理。同时信息化助力技术研发，从技术解决、成</w:t>
      </w:r>
      <w:r>
        <w:rPr>
          <w:spacing w:val="-27"/>
        </w:rPr>
        <w:t> </w:t>
      </w:r>
      <w:r>
        <w:rPr>
          <w:spacing w:val="-27"/>
        </w:rPr>
      </w:r>
      <w:r>
        <w:rPr/>
        <w:t>本要素管理、经营宣传等方面推进公司</w:t>
      </w:r>
      <w:r>
        <w:rPr>
          <w:spacing w:val="-54"/>
        </w:rPr>
        <w:t> </w:t>
      </w:r>
      <w:r>
        <w:rPr>
          <w:rFonts w:ascii="宋体" w:hAnsi="宋体" w:cs="宋体" w:eastAsia="宋体" w:hint="default"/>
        </w:rPr>
        <w:t>BIM</w:t>
      </w:r>
      <w:r>
        <w:rPr>
          <w:rFonts w:ascii="宋体" w:hAnsi="宋体" w:cs="宋体" w:eastAsia="宋体" w:hint="default"/>
          <w:spacing w:val="-54"/>
        </w:rPr>
        <w:t> </w:t>
      </w:r>
      <w:r>
        <w:rPr/>
        <w:t>的深入应用。</w:t>
      </w:r>
    </w:p>
    <w:p>
      <w:pPr>
        <w:spacing w:after="0" w:line="237" w:lineRule="auto"/>
        <w:jc w:val="both"/>
        <w:sectPr>
          <w:footerReference w:type="default" r:id="rId14"/>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Heading3"/>
        <w:spacing w:line="240" w:lineRule="auto"/>
        <w:ind w:left="218" w:right="2465"/>
        <w:jc w:val="left"/>
        <w:rPr>
          <w:b w:val="0"/>
          <w:bCs w:val="0"/>
        </w:rPr>
      </w:pPr>
      <w:r>
        <w:rPr/>
        <w:t>二、报告期内主要经营情况</w:t>
      </w:r>
      <w:r>
        <w:rPr>
          <w:b w:val="0"/>
          <w:bCs w:val="0"/>
        </w:rPr>
      </w:r>
    </w:p>
    <w:p>
      <w:pPr>
        <w:pStyle w:val="BodyText"/>
        <w:spacing w:line="237" w:lineRule="auto" w:before="61"/>
        <w:ind w:left="218" w:right="228" w:firstLine="422"/>
        <w:jc w:val="both"/>
      </w:pPr>
      <w:r>
        <w:rPr/>
        <w:t>报告期末，公司资产总额</w:t>
      </w:r>
      <w:r>
        <w:rPr>
          <w:spacing w:val="-57"/>
        </w:rPr>
        <w:t> </w:t>
      </w:r>
      <w:r>
        <w:rPr>
          <w:rFonts w:ascii="宋体" w:hAnsi="宋体" w:cs="宋体" w:eastAsia="宋体" w:hint="default"/>
        </w:rPr>
        <w:t>139.15</w:t>
      </w:r>
      <w:r>
        <w:rPr>
          <w:rFonts w:ascii="宋体" w:hAnsi="宋体" w:cs="宋体" w:eastAsia="宋体" w:hint="default"/>
          <w:spacing w:val="-55"/>
        </w:rPr>
        <w:t> </w:t>
      </w:r>
      <w:r>
        <w:rPr/>
        <w:t>亿元，同比增长</w:t>
      </w:r>
      <w:r>
        <w:rPr>
          <w:spacing w:val="-55"/>
        </w:rPr>
        <w:t> </w:t>
      </w:r>
      <w:r>
        <w:rPr>
          <w:rFonts w:ascii="宋体" w:hAnsi="宋体" w:cs="宋体" w:eastAsia="宋体" w:hint="default"/>
        </w:rPr>
        <w:t>6.76%,</w:t>
      </w:r>
      <w:r>
        <w:rPr/>
        <w:t>所有者权益</w:t>
      </w:r>
      <w:r>
        <w:rPr>
          <w:spacing w:val="-55"/>
        </w:rPr>
        <w:t> </w:t>
      </w:r>
      <w:r>
        <w:rPr>
          <w:rFonts w:ascii="宋体" w:hAnsi="宋体" w:cs="宋体" w:eastAsia="宋体" w:hint="default"/>
        </w:rPr>
        <w:t>27.18</w:t>
      </w:r>
      <w:r>
        <w:rPr>
          <w:rFonts w:ascii="宋体" w:hAnsi="宋体" w:cs="宋体" w:eastAsia="宋体" w:hint="default"/>
          <w:spacing w:val="-54"/>
        </w:rPr>
        <w:t> </w:t>
      </w:r>
      <w:r>
        <w:rPr/>
        <w:t>亿元，同比增长</w:t>
      </w:r>
      <w:r>
        <w:rPr>
          <w:w w:val="100"/>
        </w:rPr>
        <w:t> </w:t>
      </w:r>
      <w:r>
        <w:rPr>
          <w:rFonts w:ascii="宋体" w:hAnsi="宋体" w:cs="宋体" w:eastAsia="宋体" w:hint="default"/>
          <w:spacing w:val="-9"/>
          <w:w w:val="100"/>
        </w:rPr>
        <w:t>6.51%</w:t>
      </w:r>
      <w:r>
        <w:rPr>
          <w:spacing w:val="-9"/>
          <w:w w:val="100"/>
        </w:rPr>
        <w:t>。全年实现营业收入</w:t>
      </w:r>
      <w:r>
        <w:rPr>
          <w:spacing w:val="-51"/>
          <w:w w:val="100"/>
        </w:rPr>
        <w:t> </w:t>
      </w:r>
      <w:r>
        <w:rPr>
          <w:rFonts w:ascii="宋体" w:hAnsi="宋体" w:cs="宋体" w:eastAsia="宋体" w:hint="default"/>
          <w:spacing w:val="-1"/>
          <w:w w:val="100"/>
        </w:rPr>
        <w:t>147.46</w:t>
      </w:r>
      <w:r>
        <w:rPr>
          <w:rFonts w:ascii="宋体" w:hAnsi="宋体" w:cs="宋体" w:eastAsia="宋体" w:hint="default"/>
          <w:spacing w:val="-49"/>
          <w:w w:val="100"/>
        </w:rPr>
        <w:t> </w:t>
      </w:r>
      <w:r>
        <w:rPr>
          <w:spacing w:val="-17"/>
          <w:w w:val="100"/>
        </w:rPr>
        <w:t>亿元，同比增长</w:t>
      </w:r>
      <w:r>
        <w:rPr>
          <w:spacing w:val="-49"/>
          <w:w w:val="100"/>
        </w:rPr>
        <w:t> </w:t>
      </w:r>
      <w:r>
        <w:rPr>
          <w:rFonts w:ascii="宋体" w:hAnsi="宋体" w:cs="宋体" w:eastAsia="宋体" w:hint="default"/>
          <w:spacing w:val="-11"/>
          <w:w w:val="100"/>
        </w:rPr>
        <w:t>7.67%</w:t>
      </w:r>
      <w:r>
        <w:rPr>
          <w:spacing w:val="-11"/>
          <w:w w:val="100"/>
        </w:rPr>
        <w:t>；实现净利润</w:t>
      </w:r>
      <w:r>
        <w:rPr>
          <w:spacing w:val="-49"/>
          <w:w w:val="100"/>
        </w:rPr>
        <w:t> </w:t>
      </w:r>
      <w:r>
        <w:rPr>
          <w:rFonts w:ascii="宋体" w:hAnsi="宋体" w:cs="宋体" w:eastAsia="宋体" w:hint="default"/>
          <w:spacing w:val="-1"/>
          <w:w w:val="100"/>
        </w:rPr>
        <w:t>2.18</w:t>
      </w:r>
      <w:r>
        <w:rPr>
          <w:rFonts w:ascii="宋体" w:hAnsi="宋体" w:cs="宋体" w:eastAsia="宋体" w:hint="default"/>
          <w:spacing w:val="-51"/>
          <w:w w:val="100"/>
        </w:rPr>
        <w:t> </w:t>
      </w:r>
      <w:r>
        <w:rPr>
          <w:spacing w:val="-16"/>
          <w:w w:val="100"/>
        </w:rPr>
        <w:t>亿元，同比增长</w:t>
      </w:r>
      <w:r>
        <w:rPr>
          <w:spacing w:val="-48"/>
          <w:w w:val="100"/>
        </w:rPr>
        <w:t> </w:t>
      </w:r>
      <w:r>
        <w:rPr>
          <w:rFonts w:ascii="宋体" w:hAnsi="宋体" w:cs="宋体" w:eastAsia="宋体" w:hint="default"/>
          <w:spacing w:val="-2"/>
          <w:w w:val="100"/>
        </w:rPr>
        <w:t>6.24%</w:t>
      </w:r>
      <w:r>
        <w:rPr>
          <w:spacing w:val="-2"/>
          <w:w w:val="100"/>
        </w:rPr>
        <w:t>；</w:t>
      </w:r>
      <w:r>
        <w:rPr>
          <w:spacing w:val="-104"/>
          <w:w w:val="100"/>
        </w:rPr>
        <w:t> </w:t>
      </w:r>
      <w:r>
        <w:rPr/>
        <w:t>实现归属于母公司所有者净利润</w:t>
      </w:r>
      <w:r>
        <w:rPr>
          <w:spacing w:val="-55"/>
        </w:rPr>
        <w:t> </w:t>
      </w:r>
      <w:r>
        <w:rPr>
          <w:rFonts w:ascii="宋体" w:hAnsi="宋体" w:cs="宋体" w:eastAsia="宋体" w:hint="default"/>
        </w:rPr>
        <w:t>2.14</w:t>
      </w:r>
      <w:r>
        <w:rPr>
          <w:rFonts w:ascii="宋体" w:hAnsi="宋体" w:cs="宋体" w:eastAsia="宋体" w:hint="default"/>
          <w:spacing w:val="-55"/>
        </w:rPr>
        <w:t> </w:t>
      </w:r>
      <w:r>
        <w:rPr/>
        <w:t>亿元，同比增长</w:t>
      </w:r>
      <w:r>
        <w:rPr>
          <w:spacing w:val="-55"/>
        </w:rPr>
        <w:t> </w:t>
      </w:r>
      <w:r>
        <w:rPr>
          <w:rFonts w:ascii="宋体" w:hAnsi="宋体" w:cs="宋体" w:eastAsia="宋体" w:hint="default"/>
        </w:rPr>
        <w:t>9.49%</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tabs>
          <w:tab w:pos="1057" w:val="left" w:leader="none"/>
        </w:tabs>
        <w:spacing w:line="240" w:lineRule="auto"/>
        <w:ind w:left="21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3"/>
        <w:spacing w:line="240" w:lineRule="auto" w:before="0"/>
        <w:ind w:left="21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14,746,271,174.48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13,695,796,802.68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7.67</w:t>
            </w:r>
          </w:p>
        </w:tc>
      </w:tr>
      <w:tr>
        <w:trPr>
          <w:trHeight w:val="28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13,708,466,118.02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12,654,988,246.15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8.32</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19,463,630.36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7,947,416.54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144.91</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430,671,509.59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353,493,078.04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21.83</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214,463,386.66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167,570,347.39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27.98</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484,775,465.48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399,599,576.88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21.32</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-254,575,624.38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-91,186,480.69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192,152,986.45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84,754,652.60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126.72</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35,240,386.37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14,980,626.66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135.24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tabs>
          <w:tab w:pos="637" w:val="left" w:leader="none"/>
        </w:tabs>
        <w:spacing w:line="240" w:lineRule="auto"/>
        <w:ind w:left="218" w:right="2465"/>
        <w:jc w:val="left"/>
        <w:rPr>
          <w:b w:val="0"/>
          <w:bCs w:val="0"/>
        </w:rPr>
      </w:pPr>
      <w:r>
        <w:rPr>
          <w:rFonts w:ascii="宋体" w:hAnsi="宋体" w:cs="宋体" w:eastAsia="宋体" w:hint="default"/>
          <w:w w:val="95"/>
        </w:rPr>
        <w:t>1.</w:t>
        <w:tab/>
      </w:r>
      <w:r>
        <w:rPr/>
        <w:t>收入和成本分析</w:t>
      </w:r>
      <w:r>
        <w:rPr>
          <w:b w:val="0"/>
          <w:bCs w:val="0"/>
        </w:rPr>
      </w:r>
    </w:p>
    <w:p>
      <w:pPr>
        <w:pStyle w:val="BodyText"/>
        <w:spacing w:line="274" w:lineRule="exact" w:before="56"/>
        <w:ind w:left="218" w:right="2465"/>
        <w:jc w:val="left"/>
      </w:pPr>
      <w:r>
        <w:rPr/>
        <w:t>√适用 □不适用</w:t>
      </w:r>
    </w:p>
    <w:p>
      <w:pPr>
        <w:pStyle w:val="BodyText"/>
        <w:spacing w:line="272" w:lineRule="exact" w:before="27"/>
        <w:ind w:left="218" w:right="222"/>
        <w:jc w:val="left"/>
      </w:pPr>
      <w:r>
        <w:rPr/>
        <w:t>注 </w:t>
      </w:r>
      <w:r>
        <w:rPr>
          <w:rFonts w:ascii="Times New Roman" w:hAnsi="Times New Roman" w:cs="Times New Roman" w:eastAsia="Times New Roman" w:hint="default"/>
        </w:rPr>
        <w:t>1</w:t>
      </w:r>
      <w:r>
        <w:rPr/>
        <w:t>：销售费用变动原因说明：销售费用本期较上年同期增长</w:t>
      </w:r>
      <w:r>
        <w:rPr>
          <w:spacing w:val="-12"/>
        </w:rPr>
        <w:t> </w:t>
      </w:r>
      <w:r>
        <w:rPr>
          <w:rFonts w:ascii="Times New Roman" w:hAnsi="Times New Roman" w:cs="Times New Roman" w:eastAsia="Times New Roman" w:hint="default"/>
        </w:rPr>
        <w:t>144.91%</w:t>
      </w:r>
      <w:r>
        <w:rPr/>
        <w:t>，主要由于本期材料物资</w:t>
      </w:r>
      <w:r>
        <w:rPr>
          <w:w w:val="100"/>
        </w:rPr>
        <w:t> </w:t>
      </w:r>
      <w:r>
        <w:rPr/>
        <w:t>销售业务的运输费上升所致。</w:t>
      </w:r>
    </w:p>
    <w:p>
      <w:pPr>
        <w:pStyle w:val="BodyText"/>
        <w:spacing w:line="255" w:lineRule="exact"/>
        <w:ind w:left="218" w:right="221"/>
        <w:jc w:val="left"/>
      </w:pPr>
      <w:r>
        <w:rPr/>
        <w:t>注</w:t>
      </w:r>
      <w:r>
        <w:rPr>
          <w:spacing w:val="94"/>
        </w:rPr>
        <w:t> </w:t>
      </w:r>
      <w:r>
        <w:rPr>
          <w:rFonts w:ascii="Times New Roman" w:hAnsi="Times New Roman" w:cs="Times New Roman" w:eastAsia="Times New Roman" w:hint="default"/>
          <w:spacing w:val="8"/>
        </w:rPr>
        <w:t>2</w:t>
      </w:r>
      <w:r>
        <w:rPr>
          <w:spacing w:val="8"/>
        </w:rPr>
        <w:t>：筹资活动产生现金流量净额变动原因说明：筹资活动产生的现金流量净额较上期增加</w:t>
      </w:r>
    </w:p>
    <w:p>
      <w:pPr>
        <w:pStyle w:val="BodyText"/>
        <w:spacing w:line="272" w:lineRule="exact"/>
        <w:ind w:left="218" w:right="2465"/>
        <w:jc w:val="left"/>
      </w:pPr>
      <w:r>
        <w:rPr>
          <w:rFonts w:ascii="Times New Roman" w:hAnsi="Times New Roman" w:cs="Times New Roman" w:eastAsia="Times New Roman" w:hint="default"/>
        </w:rPr>
        <w:t>126.72%</w:t>
      </w:r>
      <w:r>
        <w:rPr/>
        <w:t>，主要由于本期取得借款收到的现金较上期增加所致。</w:t>
      </w:r>
    </w:p>
    <w:p>
      <w:pPr>
        <w:pStyle w:val="BodyText"/>
        <w:spacing w:line="272" w:lineRule="exact" w:before="19"/>
        <w:ind w:left="218" w:right="222"/>
        <w:jc w:val="left"/>
      </w:pPr>
      <w:r>
        <w:rPr/>
        <w:t>注 </w:t>
      </w:r>
      <w:r>
        <w:rPr>
          <w:rFonts w:ascii="Times New Roman" w:hAnsi="Times New Roman" w:cs="Times New Roman" w:eastAsia="Times New Roman" w:hint="default"/>
        </w:rPr>
        <w:t>3</w:t>
      </w:r>
      <w:r>
        <w:rPr/>
        <w:t>：研发支出变动原因说明：研发支出本期较上年同期增长</w:t>
      </w:r>
      <w:r>
        <w:rPr>
          <w:spacing w:val="-12"/>
        </w:rPr>
        <w:t> </w:t>
      </w:r>
      <w:r>
        <w:rPr>
          <w:rFonts w:ascii="Times New Roman" w:hAnsi="Times New Roman" w:cs="Times New Roman" w:eastAsia="Times New Roman" w:hint="default"/>
        </w:rPr>
        <w:t>135.24%</w:t>
      </w:r>
      <w:r>
        <w:rPr/>
        <w:t>，主要由于研发投入增加</w:t>
      </w:r>
      <w:r>
        <w:rPr>
          <w:w w:val="100"/>
        </w:rPr>
        <w:t> </w:t>
      </w:r>
      <w:r>
        <w:rPr/>
        <w:t>所致。</w:t>
      </w:r>
    </w:p>
    <w:p>
      <w:pPr>
        <w:spacing w:line="240" w:lineRule="auto" w:before="2"/>
        <w:rPr>
          <w:rFonts w:ascii="宋体" w:hAnsi="宋体" w:cs="宋体" w:eastAsia="宋体" w:hint="default"/>
          <w:sz w:val="18"/>
          <w:szCs w:val="18"/>
        </w:rPr>
      </w:pPr>
    </w:p>
    <w:p>
      <w:pPr>
        <w:pStyle w:val="Heading3"/>
        <w:spacing w:line="240" w:lineRule="auto"/>
        <w:ind w:left="218"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8"/>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960"/>
        <w:gridCol w:w="2053"/>
        <w:gridCol w:w="2002"/>
        <w:gridCol w:w="1010"/>
        <w:gridCol w:w="1008"/>
        <w:gridCol w:w="1011"/>
        <w:gridCol w:w="1006"/>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2"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5" w:right="18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6" w:lineRule="exact"/>
              <w:ind w:left="2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1"/>
                <w:sz w:val="21"/>
                <w:szCs w:val="21"/>
              </w:rPr>
              <w:t>增减（</w:t>
            </w:r>
            <w:r>
              <w:rPr>
                <w:rFonts w:ascii="宋体" w:hAnsi="宋体" w:cs="宋体" w:eastAsia="宋体" w:hint="default"/>
                <w:spacing w:val="-11"/>
                <w:sz w:val="21"/>
                <w:szCs w:val="21"/>
              </w:rPr>
              <w:t>%</w:t>
            </w:r>
            <w:r>
              <w:rPr>
                <w:rFonts w:ascii="宋体" w:hAnsi="宋体" w:cs="宋体" w:eastAsia="宋体" w:hint="default"/>
                <w:spacing w:val="-11"/>
                <w:sz w:val="21"/>
                <w:szCs w:val="21"/>
              </w:rPr>
              <w:t>）</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筑</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7,836,445,687.14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7,533,894,531.69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61" w:right="98" w:hanging="51"/>
              <w:jc w:val="left"/>
              <w:rPr>
                <w:rFonts w:ascii="宋体" w:hAnsi="宋体" w:cs="宋体" w:eastAsia="宋体" w:hint="default"/>
                <w:sz w:val="21"/>
                <w:szCs w:val="21"/>
              </w:rPr>
            </w:pPr>
            <w:r>
              <w:rPr>
                <w:rFonts w:ascii="宋体" w:hAnsi="宋体" w:cs="宋体" w:eastAsia="宋体" w:hint="default"/>
                <w:sz w:val="21"/>
                <w:szCs w:val="21"/>
              </w:rPr>
              <w:t>2.24</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市政与</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z w:val="21"/>
                <w:szCs w:val="21"/>
              </w:rPr>
              <w:t>公用设</w:t>
            </w:r>
            <w:r>
              <w:rPr>
                <w:rFonts w:ascii="宋体" w:hAnsi="宋体" w:cs="宋体" w:eastAsia="宋体" w:hint="default"/>
                <w:spacing w:val="-102"/>
                <w:sz w:val="21"/>
                <w:szCs w:val="21"/>
              </w:rPr>
              <w:t> </w:t>
            </w:r>
            <w:r>
              <w:rPr>
                <w:rFonts w:ascii="宋体" w:hAnsi="宋体" w:cs="宋体" w:eastAsia="宋体" w:hint="default"/>
                <w:sz w:val="21"/>
                <w:szCs w:val="21"/>
              </w:rPr>
              <w:t>施</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2,948,320,635.85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2,743,660,989.19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261" w:right="98" w:hanging="51"/>
              <w:jc w:val="left"/>
              <w:rPr>
                <w:rFonts w:ascii="宋体" w:hAnsi="宋体" w:cs="宋体" w:eastAsia="宋体" w:hint="default"/>
                <w:sz w:val="21"/>
                <w:szCs w:val="21"/>
              </w:rPr>
            </w:pPr>
            <w:r>
              <w:rPr>
                <w:rFonts w:ascii="宋体" w:hAnsi="宋体" w:cs="宋体" w:eastAsia="宋体" w:hint="default"/>
                <w:sz w:val="21"/>
                <w:szCs w:val="21"/>
              </w:rPr>
              <w:t>1.42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1,075,898,831.29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958,231,829.59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61" w:right="98" w:hanging="51"/>
              <w:jc w:val="left"/>
              <w:rPr>
                <w:rFonts w:ascii="宋体" w:hAnsi="宋体" w:cs="宋体" w:eastAsia="宋体" w:hint="default"/>
                <w:sz w:val="21"/>
                <w:szCs w:val="21"/>
              </w:rPr>
            </w:pPr>
            <w:r>
              <w:rPr>
                <w:rFonts w:ascii="宋体" w:hAnsi="宋体" w:cs="宋体" w:eastAsia="宋体" w:hint="default"/>
                <w:sz w:val="21"/>
                <w:szCs w:val="21"/>
              </w:rPr>
              <w:t>1.87</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饰工程</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690,912,628.19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632,525,780.86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3" w:lineRule="exact"/>
              <w:ind w:left="211" w:right="0"/>
              <w:jc w:val="left"/>
              <w:rPr>
                <w:rFonts w:ascii="宋体" w:hAnsi="宋体" w:cs="宋体" w:eastAsia="宋体" w:hint="default"/>
                <w:sz w:val="21"/>
                <w:szCs w:val="21"/>
              </w:rPr>
            </w:pPr>
            <w:r>
              <w:rPr>
                <w:rFonts w:ascii="宋体" w:hAnsi="宋体" w:cs="宋体" w:eastAsia="宋体" w:hint="default"/>
                <w:sz w:val="21"/>
                <w:szCs w:val="21"/>
              </w:rPr>
              <w:t>0.54</w:t>
            </w:r>
            <w:r>
              <w:rPr>
                <w:rFonts w:ascii="宋体" w:hAnsi="宋体" w:cs="宋体" w:eastAsia="宋体" w:hint="default"/>
                <w:spacing w:val="-52"/>
                <w:sz w:val="21"/>
                <w:szCs w:val="21"/>
              </w:rPr>
              <w:t> </w:t>
            </w:r>
            <w:r>
              <w:rPr>
                <w:rFonts w:ascii="宋体" w:hAnsi="宋体" w:cs="宋体" w:eastAsia="宋体" w:hint="default"/>
                <w:sz w:val="21"/>
                <w:szCs w:val="21"/>
              </w:rPr>
              <w:t>个</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960"/>
        <w:gridCol w:w="2053"/>
        <w:gridCol w:w="2002"/>
        <w:gridCol w:w="1010"/>
        <w:gridCol w:w="1008"/>
        <w:gridCol w:w="1011"/>
        <w:gridCol w:w="1006"/>
      </w:tblGrid>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1"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筑材料</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1,583,747,538.28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1,376,824,003.63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49.12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61" w:right="98" w:hanging="51"/>
              <w:jc w:val="left"/>
              <w:rPr>
                <w:rFonts w:ascii="宋体" w:hAnsi="宋体" w:cs="宋体" w:eastAsia="宋体" w:hint="default"/>
                <w:sz w:val="21"/>
                <w:szCs w:val="21"/>
              </w:rPr>
            </w:pP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139,872,414.72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95,234,026.98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31.91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61" w:right="98" w:hanging="156"/>
              <w:jc w:val="left"/>
              <w:rPr>
                <w:rFonts w:ascii="宋体" w:hAnsi="宋体" w:cs="宋体" w:eastAsia="宋体" w:hint="default"/>
                <w:sz w:val="21"/>
                <w:szCs w:val="21"/>
              </w:rPr>
            </w:pPr>
            <w:r>
              <w:rPr>
                <w:rFonts w:ascii="宋体" w:hAnsi="宋体" w:cs="宋体" w:eastAsia="宋体" w:hint="default"/>
                <w:sz w:val="21"/>
                <w:szCs w:val="21"/>
              </w:rPr>
              <w:t>10.96</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338,501,893.72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322,791,989.54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190.91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61" w:right="98" w:hanging="51"/>
              <w:jc w:val="left"/>
              <w:rPr>
                <w:rFonts w:ascii="宋体" w:hAnsi="宋体" w:cs="宋体" w:eastAsia="宋体" w:hint="default"/>
                <w:sz w:val="21"/>
                <w:szCs w:val="21"/>
              </w:rPr>
            </w:pPr>
            <w:r>
              <w:rPr>
                <w:rFonts w:ascii="宋体" w:hAnsi="宋体" w:cs="宋体" w:eastAsia="宋体" w:hint="default"/>
                <w:sz w:val="21"/>
                <w:szCs w:val="21"/>
              </w:rPr>
              <w:t>1.77</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91,337,526.67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39,107,657.64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474.51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61" w:right="98" w:hanging="156"/>
              <w:jc w:val="left"/>
              <w:rPr>
                <w:rFonts w:ascii="宋体" w:hAnsi="宋体" w:cs="宋体" w:eastAsia="宋体" w:hint="default"/>
                <w:sz w:val="21"/>
                <w:szCs w:val="21"/>
              </w:rPr>
            </w:pPr>
            <w:r>
              <w:rPr>
                <w:rFonts w:ascii="宋体" w:hAnsi="宋体" w:cs="宋体" w:eastAsia="宋体" w:hint="default"/>
                <w:sz w:val="21"/>
                <w:szCs w:val="21"/>
              </w:rPr>
              <w:t>35.17</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2"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5" w:right="180"/>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1"/>
                <w:sz w:val="21"/>
                <w:szCs w:val="21"/>
              </w:rPr>
              <w:t>增减（</w:t>
            </w:r>
            <w:r>
              <w:rPr>
                <w:rFonts w:ascii="宋体" w:hAnsi="宋体" w:cs="宋体" w:eastAsia="宋体" w:hint="default"/>
                <w:spacing w:val="-11"/>
                <w:sz w:val="21"/>
                <w:szCs w:val="21"/>
              </w:rPr>
              <w:t>%</w:t>
            </w:r>
            <w:r>
              <w:rPr>
                <w:rFonts w:ascii="宋体" w:hAnsi="宋体" w:cs="宋体" w:eastAsia="宋体" w:hint="default"/>
                <w:spacing w:val="-11"/>
                <w:sz w:val="21"/>
                <w:szCs w:val="21"/>
              </w:rPr>
              <w:t>）</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市内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10,020,287,583.92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9,179,621,868.90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61" w:right="98" w:hanging="51"/>
              <w:jc w:val="left"/>
              <w:rPr>
                <w:rFonts w:ascii="宋体" w:hAnsi="宋体" w:cs="宋体" w:eastAsia="宋体" w:hint="default"/>
                <w:sz w:val="21"/>
                <w:szCs w:val="21"/>
              </w:rPr>
            </w:pP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宁波大</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z w:val="21"/>
                <w:szCs w:val="21"/>
              </w:rPr>
              <w:t>市外省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1,172,972,226.87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1,105,867,862.89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261" w:right="98" w:hanging="51"/>
              <w:jc w:val="left"/>
              <w:rPr>
                <w:rFonts w:ascii="宋体" w:hAnsi="宋体" w:cs="宋体" w:eastAsia="宋体" w:hint="default"/>
                <w:sz w:val="21"/>
                <w:szCs w:val="21"/>
              </w:rPr>
            </w:pPr>
            <w:r>
              <w:rPr>
                <w:rFonts w:ascii="宋体" w:hAnsi="宋体" w:cs="宋体" w:eastAsia="宋体" w:hint="default"/>
                <w:sz w:val="21"/>
                <w:szCs w:val="21"/>
              </w:rPr>
              <w:t>0.13</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外</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3,511,777,345.07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3,416,781,077.33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42.28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1" w:right="98" w:hanging="51"/>
              <w:jc w:val="left"/>
              <w:rPr>
                <w:rFonts w:ascii="宋体" w:hAnsi="宋体" w:cs="宋体" w:eastAsia="宋体" w:hint="default"/>
                <w:sz w:val="21"/>
                <w:szCs w:val="21"/>
              </w:rPr>
            </w:pPr>
            <w:r>
              <w:rPr>
                <w:rFonts w:ascii="宋体" w:hAnsi="宋体" w:cs="宋体" w:eastAsia="宋体" w:hint="default"/>
                <w:sz w:val="21"/>
                <w:szCs w:val="21"/>
              </w:rPr>
              <w:t>2.32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7"/>
        <w:rPr>
          <w:rFonts w:ascii="宋体" w:hAnsi="宋体" w:cs="宋体" w:eastAsia="宋体" w:hint="default"/>
          <w:sz w:val="15"/>
          <w:szCs w:val="15"/>
        </w:rPr>
      </w:pPr>
    </w:p>
    <w:p>
      <w:pPr>
        <w:pStyle w:val="BodyText"/>
        <w:spacing w:line="273" w:lineRule="exact" w:before="36"/>
        <w:ind w:left="538" w:right="0"/>
        <w:jc w:val="left"/>
      </w:pPr>
      <w:r>
        <w:rPr/>
        <w:t>主营业务分行业、分产品、分地区情况的说明</w:t>
      </w:r>
    </w:p>
    <w:p>
      <w:pPr>
        <w:pStyle w:val="BodyText"/>
        <w:spacing w:line="273" w:lineRule="exact"/>
        <w:ind w:left="538"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53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538" w:right="0"/>
        <w:jc w:val="left"/>
      </w:pPr>
      <w:r>
        <w:rPr/>
        <w:t>□适用 √不适用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ind w:left="53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9"/>
        <w:gridCol w:w="883"/>
        <w:gridCol w:w="2002"/>
        <w:gridCol w:w="855"/>
        <w:gridCol w:w="1999"/>
        <w:gridCol w:w="848"/>
        <w:gridCol w:w="845"/>
        <w:gridCol w:w="660"/>
      </w:tblGrid>
      <w:tr>
        <w:trPr>
          <w:trHeight w:val="283" w:hRule="exact"/>
        </w:trPr>
        <w:tc>
          <w:tcPr>
            <w:tcW w:w="9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0"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sz w:val="21"/>
                <w:szCs w:val="21"/>
              </w:rPr>
              <w:t>分行业</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0" w:right="119"/>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6"/>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1"/>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3,231,318,510.45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23.58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2,922,816,652.64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23.11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10.55</w:t>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1"/>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直接人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2,186,321,282.37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2,211,624,175.58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17.49</w:t>
            </w:r>
          </w:p>
        </w:tc>
        <w:tc>
          <w:tcPr>
            <w:tcW w:w="845"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-1.14</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21"/>
              <w:jc w:val="right"/>
              <w:rPr>
                <w:rFonts w:ascii="宋体" w:hAnsi="宋体" w:cs="宋体" w:eastAsia="宋体" w:hint="default"/>
                <w:sz w:val="21"/>
                <w:szCs w:val="21"/>
              </w:rPr>
            </w:pPr>
            <w:r>
              <w:rPr>
                <w:rFonts w:ascii="宋体" w:hAnsi="宋体" w:cs="宋体" w:eastAsia="宋体" w:hint="default"/>
                <w:spacing w:val="-1"/>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
              <w:ind w:left="103" w:right="99"/>
              <w:jc w:val="left"/>
              <w:rPr>
                <w:rFonts w:ascii="宋体" w:hAnsi="宋体" w:cs="宋体" w:eastAsia="宋体" w:hint="default"/>
                <w:sz w:val="21"/>
                <w:szCs w:val="21"/>
              </w:rPr>
            </w:pPr>
            <w:r>
              <w:rPr>
                <w:rFonts w:ascii="宋体" w:hAnsi="宋体" w:cs="宋体" w:eastAsia="宋体" w:hint="default"/>
                <w:spacing w:val="11"/>
                <w:sz w:val="21"/>
                <w:szCs w:val="21"/>
              </w:rPr>
              <w:t>机械使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8"/>
              <w:jc w:val="right"/>
              <w:rPr>
                <w:rFonts w:ascii="宋体" w:hAnsi="宋体" w:cs="宋体" w:eastAsia="宋体" w:hint="default"/>
                <w:sz w:val="21"/>
                <w:szCs w:val="21"/>
              </w:rPr>
            </w:pPr>
            <w:r>
              <w:rPr>
                <w:rFonts w:ascii="宋体"/>
                <w:spacing w:val="-1"/>
                <w:sz w:val="21"/>
              </w:rPr>
              <w:t>134,192,560.12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宋体" w:hAnsi="宋体" w:cs="宋体" w:eastAsia="宋体" w:hint="default"/>
                <w:sz w:val="21"/>
                <w:szCs w:val="21"/>
              </w:rPr>
            </w:pPr>
            <w:r>
              <w:rPr>
                <w:rFonts w:ascii="宋体"/>
                <w:sz w:val="21"/>
              </w:rPr>
              <w:t>0.98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8"/>
              <w:jc w:val="right"/>
              <w:rPr>
                <w:rFonts w:ascii="宋体" w:hAnsi="宋体" w:cs="宋体" w:eastAsia="宋体" w:hint="default"/>
                <w:sz w:val="21"/>
                <w:szCs w:val="21"/>
              </w:rPr>
            </w:pPr>
            <w:r>
              <w:rPr>
                <w:rFonts w:ascii="宋体"/>
                <w:spacing w:val="-1"/>
                <w:sz w:val="21"/>
              </w:rPr>
              <w:t>119,079,417.75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9"/>
              <w:jc w:val="right"/>
              <w:rPr>
                <w:rFonts w:ascii="宋体" w:hAnsi="宋体" w:cs="宋体" w:eastAsia="宋体" w:hint="default"/>
                <w:sz w:val="21"/>
                <w:szCs w:val="21"/>
              </w:rPr>
            </w:pPr>
            <w:r>
              <w:rPr>
                <w:rFonts w:ascii="宋体"/>
                <w:sz w:val="21"/>
              </w:rPr>
              <w:t>0.94</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12.69</w:t>
            </w:r>
          </w:p>
        </w:tc>
        <w:tc>
          <w:tcPr>
            <w:tcW w:w="660" w:type="dxa"/>
            <w:tcBorders>
              <w:top w:val="single" w:sz="4" w:space="0" w:color="000000"/>
              <w:left w:val="single" w:sz="8" w:space="0" w:color="000000"/>
              <w:bottom w:val="single" w:sz="4" w:space="0" w:color="000000"/>
              <w:right w:val="single" w:sz="4" w:space="0" w:color="000000"/>
            </w:tcBorders>
          </w:tcPr>
          <w:p>
            <w:pPr/>
          </w:p>
        </w:tc>
      </w:tr>
    </w:tbl>
    <w:p>
      <w:pPr>
        <w:spacing w:after="0"/>
        <w:sectPr>
          <w:pgSz w:w="11910" w:h="16840"/>
          <w:pgMar w:header="880" w:footer="1195"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79"/>
        <w:gridCol w:w="883"/>
        <w:gridCol w:w="2002"/>
        <w:gridCol w:w="855"/>
        <w:gridCol w:w="1999"/>
        <w:gridCol w:w="848"/>
        <w:gridCol w:w="845"/>
        <w:gridCol w:w="660"/>
      </w:tblGrid>
      <w:tr>
        <w:trPr>
          <w:trHeight w:val="55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其他直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接费用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41,712,272.29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0.30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27,693,313.11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0.22</w:t>
            </w:r>
          </w:p>
        </w:tc>
        <w:tc>
          <w:tcPr>
            <w:tcW w:w="845" w:type="dxa"/>
            <w:tcBorders>
              <w:top w:val="nil" w:sz="6" w:space="0" w:color="auto"/>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50.62</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left"/>
              <w:rPr>
                <w:rFonts w:ascii="宋体" w:hAnsi="宋体" w:cs="宋体" w:eastAsia="宋体" w:hint="default"/>
                <w:sz w:val="21"/>
                <w:szCs w:val="21"/>
              </w:rPr>
            </w:pPr>
            <w:r>
              <w:rPr>
                <w:rFonts w:ascii="宋体" w:hAnsi="宋体" w:cs="宋体" w:eastAsia="宋体" w:hint="default"/>
                <w:spacing w:val="11"/>
                <w:sz w:val="21"/>
                <w:szCs w:val="21"/>
              </w:rPr>
              <w:t>分包费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pacing w:val="-1"/>
                <w:sz w:val="21"/>
              </w:rPr>
              <w:t>1,557,067,524.07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11.36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1,919,742,954.65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15.18</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-18.89</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间接费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383,282,382.38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2.80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207,624,258.51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1.64</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84.60</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pacing w:val="-1"/>
                <w:sz w:val="21"/>
              </w:rPr>
              <w:t>7,533,894,531.69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54.98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7,408,580,772.24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58.59</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1.69</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pacing w:val="-1"/>
                <w:sz w:val="21"/>
              </w:rPr>
              <w:t>1,428,584,765.44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10.43</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1,103,964,229.22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8.73</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29.40</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715,658,057.91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5.22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616,193,277.70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4.87</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16.14</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机械使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160,944,081.72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1.17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108,548,714.06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0.86</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48.27</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其他直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接费用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86,140,139.58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0.63</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94,499,364.66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0.75</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-8.85</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分包费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291,652,057.29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2.13</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257,546,806.33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2.04</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13.24</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间接费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60,681,887.25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0.44</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38,873,066.26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0.31</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56.10</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83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30"/>
                <w:sz w:val="21"/>
                <w:szCs w:val="21"/>
              </w:rPr>
              <w:t> </w:t>
            </w:r>
            <w:r>
              <w:rPr>
                <w:rFonts w:ascii="宋体" w:hAnsi="宋体" w:cs="宋体" w:eastAsia="宋体" w:hint="default"/>
                <w:sz w:val="21"/>
                <w:szCs w:val="21"/>
              </w:rPr>
              <w:t>建</w:t>
            </w:r>
            <w:r>
              <w:rPr>
                <w:rFonts w:ascii="宋体" w:hAnsi="宋体" w:cs="宋体" w:eastAsia="宋体" w:hint="default"/>
                <w:spacing w:val="-33"/>
                <w:sz w:val="21"/>
                <w:szCs w:val="21"/>
              </w:rPr>
              <w:t> </w:t>
            </w:r>
            <w:r>
              <w:rPr>
                <w:rFonts w:ascii="宋体" w:hAnsi="宋体" w:cs="宋体" w:eastAsia="宋体" w:hint="default"/>
                <w:sz w:val="21"/>
                <w:szCs w:val="21"/>
              </w:rPr>
              <w:t>工</w:t>
            </w:r>
            <w:r>
              <w:rPr>
                <w:rFonts w:ascii="宋体" w:hAnsi="宋体" w:cs="宋体" w:eastAsia="宋体" w:hint="default"/>
                <w:spacing w:val="-30"/>
                <w:sz w:val="21"/>
                <w:szCs w:val="21"/>
              </w:rPr>
              <w:t> </w:t>
            </w:r>
            <w:r>
              <w:rPr>
                <w:rFonts w:ascii="宋体" w:hAnsi="宋体" w:cs="宋体" w:eastAsia="宋体" w:hint="default"/>
                <w:sz w:val="21"/>
                <w:szCs w:val="21"/>
              </w:rPr>
              <w:t>程</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（市政与公</w:t>
            </w:r>
            <w:r>
              <w:rPr>
                <w:rFonts w:ascii="宋体" w:hAnsi="宋体" w:cs="宋体" w:eastAsia="宋体" w:hint="default"/>
                <w:spacing w:val="-90"/>
                <w:sz w:val="21"/>
                <w:szCs w:val="21"/>
              </w:rPr>
              <w:t> </w:t>
            </w:r>
            <w:r>
              <w:rPr>
                <w:rFonts w:ascii="宋体" w:hAnsi="宋体" w:cs="宋体" w:eastAsia="宋体" w:hint="default"/>
                <w:sz w:val="21"/>
                <w:szCs w:val="21"/>
              </w:rPr>
              <w:t>用设施）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2,743,660,989.19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20.02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2,219,625,458.23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17.55</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23.61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273,704,476.33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2.00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447,312,276.54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3.54</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-38.81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124,819,016.33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0.91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249,459,106.50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1.97</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-49.96</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机械使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8,776,187.71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0.06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2,171,831.67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0.02</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304.09</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5"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其他直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接费用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1,365,548.61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0.01</w:t>
            </w:r>
          </w:p>
        </w:tc>
        <w:tc>
          <w:tcPr>
            <w:tcW w:w="199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8" w:space="0" w:color="000000"/>
              <w:left w:val="single" w:sz="4" w:space="0" w:color="000000"/>
              <w:bottom w:val="single" w:sz="8" w:space="0" w:color="000000"/>
              <w:right w:val="single" w:sz="8" w:space="0" w:color="000000"/>
            </w:tcBorders>
          </w:tcPr>
          <w:p>
            <w:pP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6"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分包费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175,595,549.49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1.28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74,705,359.13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0.59</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135.05</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间接费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48,265,002.38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0.35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43,281,987.53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0.34</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11.51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632,525,780.86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4.61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816,930,561.37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6.46</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-22.57</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499,621,520.68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3.65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548,746,220.41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4.34</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-8.95</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308,312,811.59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2.25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349,579,731.33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2.76</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-11.80</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机械使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1,357,848.88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0.01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205,095.25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0.00</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562.06</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left"/>
              <w:rPr>
                <w:rFonts w:ascii="宋体" w:hAnsi="宋体" w:cs="宋体" w:eastAsia="宋体" w:hint="default"/>
                <w:sz w:val="21"/>
                <w:szCs w:val="21"/>
              </w:rPr>
            </w:pPr>
            <w:r>
              <w:rPr>
                <w:rFonts w:ascii="宋体" w:hAnsi="宋体" w:cs="宋体" w:eastAsia="宋体" w:hint="default"/>
                <w:spacing w:val="11"/>
                <w:sz w:val="21"/>
                <w:szCs w:val="21"/>
              </w:rPr>
              <w:t>其他直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接费用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23,786,547.61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0.17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20,830,291.23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0.16</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14.19</w:t>
            </w:r>
          </w:p>
        </w:tc>
        <w:tc>
          <w:tcPr>
            <w:tcW w:w="660" w:type="dxa"/>
            <w:tcBorders>
              <w:top w:val="single" w:sz="4" w:space="0" w:color="000000"/>
              <w:left w:val="single" w:sz="8" w:space="0" w:color="000000"/>
              <w:bottom w:val="single" w:sz="4" w:space="0" w:color="000000"/>
              <w:right w:val="single" w:sz="4" w:space="0" w:color="000000"/>
            </w:tcBorders>
          </w:tcPr>
          <w:p>
            <w:pPr/>
          </w:p>
        </w:tc>
      </w:tr>
    </w:tbl>
    <w:p>
      <w:pPr>
        <w:spacing w:after="0"/>
        <w:sectPr>
          <w:pgSz w:w="11910" w:h="16840"/>
          <w:pgMar w:header="880" w:footer="1195"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79"/>
        <w:gridCol w:w="883"/>
        <w:gridCol w:w="2002"/>
        <w:gridCol w:w="855"/>
        <w:gridCol w:w="1999"/>
        <w:gridCol w:w="848"/>
        <w:gridCol w:w="845"/>
        <w:gridCol w:w="660"/>
      </w:tblGrid>
      <w:tr>
        <w:trPr>
          <w:trHeight w:val="55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分包费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95,471,285.18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0.70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111,017,307.80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0.88</w:t>
            </w:r>
          </w:p>
        </w:tc>
        <w:tc>
          <w:tcPr>
            <w:tcW w:w="845" w:type="dxa"/>
            <w:tcBorders>
              <w:top w:val="nil" w:sz="6" w:space="0" w:color="auto"/>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-14.00</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left"/>
              <w:rPr>
                <w:rFonts w:ascii="宋体" w:hAnsi="宋体" w:cs="宋体" w:eastAsia="宋体" w:hint="default"/>
                <w:sz w:val="21"/>
                <w:szCs w:val="21"/>
              </w:rPr>
            </w:pPr>
            <w:r>
              <w:rPr>
                <w:rFonts w:ascii="宋体" w:hAnsi="宋体" w:cs="宋体" w:eastAsia="宋体" w:hint="default"/>
                <w:spacing w:val="11"/>
                <w:sz w:val="21"/>
                <w:szCs w:val="21"/>
              </w:rPr>
              <w:t>间接费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29,681,815.65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0.22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31,215,293.74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0.25</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-4.91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958,231,829.59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7.00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1,061,593,939.76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8.40</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-9.74</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料</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175,958,839.53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1.28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61,703,485.78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0.49</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185.17</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直接人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110,088,549.33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0.80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41,257,354.33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0.33</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166.83</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机械使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5,096,602.66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0.04</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918,484.46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0.01</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454.89</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9"/>
              <w:jc w:val="left"/>
              <w:rPr>
                <w:rFonts w:ascii="宋体" w:hAnsi="宋体" w:cs="宋体" w:eastAsia="宋体" w:hint="default"/>
                <w:sz w:val="21"/>
                <w:szCs w:val="21"/>
              </w:rPr>
            </w:pPr>
            <w:r>
              <w:rPr>
                <w:rFonts w:ascii="宋体" w:hAnsi="宋体" w:cs="宋体" w:eastAsia="宋体" w:hint="default"/>
                <w:spacing w:val="11"/>
                <w:sz w:val="21"/>
                <w:szCs w:val="21"/>
              </w:rPr>
              <w:t>其他直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接费用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10,095,723.34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0.07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3,194,685.86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0.03</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216.02</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分包费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14,730,978.76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0.11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1,359,783.63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0.01</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983.33</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9"/>
              <w:jc w:val="left"/>
              <w:rPr>
                <w:rFonts w:ascii="宋体" w:hAnsi="宋体" w:cs="宋体" w:eastAsia="宋体" w:hint="default"/>
                <w:sz w:val="21"/>
                <w:szCs w:val="21"/>
              </w:rPr>
            </w:pPr>
            <w:r>
              <w:rPr>
                <w:rFonts w:ascii="宋体" w:hAnsi="宋体" w:cs="宋体" w:eastAsia="宋体" w:hint="default"/>
                <w:spacing w:val="11"/>
                <w:sz w:val="21"/>
                <w:szCs w:val="21"/>
              </w:rPr>
              <w:t>间接费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6,821,295.93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0.05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2,526,338.17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0.02</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170.01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322,791,989.54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2.36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110,960,132.23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0.88</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190.91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建材物资销</w:t>
            </w:r>
            <w:r>
              <w:rPr>
                <w:rFonts w:ascii="宋体" w:hAnsi="宋体" w:cs="宋体" w:eastAsia="宋体" w:hint="default"/>
                <w:spacing w:val="-90"/>
                <w:sz w:val="21"/>
                <w:szCs w:val="21"/>
              </w:rPr>
              <w:t> </w:t>
            </w:r>
            <w:r>
              <w:rPr>
                <w:rFonts w:ascii="宋体" w:hAnsi="宋体" w:cs="宋体" w:eastAsia="宋体" w:hint="default"/>
                <w:sz w:val="21"/>
                <w:szCs w:val="21"/>
              </w:rPr>
              <w:t>售</w:t>
            </w:r>
          </w:p>
        </w:tc>
        <w:tc>
          <w:tcPr>
            <w:tcW w:w="88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pacing w:val="-1"/>
                <w:sz w:val="21"/>
              </w:rPr>
              <w:t>1,376,824,003.63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10.05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923,229,086.03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7.30</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49.13</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95,234,026.98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0.70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92,181,684.11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0.73</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3.31</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39,107,657.64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0.28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12,398,482.95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z w:val="21"/>
              </w:rPr>
              <w:t>0.10</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9" w:right="0"/>
              <w:jc w:val="center"/>
              <w:rPr>
                <w:rFonts w:ascii="宋体" w:hAnsi="宋体" w:cs="宋体" w:eastAsia="宋体" w:hint="default"/>
                <w:sz w:val="21"/>
                <w:szCs w:val="21"/>
              </w:rPr>
            </w:pPr>
            <w:r>
              <w:rPr>
                <w:rFonts w:ascii="宋体"/>
                <w:sz w:val="21"/>
              </w:rPr>
              <w:t>215.42</w:t>
            </w:r>
          </w:p>
        </w:tc>
        <w:tc>
          <w:tcPr>
            <w:tcW w:w="660"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pacing w:val="-1"/>
                <w:sz w:val="21"/>
              </w:rPr>
              <w:t>13,702,270,809.12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z w:val="21"/>
              </w:rPr>
              <w:t>100.00</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12,645,500,116.92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9"/>
              <w:jc w:val="right"/>
              <w:rPr>
                <w:rFonts w:ascii="宋体" w:hAnsi="宋体" w:cs="宋体" w:eastAsia="宋体" w:hint="default"/>
                <w:sz w:val="21"/>
                <w:szCs w:val="21"/>
              </w:rPr>
            </w:pPr>
            <w:r>
              <w:rPr>
                <w:rFonts w:ascii="宋体"/>
                <w:sz w:val="21"/>
              </w:rPr>
              <w:t>100.00</w:t>
            </w:r>
          </w:p>
        </w:tc>
        <w:tc>
          <w:tcPr>
            <w:tcW w:w="845"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left="9" w:right="0"/>
              <w:jc w:val="center"/>
              <w:rPr>
                <w:rFonts w:ascii="宋体" w:hAnsi="宋体" w:cs="宋体" w:eastAsia="宋体" w:hint="default"/>
                <w:sz w:val="21"/>
                <w:szCs w:val="21"/>
              </w:rPr>
            </w:pPr>
            <w:r>
              <w:rPr>
                <w:rFonts w:ascii="宋体"/>
                <w:sz w:val="21"/>
              </w:rPr>
              <w:t>8.36</w:t>
            </w:r>
          </w:p>
        </w:tc>
        <w:tc>
          <w:tcPr>
            <w:tcW w:w="660" w:type="dxa"/>
            <w:tcBorders>
              <w:top w:val="single" w:sz="4" w:space="0" w:color="000000"/>
              <w:left w:val="single" w:sz="8"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18"/>
          <w:szCs w:val="18"/>
        </w:rPr>
      </w:pPr>
    </w:p>
    <w:p>
      <w:pPr>
        <w:pStyle w:val="BodyText"/>
        <w:spacing w:line="273" w:lineRule="exact" w:before="36"/>
        <w:ind w:left="538" w:right="0"/>
        <w:jc w:val="left"/>
      </w:pPr>
      <w:r>
        <w:rPr/>
        <w:t>成本分析其他情况说明</w:t>
      </w:r>
    </w:p>
    <w:p>
      <w:pPr>
        <w:pStyle w:val="BodyText"/>
        <w:spacing w:line="273" w:lineRule="exact"/>
        <w:ind w:left="538"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53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81" w:lineRule="exact" w:before="58"/>
        <w:ind w:left="538" w:right="0"/>
        <w:jc w:val="left"/>
      </w:pPr>
      <w:r>
        <w:rPr/>
        <w:t>√适用</w:t>
      </w:r>
      <w:r>
        <w:rPr>
          <w:spacing w:val="1"/>
        </w:rPr>
        <w:t> </w:t>
      </w:r>
      <w:r>
        <w:rPr>
          <w:rFonts w:ascii="Times New Roman" w:hAnsi="Times New Roman" w:cs="Times New Roman" w:eastAsia="Times New Roman" w:hint="default"/>
        </w:rPr>
        <w:t>□</w:t>
      </w:r>
      <w:r>
        <w:rPr/>
        <w:t>不适用</w:t>
      </w:r>
    </w:p>
    <w:p>
      <w:pPr>
        <w:pStyle w:val="BodyText"/>
        <w:spacing w:line="274" w:lineRule="exact" w:before="16"/>
        <w:ind w:left="538" w:right="0"/>
        <w:jc w:val="left"/>
      </w:pPr>
      <w:r>
        <w:rPr/>
        <w:t>前五名客户销售额</w:t>
      </w:r>
      <w:r>
        <w:rPr>
          <w:spacing w:val="-42"/>
        </w:rPr>
        <w:t> </w:t>
      </w:r>
      <w:r>
        <w:rPr>
          <w:rFonts w:ascii="Times New Roman" w:hAnsi="Times New Roman" w:cs="Times New Roman" w:eastAsia="Times New Roman" w:hint="default"/>
        </w:rPr>
        <w:t>172,857.37</w:t>
      </w:r>
      <w:r>
        <w:rPr>
          <w:rFonts w:ascii="Times New Roman" w:hAnsi="Times New Roman" w:cs="Times New Roman" w:eastAsia="Times New Roman" w:hint="default"/>
          <w:spacing w:val="11"/>
        </w:rPr>
        <w:t> </w:t>
      </w:r>
      <w:r>
        <w:rPr>
          <w:spacing w:val="-4"/>
        </w:rPr>
        <w:t>万元，占年度销售总额</w:t>
      </w:r>
      <w:r>
        <w:rPr>
          <w:spacing w:val="-44"/>
        </w:rPr>
        <w:t> </w:t>
      </w:r>
      <w:r>
        <w:rPr>
          <w:rFonts w:ascii="Times New Roman" w:hAnsi="Times New Roman" w:cs="Times New Roman" w:eastAsia="Times New Roman" w:hint="default"/>
          <w:spacing w:val="-3"/>
        </w:rPr>
        <w:t>11.72%</w:t>
      </w:r>
      <w:r>
        <w:rPr>
          <w:spacing w:val="-3"/>
        </w:rPr>
        <w:t>；其中前五名客户销售额中关联方销</w:t>
      </w:r>
      <w:r>
        <w:rPr>
          <w:spacing w:val="-101"/>
        </w:rPr>
        <w:t> </w:t>
      </w:r>
      <w:r>
        <w:rPr>
          <w:spacing w:val="-101"/>
        </w:rPr>
      </w:r>
      <w:r>
        <w:rPr/>
        <w:t>售额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万元，占年度销售总额</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pStyle w:val="BodyText"/>
        <w:spacing w:line="272" w:lineRule="exact"/>
        <w:ind w:left="538" w:right="0"/>
        <w:jc w:val="left"/>
      </w:pPr>
      <w:r>
        <w:rPr/>
        <w:t>前五名供应商采购额</w:t>
      </w:r>
      <w:r>
        <w:rPr>
          <w:spacing w:val="-40"/>
        </w:rPr>
        <w:t> </w:t>
      </w:r>
      <w:r>
        <w:rPr>
          <w:rFonts w:ascii="Times New Roman" w:hAnsi="Times New Roman" w:cs="Times New Roman" w:eastAsia="Times New Roman" w:hint="default"/>
        </w:rPr>
        <w:t>326,961.13</w:t>
      </w:r>
      <w:r>
        <w:rPr>
          <w:rFonts w:ascii="Times New Roman" w:hAnsi="Times New Roman" w:cs="Times New Roman" w:eastAsia="Times New Roman" w:hint="default"/>
          <w:spacing w:val="11"/>
        </w:rPr>
        <w:t> </w:t>
      </w:r>
      <w:r>
        <w:rPr>
          <w:spacing w:val="-5"/>
        </w:rPr>
        <w:t>万元，占年度采购总额</w:t>
      </w:r>
      <w:r>
        <w:rPr>
          <w:spacing w:val="-40"/>
        </w:rPr>
        <w:t> </w:t>
      </w:r>
      <w:r>
        <w:rPr>
          <w:rFonts w:ascii="Times New Roman" w:hAnsi="Times New Roman" w:cs="Times New Roman" w:eastAsia="Times New Roman" w:hint="default"/>
          <w:spacing w:val="-3"/>
        </w:rPr>
        <w:t>23.85%</w:t>
      </w:r>
      <w:r>
        <w:rPr>
          <w:spacing w:val="-3"/>
        </w:rPr>
        <w:t>；其中前五名供应商采购额中关联</w:t>
      </w:r>
      <w:r>
        <w:rPr>
          <w:spacing w:val="-100"/>
        </w:rPr>
        <w:t> </w:t>
      </w:r>
      <w:r>
        <w:rPr>
          <w:spacing w:val="-100"/>
        </w:rPr>
      </w:r>
      <w:r>
        <w:rPr/>
        <w:t>方采购额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万元，占年度采购总额</w:t>
      </w:r>
      <w:r>
        <w:rPr>
          <w:spacing w:val="-52"/>
        </w:rPr>
        <w:t> </w:t>
      </w:r>
      <w:r>
        <w:rPr>
          <w:rFonts w:ascii="Times New Roman" w:hAnsi="Times New Roman" w:cs="Times New Roman" w:eastAsia="Times New Roman" w:hint="default"/>
        </w:rPr>
        <w:t>0%</w:t>
      </w:r>
      <w:r>
        <w:rPr/>
        <w:t>。</w:t>
      </w:r>
    </w:p>
    <w:p>
      <w:pPr>
        <w:pStyle w:val="Heading3"/>
        <w:tabs>
          <w:tab w:pos="957" w:val="left" w:leader="none"/>
        </w:tabs>
        <w:spacing w:line="240" w:lineRule="auto" w:before="34"/>
        <w:ind w:left="538" w:right="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left="538" w:right="0"/>
        <w:jc w:val="left"/>
      </w:pPr>
      <w:r>
        <w:rPr/>
        <w:t>√适用</w:t>
      </w:r>
      <w:r>
        <w:rPr>
          <w:spacing w:val="1"/>
        </w:rPr>
        <w:t> </w:t>
      </w:r>
      <w:r>
        <w:rPr>
          <w:rFonts w:ascii="Times New Roman" w:hAnsi="Times New Roman" w:cs="Times New Roman" w:eastAsia="Times New Roman" w:hint="default"/>
        </w:rPr>
        <w:t>□</w:t>
      </w:r>
      <w:r>
        <w:rPr/>
        <w:t>不适用</w:t>
      </w:r>
    </w:p>
    <w:p>
      <w:pPr>
        <w:pStyle w:val="BodyText"/>
        <w:spacing w:line="258" w:lineRule="exact"/>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19,463,630.36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7,947,416.54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144.91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430,671,509.59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353,493,078.04</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21.83</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214,463,386.66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167,570,347.39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27.98</w:t>
            </w:r>
          </w:p>
        </w:tc>
      </w:tr>
    </w:tbl>
    <w:p>
      <w:pPr>
        <w:pStyle w:val="BodyText"/>
        <w:spacing w:line="257" w:lineRule="exact"/>
        <w:ind w:left="538" w:right="0"/>
        <w:jc w:val="left"/>
      </w:pPr>
      <w:r>
        <w:rPr>
          <w:spacing w:val="-2"/>
        </w:rPr>
        <w:t>销售费用本期较上年同期增长</w:t>
      </w:r>
      <w:r>
        <w:rPr>
          <w:spacing w:val="28"/>
        </w:rPr>
        <w:t> </w:t>
      </w:r>
      <w:r>
        <w:rPr>
          <w:rFonts w:ascii="Times New Roman" w:hAnsi="Times New Roman" w:cs="Times New Roman" w:eastAsia="Times New Roman" w:hint="default"/>
          <w:spacing w:val="-2"/>
        </w:rPr>
        <w:t>144.91%</w:t>
      </w:r>
      <w:r>
        <w:rPr>
          <w:spacing w:val="-2"/>
        </w:rPr>
        <w:t>，主要由于本期材料物资销售业务的运输费上升所致。</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260" w:right="1040"/>
        </w:sectPr>
      </w:pPr>
    </w:p>
    <w:p>
      <w:pPr>
        <w:pStyle w:val="Heading3"/>
        <w:tabs>
          <w:tab w:pos="957" w:val="left" w:leader="none"/>
        </w:tabs>
        <w:spacing w:line="290" w:lineRule="auto"/>
        <w:ind w:left="538" w:right="24"/>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284" w:val="left" w:leader="none"/>
        </w:tabs>
        <w:spacing w:line="240" w:lineRule="auto" w:before="15"/>
        <w:ind w:left="538"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38" w:right="0"/>
        <w:jc w:val="left"/>
      </w:pPr>
      <w:r>
        <w:rPr/>
        <w:t>单位：元</w:t>
      </w:r>
    </w:p>
    <w:p>
      <w:pPr>
        <w:spacing w:after="0" w:line="240" w:lineRule="auto"/>
        <w:jc w:val="left"/>
        <w:sectPr>
          <w:type w:val="continuous"/>
          <w:pgSz w:w="11910" w:h="16840"/>
          <w:pgMar w:top="1120" w:bottom="1380" w:left="1260" w:right="1040"/>
          <w:cols w:num="2" w:equalWidth="0">
            <w:col w:w="2043" w:space="5950"/>
            <w:col w:w="161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35,240,386.37</w:t>
            </w:r>
          </w:p>
        </w:tc>
      </w:tr>
    </w:tbl>
    <w:p>
      <w:pPr>
        <w:spacing w:after="0" w:line="241" w:lineRule="exact"/>
        <w:jc w:val="right"/>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35,240,386.37</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8.93</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7"/>
          <w:szCs w:val="17"/>
        </w:rPr>
      </w:pPr>
    </w:p>
    <w:p>
      <w:pPr>
        <w:pStyle w:val="Heading3"/>
        <w:spacing w:line="240" w:lineRule="auto"/>
        <w:ind w:left="218" w:right="2465"/>
        <w:jc w:val="left"/>
        <w:rPr>
          <w:b w:val="0"/>
          <w:bCs w:val="0"/>
        </w:rPr>
      </w:pPr>
      <w:r>
        <w:rPr/>
        <w:t>情况说明</w:t>
      </w:r>
      <w:r>
        <w:rPr>
          <w:b w:val="0"/>
          <w:bCs w:val="0"/>
        </w:rPr>
      </w:r>
    </w:p>
    <w:p>
      <w:pPr>
        <w:pStyle w:val="BodyText"/>
        <w:spacing w:line="240" w:lineRule="auto" w:before="58"/>
        <w:ind w:left="218" w:right="2465"/>
        <w:jc w:val="left"/>
      </w:pPr>
      <w:r>
        <w:rPr/>
        <w:t>□适用 √不适用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3"/>
        <w:tabs>
          <w:tab w:pos="637" w:val="left" w:leader="none"/>
        </w:tabs>
        <w:spacing w:line="240" w:lineRule="auto"/>
        <w:ind w:left="218" w:right="-19"/>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7"/>
        <w:ind w:left="2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变动额</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484,775,465.48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399,599,576.88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85,175,888.60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投资活动产生的现金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-254,575,624.38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-91,186,480.69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-163,389,143.69</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筹资活动产生的现金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192,152,986.45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84,754,652.60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107,398,333.85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tabs>
          <w:tab w:pos="1057" w:val="left" w:leader="none"/>
        </w:tabs>
        <w:spacing w:line="240" w:lineRule="auto"/>
        <w:ind w:left="218"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9"/>
        <w:ind w:left="218"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tabs>
          <w:tab w:pos="1057" w:val="left" w:leader="none"/>
        </w:tabs>
        <w:spacing w:line="240" w:lineRule="auto"/>
        <w:ind w:left="21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56"/>
        <w:ind w:left="218" w:right="-16"/>
        <w:jc w:val="left"/>
      </w:pPr>
      <w:r>
        <w:rPr/>
        <w:t>√适用</w:t>
        <w:tab/>
        <w:t>□不适用</w:t>
      </w:r>
    </w:p>
    <w:p>
      <w:pPr>
        <w:pStyle w:val="Heading3"/>
        <w:tabs>
          <w:tab w:pos="642" w:val="left" w:leader="none"/>
        </w:tabs>
        <w:spacing w:line="240" w:lineRule="auto" w:before="58"/>
        <w:ind w:left="21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2"/>
        <w:gridCol w:w="1897"/>
        <w:gridCol w:w="1260"/>
        <w:gridCol w:w="1899"/>
        <w:gridCol w:w="1217"/>
        <w:gridCol w:w="900"/>
        <w:gridCol w:w="425"/>
      </w:tblGrid>
      <w:tr>
        <w:trPr>
          <w:trHeight w:val="164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03" w:right="201"/>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36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82" w:right="180"/>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27" w:right="127"/>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2" w:lineRule="exact"/>
              <w:ind w:left="17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2,341,871,737.78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1,724,667,399.79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35.79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1</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159,046,648.18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54,062,350.66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194.19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2</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其他流动资</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141,006,291.25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51,348,173.65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3</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可供出售金</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126,300,000.00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4</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835,923,888.93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583,313,959.64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43.31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5</w:t>
            </w:r>
          </w:p>
        </w:tc>
      </w:tr>
      <w:tr>
        <w:trPr>
          <w:trHeight w:val="55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23,839,845.10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0.17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88,084,897.87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-72.94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6</w:t>
            </w:r>
          </w:p>
        </w:tc>
      </w:tr>
      <w:tr>
        <w:trPr>
          <w:trHeight w:val="28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其他</w:t>
            </w:r>
            <w:r>
              <w:rPr>
                <w:rFonts w:ascii="宋体" w:hAnsi="宋体" w:cs="宋体" w:eastAsia="宋体" w:hint="default"/>
                <w:spacing w:val="-50"/>
                <w:sz w:val="21"/>
                <w:szCs w:val="21"/>
              </w:rPr>
              <w:t> </w:t>
            </w:r>
            <w:r>
              <w:rPr>
                <w:rFonts w:ascii="宋体" w:hAnsi="宋体" w:cs="宋体" w:eastAsia="宋体" w:hint="default"/>
                <w:spacing w:val="29"/>
                <w:sz w:val="21"/>
                <w:szCs w:val="21"/>
              </w:rPr>
              <w:t>非流动</w:t>
            </w:r>
            <w:r>
              <w:rPr>
                <w:rFonts w:ascii="宋体" w:hAnsi="宋体" w:cs="宋体" w:eastAsia="宋体" w:hint="default"/>
                <w:spacing w:val="-60"/>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12,553,217.94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9,626,405.06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52"/>
        <w:gridCol w:w="1897"/>
        <w:gridCol w:w="1260"/>
        <w:gridCol w:w="1899"/>
        <w:gridCol w:w="1217"/>
        <w:gridCol w:w="900"/>
        <w:gridCol w:w="425"/>
      </w:tblGrid>
      <w:tr>
        <w:trPr>
          <w:trHeight w:val="28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7</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衍生金融负</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8</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应付职工薪</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43,713,710.65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32,909,363.10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32.83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9</w:t>
            </w: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一年内到期</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2" w:lineRule="exact" w:before="27"/>
              <w:ind w:left="103" w:right="53"/>
              <w:jc w:val="left"/>
              <w:rPr>
                <w:rFonts w:ascii="宋体" w:hAnsi="宋体" w:cs="宋体" w:eastAsia="宋体" w:hint="default"/>
                <w:sz w:val="21"/>
                <w:szCs w:val="21"/>
              </w:rPr>
            </w:pPr>
            <w:r>
              <w:rPr>
                <w:rFonts w:ascii="宋体" w:hAnsi="宋体" w:cs="宋体" w:eastAsia="宋体" w:hint="default"/>
                <w:spacing w:val="35"/>
                <w:sz w:val="21"/>
                <w:szCs w:val="21"/>
              </w:rPr>
              <w:t>的非流动负</w:t>
            </w:r>
            <w:r>
              <w:rPr>
                <w:rFonts w:ascii="宋体" w:hAnsi="宋体" w:cs="宋体" w:eastAsia="宋体" w:hint="default"/>
                <w:spacing w:val="-94"/>
                <w:sz w:val="21"/>
                <w:szCs w:val="21"/>
              </w:rPr>
              <w:t> </w:t>
            </w:r>
            <w:r>
              <w:rPr>
                <w:rFonts w:ascii="宋体" w:hAnsi="宋体" w:cs="宋体" w:eastAsia="宋体" w:hint="default"/>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sz w:val="21"/>
              </w:rPr>
              <w:t>10</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其他流动负</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245,229,277.66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137,093,979.06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78.88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sz w:val="21"/>
              </w:rPr>
              <w:t>11</w:t>
            </w:r>
          </w:p>
        </w:tc>
      </w:tr>
      <w:tr>
        <w:trPr>
          <w:trHeight w:val="554"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p>
            <w:pPr>
              <w:pStyle w:val="TableParagraph"/>
              <w:spacing w:line="274" w:lineRule="exact"/>
              <w:ind w:left="103" w:right="0"/>
              <w:jc w:val="left"/>
              <w:rPr>
                <w:rFonts w:ascii="宋体" w:hAnsi="宋体" w:cs="宋体" w:eastAsia="宋体" w:hint="default"/>
                <w:sz w:val="21"/>
                <w:szCs w:val="21"/>
              </w:rPr>
            </w:pPr>
            <w:r>
              <w:rPr>
                <w:rFonts w:ascii="宋体"/>
                <w:sz w:val="21"/>
              </w:rPr>
              <w:t>12</w:t>
            </w:r>
          </w:p>
        </w:tc>
      </w:tr>
    </w:tbl>
    <w:p>
      <w:pPr>
        <w:spacing w:line="240" w:lineRule="auto" w:before="8"/>
        <w:rPr>
          <w:rFonts w:ascii="宋体" w:hAnsi="宋体" w:cs="宋体" w:eastAsia="宋体" w:hint="default"/>
          <w:sz w:val="15"/>
          <w:szCs w:val="15"/>
        </w:rPr>
      </w:pPr>
    </w:p>
    <w:p>
      <w:pPr>
        <w:pStyle w:val="BodyText"/>
        <w:spacing w:line="273" w:lineRule="exact" w:before="36"/>
        <w:ind w:left="218" w:right="2465"/>
        <w:jc w:val="left"/>
      </w:pPr>
      <w:r>
        <w:rPr/>
        <w:t>其他说明</w:t>
      </w:r>
    </w:p>
    <w:p>
      <w:pPr>
        <w:pStyle w:val="BodyText"/>
        <w:spacing w:line="274" w:lineRule="exact" w:before="24"/>
        <w:ind w:left="218" w:right="221"/>
        <w:jc w:val="left"/>
      </w:pPr>
      <w:r>
        <w:rPr/>
        <w:t>注</w:t>
      </w:r>
      <w:r>
        <w:rPr>
          <w:spacing w:val="-58"/>
        </w:rPr>
        <w:t> </w:t>
      </w:r>
      <w:r>
        <w:rPr>
          <w:rFonts w:ascii="Times New Roman" w:hAnsi="Times New Roman" w:cs="Times New Roman" w:eastAsia="Times New Roman" w:hint="default"/>
        </w:rPr>
        <w:t>1</w:t>
      </w:r>
      <w:r>
        <w:rPr/>
        <w:t>：货币资金期末余额较年初增长</w:t>
      </w:r>
      <w:r>
        <w:rPr>
          <w:spacing w:val="-58"/>
        </w:rPr>
        <w:t> </w:t>
      </w:r>
      <w:r>
        <w:rPr>
          <w:rFonts w:ascii="Times New Roman" w:hAnsi="Times New Roman" w:cs="Times New Roman" w:eastAsia="Times New Roman" w:hint="default"/>
        </w:rPr>
        <w:t>35.79%</w:t>
      </w:r>
      <w:r>
        <w:rPr/>
        <w:t>，主要原因为本期期末工程款回款增加其他货币资金</w:t>
      </w:r>
      <w:r>
        <w:rPr>
          <w:w w:val="100"/>
        </w:rPr>
        <w:t> </w:t>
      </w:r>
      <w:r>
        <w:rPr/>
        <w:t>增加。</w:t>
      </w:r>
    </w:p>
    <w:p>
      <w:pPr>
        <w:pStyle w:val="BodyText"/>
        <w:spacing w:line="253" w:lineRule="exact"/>
        <w:ind w:left="218" w:right="227"/>
        <w:jc w:val="left"/>
      </w:pPr>
      <w:r>
        <w:rPr/>
        <w:t>注</w:t>
      </w:r>
      <w:r>
        <w:rPr>
          <w:spacing w:val="-56"/>
        </w:rPr>
        <w:t> </w:t>
      </w:r>
      <w:r>
        <w:rPr>
          <w:rFonts w:ascii="Times New Roman" w:hAnsi="Times New Roman" w:cs="Times New Roman" w:eastAsia="Times New Roman" w:hint="default"/>
        </w:rPr>
        <w:t>2</w:t>
      </w:r>
      <w:r>
        <w:rPr/>
        <w:t>：应收票据期末余额较年初增长</w:t>
      </w:r>
      <w:r>
        <w:rPr>
          <w:spacing w:val="-56"/>
        </w:rPr>
        <w:t> </w:t>
      </w:r>
      <w:r>
        <w:rPr>
          <w:rFonts w:ascii="Times New Roman" w:hAnsi="Times New Roman" w:cs="Times New Roman" w:eastAsia="Times New Roman" w:hint="default"/>
        </w:rPr>
        <w:t>194.19%</w:t>
      </w:r>
      <w:r>
        <w:rPr/>
        <w:t>，主要原因为本期票据结算增加。</w:t>
      </w:r>
    </w:p>
    <w:p>
      <w:pPr>
        <w:pStyle w:val="BodyText"/>
        <w:spacing w:line="225" w:lineRule="auto" w:before="6"/>
        <w:ind w:left="218" w:right="221"/>
        <w:jc w:val="left"/>
      </w:pPr>
      <w:r>
        <w:rPr/>
        <w:t>注</w:t>
      </w:r>
      <w:r>
        <w:rPr>
          <w:spacing w:val="-55"/>
        </w:rPr>
        <w:t> </w:t>
      </w:r>
      <w:r>
        <w:rPr>
          <w:rFonts w:ascii="Times New Roman" w:hAnsi="Times New Roman" w:cs="Times New Roman" w:eastAsia="Times New Roman" w:hint="default"/>
        </w:rPr>
        <w:t>3</w:t>
      </w:r>
      <w:r>
        <w:rPr/>
        <w:t>：其他流动资产期末余额较年初增长</w:t>
      </w:r>
      <w:r>
        <w:rPr>
          <w:spacing w:val="-55"/>
        </w:rPr>
        <w:t> </w:t>
      </w:r>
      <w:r>
        <w:rPr>
          <w:rFonts w:ascii="Times New Roman" w:hAnsi="Times New Roman" w:cs="Times New Roman" w:eastAsia="Times New Roman" w:hint="default"/>
        </w:rPr>
        <w:t>174.61%</w:t>
      </w:r>
      <w:r>
        <w:rPr/>
        <w:t>，主要原因为营改增导致待抵扣进项税增加。</w:t>
      </w:r>
      <w:r>
        <w:rPr>
          <w:w w:val="100"/>
        </w:rPr>
        <w:t> </w:t>
      </w:r>
      <w:r>
        <w:rPr/>
        <w:t>注</w:t>
      </w:r>
      <w:r>
        <w:rPr>
          <w:spacing w:val="-58"/>
        </w:rPr>
        <w:t> </w:t>
      </w:r>
      <w:r>
        <w:rPr>
          <w:rFonts w:ascii="Times New Roman" w:hAnsi="Times New Roman" w:cs="Times New Roman" w:eastAsia="Times New Roman" w:hint="default"/>
        </w:rPr>
        <w:t>4</w:t>
      </w:r>
      <w:r>
        <w:rPr/>
        <w:t>：可供出售金融资产较年初减少</w:t>
      </w:r>
      <w:r>
        <w:rPr>
          <w:spacing w:val="-58"/>
        </w:rPr>
        <w:t> </w:t>
      </w:r>
      <w:r>
        <w:rPr>
          <w:rFonts w:ascii="Times New Roman" w:hAnsi="Times New Roman" w:cs="Times New Roman" w:eastAsia="Times New Roman" w:hint="default"/>
        </w:rPr>
        <w:t>30.09%</w:t>
      </w:r>
      <w:r>
        <w:rPr/>
        <w:t>，主要原因为本期出售了对万邦德医疗科技有限公司</w:t>
      </w:r>
      <w:r>
        <w:rPr>
          <w:w w:val="100"/>
        </w:rPr>
        <w:t> </w:t>
      </w:r>
      <w:r>
        <w:rPr/>
        <w:t>及对北京韬盛科技发展有限公司投资。</w:t>
      </w:r>
    </w:p>
    <w:p>
      <w:pPr>
        <w:pStyle w:val="BodyText"/>
        <w:spacing w:line="274" w:lineRule="exact" w:before="24"/>
        <w:ind w:left="218" w:right="224"/>
        <w:jc w:val="left"/>
      </w:pPr>
      <w:r>
        <w:rPr/>
        <w:t>注</w:t>
      </w:r>
      <w:r>
        <w:rPr>
          <w:spacing w:val="-60"/>
        </w:rPr>
        <w:t> </w:t>
      </w:r>
      <w:r>
        <w:rPr>
          <w:rFonts w:ascii="Times New Roman" w:hAnsi="Times New Roman" w:cs="Times New Roman" w:eastAsia="Times New Roman" w:hint="default"/>
        </w:rPr>
        <w:t>5</w:t>
      </w:r>
      <w:r>
        <w:rPr/>
        <w:t>：固定资产期末余额较年初增长</w:t>
      </w:r>
      <w:r>
        <w:rPr>
          <w:spacing w:val="-59"/>
        </w:rPr>
        <w:t> </w:t>
      </w:r>
      <w:r>
        <w:rPr>
          <w:rFonts w:ascii="Times New Roman" w:hAnsi="Times New Roman" w:cs="Times New Roman" w:eastAsia="Times New Roman" w:hint="default"/>
        </w:rPr>
        <w:t>43.31%</w:t>
      </w:r>
      <w:r>
        <w:rPr/>
        <w:t>，主要原因为宁波建工工程集团有限公司购买鄞州区</w:t>
      </w:r>
      <w:r>
        <w:rPr>
          <w:spacing w:val="-3"/>
          <w:w w:val="100"/>
        </w:rPr>
        <w:t> </w:t>
      </w:r>
      <w:r>
        <w:rPr/>
        <w:t>兴宁路</w:t>
      </w:r>
      <w:r>
        <w:rPr>
          <w:spacing w:val="-56"/>
        </w:rPr>
        <w:t> </w:t>
      </w:r>
      <w:r>
        <w:rPr>
          <w:rFonts w:ascii="Times New Roman" w:hAnsi="Times New Roman" w:cs="Times New Roman" w:eastAsia="Times New Roman" w:hint="default"/>
        </w:rPr>
        <w:t>46</w:t>
      </w:r>
      <w:r>
        <w:rPr>
          <w:rFonts w:ascii="Times New Roman" w:hAnsi="Times New Roman" w:cs="Times New Roman" w:eastAsia="Times New Roman" w:hint="default"/>
          <w:spacing w:val="-6"/>
        </w:rPr>
        <w:t> </w:t>
      </w:r>
      <w:r>
        <w:rPr/>
        <w:t>号房产，及宁波市政工程建设集团股份有限公司新办公楼从在建工程转固。</w:t>
      </w:r>
    </w:p>
    <w:p>
      <w:pPr>
        <w:pStyle w:val="BodyText"/>
        <w:spacing w:line="253" w:lineRule="exact"/>
        <w:ind w:left="218" w:right="0"/>
        <w:jc w:val="left"/>
      </w:pPr>
      <w:r>
        <w:rPr/>
        <w:t>注</w:t>
      </w:r>
      <w:r>
        <w:rPr>
          <w:spacing w:val="-60"/>
        </w:rPr>
        <w:t> </w:t>
      </w:r>
      <w:r>
        <w:rPr>
          <w:rFonts w:ascii="Times New Roman" w:hAnsi="Times New Roman" w:cs="Times New Roman" w:eastAsia="Times New Roman" w:hint="default"/>
        </w:rPr>
        <w:t>6</w:t>
      </w:r>
      <w:r>
        <w:rPr/>
        <w:t>：在建工程期末余额较年初减少</w:t>
      </w:r>
      <w:r>
        <w:rPr>
          <w:spacing w:val="-60"/>
        </w:rPr>
        <w:t> </w:t>
      </w:r>
      <w:r>
        <w:rPr>
          <w:rFonts w:ascii="Times New Roman" w:hAnsi="Times New Roman" w:cs="Times New Roman" w:eastAsia="Times New Roman" w:hint="default"/>
        </w:rPr>
        <w:t>72.94%</w:t>
      </w:r>
      <w:r>
        <w:rPr/>
        <w:t>，主要原因为宁波市政工程建设集团股份有限公司新</w:t>
      </w:r>
    </w:p>
    <w:p>
      <w:pPr>
        <w:pStyle w:val="BodyText"/>
        <w:spacing w:line="265" w:lineRule="exact"/>
        <w:ind w:left="218" w:right="2465"/>
        <w:jc w:val="left"/>
      </w:pPr>
      <w:r>
        <w:rPr/>
        <w:t>办公楼从在建工程转固。</w:t>
      </w:r>
    </w:p>
    <w:p>
      <w:pPr>
        <w:pStyle w:val="BodyText"/>
        <w:spacing w:line="279" w:lineRule="exact"/>
        <w:ind w:left="218" w:right="227"/>
        <w:jc w:val="left"/>
      </w:pPr>
      <w:r>
        <w:rPr/>
        <w:t>注</w:t>
      </w:r>
      <w:r>
        <w:rPr>
          <w:spacing w:val="-57"/>
        </w:rPr>
        <w:t> </w:t>
      </w:r>
      <w:r>
        <w:rPr>
          <w:rFonts w:ascii="Times New Roman" w:hAnsi="Times New Roman" w:cs="Times New Roman" w:eastAsia="Times New Roman" w:hint="default"/>
        </w:rPr>
        <w:t>7</w:t>
      </w:r>
      <w:r>
        <w:rPr/>
        <w:t>：其他非流动资产期末余额比年初增长了</w:t>
      </w:r>
      <w:r>
        <w:rPr>
          <w:spacing w:val="-57"/>
        </w:rPr>
        <w:t> </w:t>
      </w:r>
      <w:r>
        <w:rPr>
          <w:rFonts w:ascii="Times New Roman" w:hAnsi="Times New Roman" w:cs="Times New Roman" w:eastAsia="Times New Roman" w:hint="default"/>
        </w:rPr>
        <w:t>30.40%</w:t>
      </w:r>
      <w:r>
        <w:rPr/>
        <w:t>，主要原因为临时设施增加。</w:t>
      </w:r>
    </w:p>
    <w:p>
      <w:pPr>
        <w:pStyle w:val="BodyText"/>
        <w:spacing w:line="274" w:lineRule="exact" w:before="16"/>
        <w:ind w:left="218" w:right="222"/>
        <w:jc w:val="left"/>
      </w:pPr>
      <w:r>
        <w:rPr/>
        <w:t>注</w:t>
      </w:r>
      <w:r>
        <w:rPr>
          <w:spacing w:val="6"/>
        </w:rPr>
        <w:t> </w:t>
      </w:r>
      <w:r>
        <w:rPr>
          <w:rFonts w:ascii="Times New Roman" w:hAnsi="Times New Roman" w:cs="Times New Roman" w:eastAsia="Times New Roman" w:hint="default"/>
        </w:rPr>
        <w:t>8</w:t>
      </w:r>
      <w:r>
        <w:rPr/>
        <w:t>：衍生金融负债较年初增加，主要原因为本期宁波市政工程建设集团股份有限公司与上海浦</w:t>
      </w:r>
      <w:r>
        <w:rPr>
          <w:w w:val="100"/>
        </w:rPr>
        <w:t> </w:t>
      </w:r>
      <w:r>
        <w:rPr>
          <w:spacing w:val="-5"/>
          <w:w w:val="100"/>
        </w:rPr>
        <w:t>东发展银行股份有限公司达成中国银行间市场金融衍生品交易协议，截至</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4"/>
          <w:w w:val="100"/>
        </w:rPr>
        <w:t> </w:t>
      </w:r>
      <w:r>
        <w:rPr>
          <w:w w:val="100"/>
        </w:rPr>
        <w:t>年</w:t>
      </w:r>
      <w:r>
        <w:rPr>
          <w:spacing w:val="-49"/>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4"/>
          <w:w w:val="100"/>
        </w:rPr>
        <w:t> </w:t>
      </w:r>
      <w:r>
        <w:rPr>
          <w:w w:val="100"/>
        </w:rPr>
        <w:t>月</w:t>
      </w:r>
      <w:r>
        <w:rPr>
          <w:spacing w:val="-49"/>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4"/>
          <w:w w:val="100"/>
        </w:rPr>
        <w:t> </w:t>
      </w:r>
      <w:r>
        <w:rPr>
          <w:spacing w:val="-3"/>
          <w:w w:val="100"/>
        </w:rPr>
        <w:t>日浦发</w:t>
      </w:r>
      <w:r>
        <w:rPr>
          <w:w w:val="100"/>
        </w:rPr>
      </w:r>
    </w:p>
    <w:p>
      <w:pPr>
        <w:pStyle w:val="BodyText"/>
        <w:spacing w:line="253" w:lineRule="exact"/>
        <w:ind w:left="218" w:right="2465"/>
        <w:jc w:val="left"/>
      </w:pPr>
      <w:r>
        <w:rPr/>
        <w:t>银行大宗商品衍生品融资为</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亿元。</w:t>
      </w:r>
    </w:p>
    <w:p>
      <w:pPr>
        <w:pStyle w:val="BodyText"/>
        <w:spacing w:line="272" w:lineRule="exact"/>
        <w:ind w:left="218" w:right="227"/>
        <w:jc w:val="left"/>
      </w:pPr>
      <w:r>
        <w:rPr/>
        <w:t>注</w:t>
      </w:r>
      <w:r>
        <w:rPr>
          <w:spacing w:val="-56"/>
        </w:rPr>
        <w:t> </w:t>
      </w:r>
      <w:r>
        <w:rPr>
          <w:rFonts w:ascii="Times New Roman" w:hAnsi="Times New Roman" w:cs="Times New Roman" w:eastAsia="Times New Roman" w:hint="default"/>
        </w:rPr>
        <w:t>9</w:t>
      </w:r>
      <w:r>
        <w:rPr/>
        <w:t>：应付职工薪酬期末余额较年初增长</w:t>
      </w:r>
      <w:r>
        <w:rPr>
          <w:spacing w:val="-56"/>
        </w:rPr>
        <w:t> </w:t>
      </w:r>
      <w:r>
        <w:rPr>
          <w:rFonts w:ascii="Times New Roman" w:hAnsi="Times New Roman" w:cs="Times New Roman" w:eastAsia="Times New Roman" w:hint="default"/>
        </w:rPr>
        <w:t>32.83%</w:t>
      </w:r>
      <w:r>
        <w:rPr/>
        <w:t>，主要原因为本期预提的年终奖增加。</w:t>
      </w:r>
    </w:p>
    <w:p>
      <w:pPr>
        <w:pStyle w:val="BodyText"/>
        <w:spacing w:line="274" w:lineRule="exact" w:before="16"/>
        <w:ind w:left="218" w:right="223"/>
        <w:jc w:val="left"/>
      </w:pPr>
      <w:r>
        <w:rPr/>
        <w:t>注 </w:t>
      </w:r>
      <w:r>
        <w:rPr>
          <w:rFonts w:ascii="Times New Roman" w:hAnsi="Times New Roman" w:cs="Times New Roman" w:eastAsia="Times New Roman" w:hint="default"/>
        </w:rPr>
        <w:t>10</w:t>
      </w:r>
      <w:r>
        <w:rPr/>
        <w:t>：一年内到期的非流动负债期末余额较年初减少</w:t>
      </w:r>
      <w:r>
        <w:rPr>
          <w:spacing w:val="-13"/>
        </w:rPr>
        <w:t> </w:t>
      </w:r>
      <w:r>
        <w:rPr>
          <w:rFonts w:ascii="Times New Roman" w:hAnsi="Times New Roman" w:cs="Times New Roman" w:eastAsia="Times New Roman" w:hint="default"/>
        </w:rPr>
        <w:t>39.05%</w:t>
      </w:r>
      <w:r>
        <w:rPr/>
        <w:t>，主要原因为期初一年内到期的非</w:t>
      </w:r>
      <w:r>
        <w:rPr>
          <w:w w:val="100"/>
        </w:rPr>
        <w:t> </w:t>
      </w:r>
      <w:r>
        <w:rPr/>
        <w:t>流动负债在本期已偿还。</w:t>
      </w:r>
    </w:p>
    <w:p>
      <w:pPr>
        <w:pStyle w:val="BodyText"/>
        <w:spacing w:line="253" w:lineRule="exact"/>
        <w:ind w:left="218" w:right="227"/>
        <w:jc w:val="left"/>
      </w:pPr>
      <w:r>
        <w:rPr/>
        <w:t>注</w:t>
      </w:r>
      <w:r>
        <w:rPr>
          <w:spacing w:val="-61"/>
        </w:rPr>
        <w:t> </w:t>
      </w:r>
      <w:r>
        <w:rPr>
          <w:rFonts w:ascii="Times New Roman" w:hAnsi="Times New Roman" w:cs="Times New Roman" w:eastAsia="Times New Roman" w:hint="default"/>
        </w:rPr>
        <w:t>11</w:t>
      </w:r>
      <w:r>
        <w:rPr/>
        <w:t>：其他流动负债期末余额较年初数增长</w:t>
      </w:r>
      <w:r>
        <w:rPr>
          <w:spacing w:val="-61"/>
        </w:rPr>
        <w:t> </w:t>
      </w:r>
      <w:r>
        <w:rPr>
          <w:rFonts w:ascii="Times New Roman" w:hAnsi="Times New Roman" w:cs="Times New Roman" w:eastAsia="Times New Roman" w:hint="default"/>
        </w:rPr>
        <w:t>78.88%</w:t>
      </w:r>
      <w:r>
        <w:rPr/>
        <w:t>，主要原因为本期待转销项税增加。</w:t>
      </w:r>
    </w:p>
    <w:p>
      <w:pPr>
        <w:pStyle w:val="BodyText"/>
        <w:spacing w:line="272" w:lineRule="exact" w:before="19"/>
        <w:ind w:left="218" w:right="227"/>
        <w:jc w:val="left"/>
      </w:pPr>
      <w:r>
        <w:rPr/>
        <w:t>注</w:t>
      </w:r>
      <w:r>
        <w:rPr>
          <w:spacing w:val="-41"/>
        </w:rPr>
        <w:t> </w:t>
      </w:r>
      <w:r>
        <w:rPr>
          <w:rFonts w:ascii="Times New Roman" w:hAnsi="Times New Roman" w:cs="Times New Roman" w:eastAsia="Times New Roman" w:hint="default"/>
          <w:spacing w:val="-3"/>
        </w:rPr>
        <w:t>12</w:t>
      </w:r>
      <w:r>
        <w:rPr>
          <w:spacing w:val="-3"/>
        </w:rPr>
        <w:t>：长期借款期末余额较年初数增长</w:t>
      </w:r>
      <w:r>
        <w:rPr>
          <w:spacing w:val="-41"/>
        </w:rPr>
        <w:t> </w:t>
      </w:r>
      <w:r>
        <w:rPr>
          <w:rFonts w:ascii="Times New Roman" w:hAnsi="Times New Roman" w:cs="Times New Roman" w:eastAsia="Times New Roman" w:hint="default"/>
          <w:spacing w:val="-3"/>
        </w:rPr>
        <w:t>126.92%</w:t>
      </w:r>
      <w:r>
        <w:rPr>
          <w:spacing w:val="-3"/>
        </w:rPr>
        <w:t>，主要原因为本公司承接的</w:t>
      </w:r>
      <w:r>
        <w:rPr>
          <w:spacing w:val="-43"/>
        </w:rPr>
        <w:t> </w:t>
      </w:r>
      <w:r>
        <w:rPr>
          <w:rFonts w:ascii="Times New Roman" w:hAnsi="Times New Roman" w:cs="Times New Roman" w:eastAsia="Times New Roman" w:hint="default"/>
        </w:rPr>
        <w:t>PPP</w:t>
      </w:r>
      <w:r>
        <w:rPr>
          <w:rFonts w:ascii="Times New Roman" w:hAnsi="Times New Roman" w:cs="Times New Roman" w:eastAsia="Times New Roman" w:hint="default"/>
          <w:spacing w:val="14"/>
        </w:rPr>
        <w:t> </w:t>
      </w:r>
      <w:r>
        <w:rPr/>
        <w:t>项目进入施工阶</w:t>
      </w:r>
      <w:r>
        <w:rPr>
          <w:spacing w:val="-100"/>
        </w:rPr>
        <w:t> </w:t>
      </w:r>
      <w:r>
        <w:rPr>
          <w:spacing w:val="-100"/>
        </w:rPr>
      </w:r>
      <w:r>
        <w:rPr/>
        <w:t>段，工程款投入增加所致。</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pStyle w:val="Heading3"/>
        <w:tabs>
          <w:tab w:pos="642" w:val="left" w:leader="none"/>
        </w:tabs>
        <w:spacing w:line="240" w:lineRule="auto"/>
        <w:ind w:left="218"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1060" w:val="left" w:leader="none"/>
        </w:tabs>
        <w:spacing w:line="240" w:lineRule="auto" w:before="59"/>
        <w:ind w:left="218"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3596" w:space="4398"/>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2269"/>
        <w:gridCol w:w="497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267,269,792.97</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法院冻结款及到期日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个月以上其他货币资金</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243,274,319.73</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146,417,589.88</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抵押贷款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642" w:val="left" w:leader="none"/>
        </w:tabs>
        <w:spacing w:line="240" w:lineRule="auto"/>
        <w:ind w:left="218" w:right="2465"/>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56"/>
        <w:ind w:left="218" w:right="2465"/>
        <w:jc w:val="left"/>
      </w:pPr>
      <w:r>
        <w:rPr/>
        <w:t>□适用</w:t>
        <w:tab/>
        <w:t>√不适用</w:t>
      </w:r>
    </w:p>
    <w:p>
      <w:pPr>
        <w:spacing w:line="240" w:lineRule="auto" w:before="11"/>
        <w:rPr>
          <w:rFonts w:ascii="宋体" w:hAnsi="宋体" w:cs="宋体" w:eastAsia="宋体" w:hint="default"/>
          <w:sz w:val="22"/>
          <w:szCs w:val="22"/>
        </w:rPr>
      </w:pPr>
    </w:p>
    <w:p>
      <w:pPr>
        <w:pStyle w:val="Heading3"/>
        <w:tabs>
          <w:tab w:pos="1057" w:val="left" w:leader="none"/>
        </w:tabs>
        <w:spacing w:line="240" w:lineRule="auto" w:before="0"/>
        <w:ind w:left="218"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240" w:lineRule="auto" w:before="58"/>
        <w:ind w:left="218" w:right="246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36"/>
        <w:ind w:left="558" w:right="105"/>
        <w:jc w:val="left"/>
      </w:pPr>
      <w:r>
        <w:rPr>
          <w:rFonts w:ascii="宋体" w:hAnsi="宋体" w:cs="宋体" w:eastAsia="宋体" w:hint="default"/>
        </w:rPr>
        <w:t>1</w:t>
      </w:r>
      <w:r>
        <w:rPr/>
        <w:t>、建筑行业情况</w:t>
      </w:r>
    </w:p>
    <w:p>
      <w:pPr>
        <w:pStyle w:val="BodyText"/>
        <w:spacing w:line="237" w:lineRule="auto" w:before="2"/>
        <w:ind w:right="207" w:firstLine="419"/>
        <w:jc w:val="both"/>
      </w:pPr>
      <w:r>
        <w:rPr>
          <w:rFonts w:ascii="宋体" w:hAnsi="宋体" w:cs="宋体" w:eastAsia="宋体" w:hint="default"/>
          <w:spacing w:val="-2"/>
        </w:rPr>
        <w:t>2017</w:t>
      </w:r>
      <w:r>
        <w:rPr>
          <w:spacing w:val="-2"/>
        </w:rPr>
        <w:t>年宏观经济坚持稳中求进，坚持以提高发展质量和效益为中心，以供给侧结构性改革为</w:t>
      </w:r>
      <w:r>
        <w:rPr>
          <w:w w:val="100"/>
        </w:rPr>
        <w:t> </w:t>
      </w:r>
      <w:r>
        <w:rPr>
          <w:spacing w:val="-2"/>
        </w:rPr>
        <w:t>主线，统筹推进稳增长、促改革、调结构、惠民生、防风险各项工作，经济运行稳中向好、好于</w:t>
      </w:r>
      <w:r>
        <w:rPr>
          <w:spacing w:val="-25"/>
        </w:rPr>
        <w:t> </w:t>
      </w:r>
      <w:r>
        <w:rPr>
          <w:spacing w:val="-25"/>
        </w:rPr>
      </w:r>
      <w:r>
        <w:rPr>
          <w:spacing w:val="-2"/>
        </w:rPr>
        <w:t>预期，经济社会保持平稳健康发展，随着相关产业的升级、“一带一路”倡议的发展落实、城镇</w:t>
      </w:r>
      <w:r>
        <w:rPr>
          <w:spacing w:val="-25"/>
        </w:rPr>
        <w:t> </w:t>
      </w:r>
      <w:r>
        <w:rPr>
          <w:spacing w:val="-25"/>
        </w:rPr>
      </w:r>
      <w:r>
        <w:rPr>
          <w:spacing w:val="-2"/>
        </w:rPr>
        <w:t>化建设的持续推进，建筑业总体保持了稳健增长的态势。本公司属于区域龙头建筑企业，大部分</w:t>
      </w:r>
      <w:r>
        <w:rPr>
          <w:spacing w:val="-25"/>
        </w:rPr>
        <w:t> </w:t>
      </w:r>
      <w:r>
        <w:rPr>
          <w:spacing w:val="-25"/>
        </w:rPr>
      </w:r>
      <w:r>
        <w:rPr>
          <w:spacing w:val="-6"/>
          <w:w w:val="100"/>
        </w:rPr>
        <w:t>业务集中在宁波及周边地区，近年来宁波市主动接轨</w:t>
      </w:r>
      <w:hyperlink r:id="rId15">
        <w:r>
          <w:rPr>
            <w:spacing w:val="-6"/>
            <w:w w:val="100"/>
          </w:rPr>
          <w:t>上海</w:t>
        </w:r>
      </w:hyperlink>
      <w:r>
        <w:rPr>
          <w:spacing w:val="-6"/>
          <w:w w:val="100"/>
        </w:rPr>
        <w:t>、积极参与</w:t>
      </w:r>
      <w:hyperlink r:id="rId16">
        <w:r>
          <w:rPr>
            <w:spacing w:val="-6"/>
            <w:w w:val="100"/>
          </w:rPr>
          <w:t>长江三角洲</w:t>
        </w:r>
      </w:hyperlink>
      <w:r>
        <w:rPr>
          <w:spacing w:val="-6"/>
          <w:w w:val="100"/>
        </w:rPr>
        <w:t>地区交流与合作，</w:t>
      </w:r>
      <w:r>
        <w:rPr>
          <w:w w:val="100"/>
        </w:rPr>
        <w:t> </w:t>
      </w:r>
      <w:r>
        <w:rPr>
          <w:spacing w:val="-2"/>
        </w:rPr>
        <w:t>不断提高对内对外开放水平，加快先进制造业基地建设，主动适应经济发展新常态，优化产业结</w:t>
      </w:r>
      <w:r>
        <w:rPr>
          <w:spacing w:val="-25"/>
        </w:rPr>
        <w:t> </w:t>
      </w:r>
      <w:r>
        <w:rPr>
          <w:spacing w:val="-25"/>
        </w:rPr>
      </w:r>
      <w:r>
        <w:rPr>
          <w:spacing w:val="-2"/>
        </w:rPr>
        <w:t>构，提升城市品质，积极参与“一带一路”、长江经济带建设，区域经济社会保持了平稳健康发</w:t>
      </w:r>
      <w:r>
        <w:rPr>
          <w:spacing w:val="-25"/>
        </w:rPr>
        <w:t> </w:t>
      </w:r>
      <w:r>
        <w:rPr>
          <w:spacing w:val="-25"/>
        </w:rPr>
      </w:r>
      <w:r>
        <w:rPr/>
        <w:t>展。</w:t>
      </w:r>
    </w:p>
    <w:p>
      <w:pPr>
        <w:spacing w:line="240" w:lineRule="auto" w:before="7"/>
        <w:rPr>
          <w:rFonts w:ascii="宋体" w:hAnsi="宋体" w:cs="宋体" w:eastAsia="宋体" w:hint="default"/>
          <w:sz w:val="2"/>
          <w:szCs w:val="2"/>
        </w:rPr>
      </w:pPr>
    </w:p>
    <w:p>
      <w:pPr>
        <w:spacing w:line="4674" w:lineRule="exact"/>
        <w:ind w:left="167"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249534" cy="296837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5249534" cy="2968371"/>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2"/>
        <w:rPr>
          <w:rFonts w:ascii="宋体" w:hAnsi="宋体" w:cs="宋体" w:eastAsia="宋体" w:hint="default"/>
          <w:sz w:val="20"/>
          <w:szCs w:val="20"/>
        </w:rPr>
      </w:pPr>
    </w:p>
    <w:p>
      <w:pPr>
        <w:pStyle w:val="BodyText"/>
        <w:spacing w:line="237" w:lineRule="auto"/>
        <w:ind w:right="105" w:firstLine="419"/>
        <w:jc w:val="left"/>
      </w:pPr>
      <w:r>
        <w:rPr>
          <w:rFonts w:ascii="宋体" w:hAnsi="宋体" w:cs="宋体" w:eastAsia="宋体" w:hint="default"/>
          <w:spacing w:val="-4"/>
        </w:rPr>
        <w:t>2017</w:t>
      </w:r>
      <w:r>
        <w:rPr>
          <w:spacing w:val="-4"/>
        </w:rPr>
        <w:t>年宁波全市完成建筑业总产值</w:t>
      </w:r>
      <w:r>
        <w:rPr>
          <w:rFonts w:ascii="宋体" w:hAnsi="宋体" w:cs="宋体" w:eastAsia="宋体" w:hint="default"/>
          <w:spacing w:val="-4"/>
        </w:rPr>
        <w:t>4612.4</w:t>
      </w:r>
      <w:r>
        <w:rPr>
          <w:spacing w:val="-4"/>
        </w:rPr>
        <w:t>亿元，比上年增长</w:t>
      </w:r>
      <w:r>
        <w:rPr>
          <w:rFonts w:ascii="宋体" w:hAnsi="宋体" w:cs="宋体" w:eastAsia="宋体" w:hint="default"/>
          <w:spacing w:val="-4"/>
        </w:rPr>
        <w:t>9.0%</w:t>
      </w:r>
      <w:r>
        <w:rPr>
          <w:spacing w:val="-4"/>
        </w:rPr>
        <w:t>。房屋建筑施工面积</w:t>
      </w:r>
      <w:r>
        <w:rPr>
          <w:rFonts w:ascii="宋体" w:hAnsi="宋体" w:cs="宋体" w:eastAsia="宋体" w:hint="default"/>
          <w:spacing w:val="-4"/>
        </w:rPr>
        <w:t>2.8</w:t>
      </w:r>
      <w:r>
        <w:rPr>
          <w:spacing w:val="-4"/>
        </w:rPr>
        <w:t>亿平</w:t>
      </w:r>
      <w:r>
        <w:rPr>
          <w:spacing w:val="-3"/>
          <w:w w:val="100"/>
        </w:rPr>
        <w:t> </w:t>
      </w:r>
      <w:r>
        <w:rPr/>
        <w:t>方米，增长</w:t>
      </w:r>
      <w:r>
        <w:rPr>
          <w:rFonts w:ascii="宋体" w:hAnsi="宋体" w:cs="宋体" w:eastAsia="宋体" w:hint="default"/>
        </w:rPr>
        <w:t>4.1%</w:t>
      </w:r>
      <w:r>
        <w:rPr/>
        <w:t>。</w:t>
      </w:r>
      <w:r>
        <w:rPr>
          <w:rFonts w:ascii="宋体" w:hAnsi="宋体" w:cs="宋体" w:eastAsia="宋体" w:hint="default"/>
        </w:rPr>
        <w:t>2017</w:t>
      </w:r>
      <w:r>
        <w:rPr/>
        <w:t>年全市完成固定资产投资</w:t>
      </w:r>
      <w:r>
        <w:rPr>
          <w:rFonts w:ascii="宋体" w:hAnsi="宋体" w:cs="宋体" w:eastAsia="宋体" w:hint="default"/>
        </w:rPr>
        <w:t>5009.6</w:t>
      </w:r>
      <w:r>
        <w:rPr/>
        <w:t>亿元，比上年增长</w:t>
      </w:r>
      <w:r>
        <w:rPr>
          <w:rFonts w:ascii="宋体" w:hAnsi="宋体" w:cs="宋体" w:eastAsia="宋体" w:hint="default"/>
        </w:rPr>
        <w:t>3.5%</w:t>
      </w:r>
      <w:r>
        <w:rPr/>
        <w:t>。分领域看，基础</w:t>
      </w:r>
      <w:r>
        <w:rPr>
          <w:w w:val="100"/>
        </w:rPr>
        <w:t> </w:t>
      </w:r>
      <w:r>
        <w:rPr/>
        <w:t>设施投资</w:t>
      </w:r>
      <w:r>
        <w:rPr>
          <w:rFonts w:ascii="宋体" w:hAnsi="宋体" w:cs="宋体" w:eastAsia="宋体" w:hint="default"/>
        </w:rPr>
        <w:t>1720.5</w:t>
      </w:r>
      <w:r>
        <w:rPr/>
        <w:t>亿元，增长</w:t>
      </w:r>
      <w:r>
        <w:rPr>
          <w:rFonts w:ascii="宋体" w:hAnsi="宋体" w:cs="宋体" w:eastAsia="宋体" w:hint="default"/>
        </w:rPr>
        <w:t>10.6%</w:t>
      </w:r>
      <w:r>
        <w:rPr/>
        <w:t>；工业投资</w:t>
      </w:r>
      <w:r>
        <w:rPr>
          <w:rFonts w:ascii="宋体" w:hAnsi="宋体" w:cs="宋体" w:eastAsia="宋体" w:hint="default"/>
        </w:rPr>
        <w:t>1356.5</w:t>
      </w:r>
      <w:r>
        <w:rPr/>
        <w:t>亿元，下降</w:t>
      </w:r>
      <w:r>
        <w:rPr>
          <w:rFonts w:ascii="宋体" w:hAnsi="宋体" w:cs="宋体" w:eastAsia="宋体" w:hint="default"/>
        </w:rPr>
        <w:t>6.5%</w:t>
      </w:r>
      <w:r>
        <w:rPr/>
        <w:t>，其中工业技改投资</w:t>
      </w:r>
      <w:r>
        <w:rPr>
          <w:rFonts w:ascii="宋体" w:hAnsi="宋体" w:cs="宋体" w:eastAsia="宋体" w:hint="default"/>
        </w:rPr>
        <w:t>965.7</w:t>
      </w:r>
      <w:r>
        <w:rPr/>
        <w:t>亿</w:t>
      </w:r>
      <w:r>
        <w:rPr>
          <w:w w:val="100"/>
        </w:rPr>
        <w:t> </w:t>
      </w:r>
      <w:r>
        <w:rPr>
          <w:spacing w:val="-1"/>
        </w:rPr>
        <w:t>元，下降</w:t>
      </w:r>
      <w:r>
        <w:rPr>
          <w:rFonts w:ascii="宋体" w:hAnsi="宋体" w:cs="宋体" w:eastAsia="宋体" w:hint="default"/>
          <w:spacing w:val="-1"/>
        </w:rPr>
        <w:t>13.1%</w:t>
      </w:r>
      <w:r>
        <w:rPr>
          <w:spacing w:val="-1"/>
        </w:rPr>
        <w:t>；房地产开发投资</w:t>
      </w:r>
      <w:r>
        <w:rPr>
          <w:rFonts w:ascii="宋体" w:hAnsi="宋体" w:cs="宋体" w:eastAsia="宋体" w:hint="default"/>
          <w:spacing w:val="-1"/>
        </w:rPr>
        <w:t>1374.5</w:t>
      </w:r>
      <w:r>
        <w:rPr>
          <w:spacing w:val="-1"/>
        </w:rPr>
        <w:t>亿元，增长</w:t>
      </w:r>
      <w:r>
        <w:rPr>
          <w:rFonts w:ascii="宋体" w:hAnsi="宋体" w:cs="宋体" w:eastAsia="宋体" w:hint="default"/>
          <w:spacing w:val="-1"/>
        </w:rPr>
        <w:t>8.2%</w:t>
      </w:r>
      <w:r>
        <w:rPr>
          <w:spacing w:val="-1"/>
        </w:rPr>
        <w:t>。全年商品房销售面积</w:t>
      </w:r>
      <w:r>
        <w:rPr>
          <w:rFonts w:ascii="宋体" w:hAnsi="宋体" w:cs="宋体" w:eastAsia="宋体" w:hint="default"/>
          <w:spacing w:val="-1"/>
        </w:rPr>
        <w:t>1543.6</w:t>
      </w:r>
      <w:r>
        <w:rPr>
          <w:spacing w:val="-1"/>
        </w:rPr>
        <w:t>万平方米，</w:t>
      </w:r>
      <w:r>
        <w:rPr>
          <w:spacing w:val="-54"/>
        </w:rPr>
        <w:t> </w:t>
      </w:r>
      <w:r>
        <w:rPr>
          <w:spacing w:val="-54"/>
        </w:rPr>
      </w:r>
      <w:r>
        <w:rPr/>
        <w:t>增长</w:t>
      </w:r>
      <w:r>
        <w:rPr>
          <w:rFonts w:ascii="宋体" w:hAnsi="宋体" w:cs="宋体" w:eastAsia="宋体" w:hint="default"/>
        </w:rPr>
        <w:t>15.5%</w:t>
      </w:r>
      <w:r>
        <w:rPr/>
        <w:t>，其中住宅销售面积</w:t>
      </w:r>
      <w:r>
        <w:rPr>
          <w:rFonts w:ascii="宋体" w:hAnsi="宋体" w:cs="宋体" w:eastAsia="宋体" w:hint="default"/>
        </w:rPr>
        <w:t>1283.7</w:t>
      </w:r>
      <w:r>
        <w:rPr/>
        <w:t>万平方米，增长</w:t>
      </w:r>
      <w:r>
        <w:rPr>
          <w:rFonts w:ascii="宋体" w:hAnsi="宋体" w:cs="宋体" w:eastAsia="宋体" w:hint="default"/>
        </w:rPr>
        <w:t>14.0%</w:t>
      </w:r>
      <w:r>
        <w:rPr/>
        <w:t>。近年来区域市场固定资产投资增长</w:t>
      </w:r>
      <w:r>
        <w:rPr>
          <w:spacing w:val="-3"/>
          <w:w w:val="100"/>
        </w:rPr>
        <w:t> </w:t>
      </w:r>
      <w:r>
        <w:rPr/>
        <w:t>变动及构成划分情况如下图（数据来源：宁波市统计局）：</w:t>
      </w:r>
    </w:p>
    <w:p>
      <w:pPr>
        <w:spacing w:line="240" w:lineRule="auto" w:before="6"/>
        <w:rPr>
          <w:rFonts w:ascii="宋体" w:hAnsi="宋体" w:cs="宋体" w:eastAsia="宋体" w:hint="default"/>
          <w:sz w:val="2"/>
          <w:szCs w:val="2"/>
        </w:rPr>
      </w:pPr>
    </w:p>
    <w:p>
      <w:pPr>
        <w:spacing w:line="4232" w:lineRule="exact"/>
        <w:ind w:left="647"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243799" cy="268747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5243799" cy="2687478"/>
                    </a:xfrm>
                    <a:prstGeom prst="rect">
                      <a:avLst/>
                    </a:prstGeom>
                  </pic:spPr>
                </pic:pic>
              </a:graphicData>
            </a:graphic>
          </wp:inline>
        </w:drawing>
      </w:r>
      <w:r>
        <w:rPr>
          <w:rFonts w:ascii="宋体" w:hAnsi="宋体" w:cs="宋体" w:eastAsia="宋体" w:hint="default"/>
          <w:position w:val="-84"/>
          <w:sz w:val="20"/>
          <w:szCs w:val="20"/>
        </w:rPr>
      </w:r>
    </w:p>
    <w:p>
      <w:pPr>
        <w:spacing w:after="0" w:line="4232" w:lineRule="exact"/>
        <w:rPr>
          <w:rFonts w:ascii="宋体" w:hAnsi="宋体" w:cs="宋体" w:eastAsia="宋体" w:hint="default"/>
          <w:sz w:val="20"/>
          <w:szCs w:val="20"/>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4754" w:lineRule="exact"/>
        <w:ind w:left="527"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5267781" cy="301904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5267781" cy="3019044"/>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10"/>
        <w:rPr>
          <w:rFonts w:ascii="宋体" w:hAnsi="宋体" w:cs="宋体" w:eastAsia="宋体" w:hint="default"/>
          <w:sz w:val="15"/>
          <w:szCs w:val="15"/>
        </w:rPr>
      </w:pPr>
    </w:p>
    <w:p>
      <w:pPr>
        <w:pStyle w:val="BodyText"/>
        <w:spacing w:line="237" w:lineRule="auto" w:before="38"/>
        <w:ind w:left="498" w:right="490" w:firstLine="419"/>
        <w:jc w:val="both"/>
      </w:pPr>
      <w:r>
        <w:rPr>
          <w:spacing w:val="-2"/>
        </w:rPr>
        <w:t>城市的转型升级是一个全局性、连续性、长期性的系统工程，今后的发展中，随着宁波供给</w:t>
      </w:r>
      <w:r>
        <w:rPr>
          <w:w w:val="100"/>
        </w:rPr>
        <w:t> </w:t>
      </w:r>
      <w:r>
        <w:rPr>
          <w:spacing w:val="-11"/>
          <w:w w:val="100"/>
        </w:rPr>
        <w:t>侧改革的深化、“基础设施</w:t>
      </w:r>
      <w:r>
        <w:rPr>
          <w:rFonts w:ascii="宋体" w:hAnsi="宋体" w:cs="宋体" w:eastAsia="宋体" w:hint="default"/>
          <w:spacing w:val="-11"/>
          <w:w w:val="100"/>
        </w:rPr>
        <w:t>+</w:t>
      </w:r>
      <w:r>
        <w:rPr>
          <w:spacing w:val="-11"/>
          <w:w w:val="100"/>
        </w:rPr>
        <w:t>产业</w:t>
      </w:r>
      <w:r>
        <w:rPr>
          <w:rFonts w:ascii="宋体" w:hAnsi="宋体" w:cs="宋体" w:eastAsia="宋体" w:hint="default"/>
          <w:spacing w:val="-11"/>
          <w:w w:val="100"/>
        </w:rPr>
        <w:t>+</w:t>
      </w:r>
      <w:r>
        <w:rPr>
          <w:spacing w:val="-11"/>
          <w:w w:val="100"/>
        </w:rPr>
        <w:t>生态”建设发展模式的推进，宁波海绵城市建设、“五水共治”、</w:t>
      </w:r>
      <w:r>
        <w:rPr>
          <w:spacing w:val="-84"/>
          <w:w w:val="100"/>
        </w:rPr>
        <w:t> </w:t>
      </w:r>
      <w:r>
        <w:rPr>
          <w:spacing w:val="-84"/>
          <w:w w:val="100"/>
        </w:rPr>
      </w:r>
      <w:r>
        <w:rPr>
          <w:spacing w:val="-2"/>
        </w:rPr>
        <w:t>新城核心区建设、梅山新区建设及旧城区改造等一系列项目都将深入推进，为优势建筑企业公司</w:t>
      </w:r>
      <w:r>
        <w:rPr>
          <w:spacing w:val="-25"/>
        </w:rPr>
        <w:t> </w:t>
      </w:r>
      <w:r>
        <w:rPr>
          <w:spacing w:val="-25"/>
        </w:rPr>
      </w:r>
      <w:r>
        <w:rPr/>
        <w:t>提供较大的市场空间。</w:t>
      </w:r>
    </w:p>
    <w:p>
      <w:pPr>
        <w:pStyle w:val="BodyText"/>
        <w:spacing w:line="274" w:lineRule="exact" w:before="23"/>
        <w:ind w:left="918" w:right="0"/>
        <w:jc w:val="left"/>
      </w:pPr>
      <w:r>
        <w:rPr>
          <w:rFonts w:ascii="宋体" w:hAnsi="宋体" w:cs="宋体" w:eastAsia="宋体" w:hint="default"/>
        </w:rPr>
        <w:t>2</w:t>
      </w:r>
      <w:r>
        <w:rPr/>
        <w:t>、当前建筑企业面临的发展机遇</w:t>
      </w:r>
      <w:r>
        <w:rPr>
          <w:w w:val="100"/>
        </w:rPr>
        <w:t> </w:t>
      </w:r>
      <w:r>
        <w:rPr>
          <w:spacing w:val="-2"/>
        </w:rPr>
        <w:t>一是国家和省市区域战略带来的机遇。国家重点实施的“一带一路”、京津冀协同发展、长</w:t>
      </w:r>
    </w:p>
    <w:p>
      <w:pPr>
        <w:pStyle w:val="BodyText"/>
        <w:spacing w:line="245" w:lineRule="exact"/>
        <w:ind w:left="498" w:right="0"/>
        <w:jc w:val="left"/>
      </w:pPr>
      <w:r>
        <w:rPr/>
        <w:t>江经济带三大战略等规划以互联互通、产能合作、环境治理等主线推出了一批重大项目和重要园</w:t>
      </w:r>
    </w:p>
    <w:p>
      <w:pPr>
        <w:pStyle w:val="BodyText"/>
        <w:spacing w:line="237" w:lineRule="auto" w:before="2"/>
        <w:ind w:left="0" w:right="490"/>
        <w:jc w:val="right"/>
      </w:pPr>
      <w:r>
        <w:rPr>
          <w:spacing w:val="-2"/>
        </w:rPr>
        <w:t>区建设项目为建筑企业优化市场布局、加快走出去指明了方向。浙江省着力推进“四大建设”即</w:t>
      </w:r>
      <w:r>
        <w:rPr>
          <w:spacing w:val="-50"/>
        </w:rPr>
        <w:t> </w:t>
      </w:r>
      <w:r>
        <w:rPr>
          <w:spacing w:val="-50"/>
        </w:rPr>
      </w:r>
      <w:r>
        <w:rPr>
          <w:spacing w:val="-7"/>
        </w:rPr>
        <w:t>加快构建现代大都市。建设大湾区、大花园、大通道、大都市区的战略部署及“三改一拆”、“五</w:t>
      </w:r>
      <w:r>
        <w:rPr>
          <w:spacing w:val="-41"/>
        </w:rPr>
        <w:t> </w:t>
      </w:r>
      <w:r>
        <w:rPr>
          <w:spacing w:val="-41"/>
        </w:rPr>
      </w:r>
      <w:r>
        <w:rPr>
          <w:spacing w:val="-2"/>
        </w:rPr>
        <w:t>水共治”、浙商回归等“拆治归”系列举措为建筑业企业调整存量、优化增量提供了市场先机。</w:t>
      </w:r>
      <w:r>
        <w:rPr>
          <w:spacing w:val="-50"/>
        </w:rPr>
        <w:t> </w:t>
      </w:r>
      <w:r>
        <w:rPr>
          <w:spacing w:val="-50"/>
        </w:rPr>
      </w:r>
      <w:r>
        <w:rPr>
          <w:spacing w:val="-2"/>
        </w:rPr>
        <w:t>二是随着本地供给侧结构性改革不断深入，“质优宁波”建设力度不断加大，“抓好有效投</w:t>
      </w:r>
    </w:p>
    <w:p>
      <w:pPr>
        <w:pStyle w:val="BodyText"/>
        <w:spacing w:line="237" w:lineRule="auto" w:before="1"/>
        <w:ind w:left="498" w:right="0"/>
        <w:jc w:val="left"/>
      </w:pPr>
      <w:r>
        <w:rPr/>
        <w:t>资、强化结构性调整”政策深化实施，新的供给不断出现，结构性机会层出不穷，“基础设施</w:t>
      </w:r>
      <w:r>
        <w:rPr>
          <w:rFonts w:ascii="宋体" w:hAnsi="宋体" w:cs="宋体" w:eastAsia="宋体" w:hint="default"/>
        </w:rPr>
        <w:t>+</w:t>
      </w:r>
      <w:r>
        <w:rPr>
          <w:rFonts w:ascii="宋体" w:hAnsi="宋体" w:cs="宋体" w:eastAsia="宋体" w:hint="default"/>
          <w:w w:val="100"/>
        </w:rPr>
        <w:t> </w:t>
      </w:r>
      <w:r>
        <w:rPr>
          <w:spacing w:val="-4"/>
        </w:rPr>
        <w:t>产业</w:t>
      </w:r>
      <w:r>
        <w:rPr>
          <w:rFonts w:ascii="宋体" w:hAnsi="宋体" w:cs="宋体" w:eastAsia="宋体" w:hint="default"/>
          <w:spacing w:val="-4"/>
        </w:rPr>
        <w:t>+</w:t>
      </w:r>
      <w:r>
        <w:rPr>
          <w:spacing w:val="-4"/>
        </w:rPr>
        <w:t>生态”建设发展模式不断完善。新型城镇化、海绵城市、地下综合管廊、轨道交通及区域重</w:t>
      </w:r>
      <w:r>
        <w:rPr>
          <w:spacing w:val="-33"/>
        </w:rPr>
        <w:t> </w:t>
      </w:r>
      <w:r>
        <w:rPr>
          <w:spacing w:val="-33"/>
        </w:rPr>
      </w:r>
      <w:r>
        <w:rPr/>
        <w:t>大产业项目、重点技术改造、生态保护和环境整治等项目为建筑企业带来了新的发展机遇。</w:t>
      </w:r>
    </w:p>
    <w:p>
      <w:pPr>
        <w:pStyle w:val="BodyText"/>
        <w:spacing w:line="237" w:lineRule="auto"/>
        <w:ind w:left="498" w:right="497" w:firstLine="419"/>
        <w:jc w:val="both"/>
      </w:pPr>
      <w:r>
        <w:rPr>
          <w:spacing w:val="-2"/>
        </w:rPr>
        <w:t>三是行业格局调整为优势企业逆势成长带来机遇。今后一段时间过度竞争下的建筑行业优胜</w:t>
      </w:r>
      <w:r>
        <w:rPr>
          <w:w w:val="100"/>
        </w:rPr>
        <w:t> </w:t>
      </w:r>
      <w:r>
        <w:rPr>
          <w:spacing w:val="-2"/>
        </w:rPr>
        <w:t>劣汰将越演越烈，大型施工企业与中小施工企业之间的差距不断拉开。随着政策监管的规范和深</w:t>
      </w:r>
      <w:r>
        <w:rPr>
          <w:spacing w:val="-25"/>
        </w:rPr>
        <w:t> </w:t>
      </w:r>
      <w:r>
        <w:rPr>
          <w:spacing w:val="-25"/>
        </w:rPr>
      </w:r>
      <w:r>
        <w:rPr>
          <w:spacing w:val="-2"/>
        </w:rPr>
        <w:t>化、营改增等税收管理要求的落地，市场更加统一开放、透明公平，优势企业可以借助行业洗牌</w:t>
      </w:r>
      <w:r>
        <w:rPr>
          <w:spacing w:val="-25"/>
        </w:rPr>
        <w:t> </w:t>
      </w:r>
      <w:r>
        <w:rPr>
          <w:spacing w:val="-25"/>
        </w:rPr>
      </w:r>
      <w:r>
        <w:rPr/>
        <w:t>扩大品牌影响、吸纳优势资源、优化产业结构、夯实发展基础。</w:t>
      </w:r>
    </w:p>
    <w:p>
      <w:pPr>
        <w:pStyle w:val="BodyText"/>
        <w:spacing w:line="272" w:lineRule="exact" w:before="26"/>
        <w:ind w:left="498" w:right="497" w:firstLine="419"/>
        <w:jc w:val="both"/>
      </w:pPr>
      <w:r>
        <w:rPr/>
        <w:t>四是</w:t>
      </w:r>
      <w:r>
        <w:rPr>
          <w:spacing w:val="-54"/>
        </w:rPr>
        <w:t> </w:t>
      </w:r>
      <w:r>
        <w:rPr>
          <w:rFonts w:ascii="宋体" w:hAnsi="宋体" w:cs="宋体" w:eastAsia="宋体" w:hint="default"/>
        </w:rPr>
        <w:t>PPP</w:t>
      </w:r>
      <w:r>
        <w:rPr>
          <w:rFonts w:ascii="宋体" w:hAnsi="宋体" w:cs="宋体" w:eastAsia="宋体" w:hint="default"/>
          <w:spacing w:val="-54"/>
        </w:rPr>
        <w:t> </w:t>
      </w:r>
      <w:r>
        <w:rPr/>
        <w:t>落地高峰期带来的机遇。经过几年的探索推进，我国</w:t>
      </w:r>
      <w:r>
        <w:rPr>
          <w:spacing w:val="-54"/>
        </w:rPr>
        <w:t> </w:t>
      </w:r>
      <w:r>
        <w:rPr>
          <w:rFonts w:ascii="宋体" w:hAnsi="宋体" w:cs="宋体" w:eastAsia="宋体" w:hint="default"/>
        </w:rPr>
        <w:t>PPP</w:t>
      </w:r>
      <w:r>
        <w:rPr>
          <w:rFonts w:ascii="宋体" w:hAnsi="宋体" w:cs="宋体" w:eastAsia="宋体" w:hint="default"/>
          <w:spacing w:val="-56"/>
        </w:rPr>
        <w:t> </w:t>
      </w:r>
      <w:r>
        <w:rPr/>
        <w:t>保障支持制度体系已基本</w:t>
      </w:r>
      <w:r>
        <w:rPr>
          <w:w w:val="100"/>
        </w:rPr>
        <w:t> </w:t>
      </w:r>
      <w:r>
        <w:rPr/>
        <w:t>形成，未来几年</w:t>
      </w:r>
      <w:r>
        <w:rPr>
          <w:spacing w:val="-53"/>
        </w:rPr>
        <w:t> </w:t>
      </w:r>
      <w:r>
        <w:rPr>
          <w:rFonts w:ascii="宋体" w:hAnsi="宋体" w:cs="宋体" w:eastAsia="宋体" w:hint="default"/>
        </w:rPr>
        <w:t>PPP</w:t>
      </w:r>
      <w:r>
        <w:rPr>
          <w:rFonts w:ascii="宋体" w:hAnsi="宋体" w:cs="宋体" w:eastAsia="宋体" w:hint="default"/>
          <w:spacing w:val="-55"/>
        </w:rPr>
        <w:t> </w:t>
      </w:r>
      <w:r>
        <w:rPr/>
        <w:t>项目将迎来跨越式发展，为优势企业提供了巨大的市场机遇。</w:t>
      </w:r>
    </w:p>
    <w:p>
      <w:pPr>
        <w:pStyle w:val="BodyText"/>
        <w:spacing w:line="272" w:lineRule="exact" w:before="1"/>
        <w:ind w:left="498" w:right="487" w:firstLine="419"/>
        <w:jc w:val="both"/>
      </w:pPr>
      <w:r>
        <w:rPr>
          <w:spacing w:val="-2"/>
        </w:rPr>
        <w:t>五是新型建筑工业化带来的机遇。根据《浙江省深化推进新型建筑工业化促进绿色建筑发展</w:t>
      </w:r>
      <w:r>
        <w:rPr>
          <w:w w:val="100"/>
        </w:rPr>
        <w:t> </w:t>
      </w:r>
      <w:r>
        <w:rPr>
          <w:spacing w:val="-12"/>
          <w:w w:val="100"/>
        </w:rPr>
        <w:t>实施意见》等文件的要求，</w:t>
      </w:r>
      <w:r>
        <w:rPr>
          <w:rFonts w:ascii="宋体" w:hAnsi="宋体" w:cs="宋体" w:eastAsia="宋体" w:hint="default"/>
          <w:spacing w:val="-12"/>
          <w:w w:val="100"/>
        </w:rPr>
        <w:t>2017</w:t>
      </w:r>
      <w:r>
        <w:rPr>
          <w:rFonts w:ascii="宋体" w:hAnsi="宋体" w:cs="宋体" w:eastAsia="宋体" w:hint="default"/>
          <w:spacing w:val="-25"/>
          <w:w w:val="100"/>
        </w:rPr>
        <w:t> </w:t>
      </w:r>
      <w:r>
        <w:rPr>
          <w:spacing w:val="-5"/>
          <w:w w:val="100"/>
        </w:rPr>
        <w:t>年起杭州、宁波和绍兴市中心城区出让或划拨土地上的新建项目，</w:t>
      </w:r>
    </w:p>
    <w:p>
      <w:pPr>
        <w:pStyle w:val="BodyText"/>
        <w:spacing w:line="272" w:lineRule="exact" w:before="1"/>
        <w:ind w:left="498" w:right="0"/>
        <w:jc w:val="left"/>
      </w:pPr>
      <w:r>
        <w:rPr>
          <w:spacing w:val="-3"/>
        </w:rPr>
        <w:t>全部实施装配式建造，到</w:t>
      </w:r>
      <w:r>
        <w:rPr>
          <w:spacing w:val="-45"/>
        </w:rPr>
        <w:t> </w:t>
      </w:r>
      <w:r>
        <w:rPr>
          <w:rFonts w:ascii="宋体" w:hAnsi="宋体" w:cs="宋体" w:eastAsia="宋体" w:hint="default"/>
        </w:rPr>
        <w:t>2020</w:t>
      </w:r>
      <w:r>
        <w:rPr>
          <w:rFonts w:ascii="宋体" w:hAnsi="宋体" w:cs="宋体" w:eastAsia="宋体" w:hint="default"/>
          <w:spacing w:val="-45"/>
        </w:rPr>
        <w:t> </w:t>
      </w:r>
      <w:r>
        <w:rPr/>
        <w:t>年实现装配式建筑占全市新建建筑比例达到</w:t>
      </w:r>
      <w:r>
        <w:rPr>
          <w:spacing w:val="-45"/>
        </w:rPr>
        <w:t> </w:t>
      </w:r>
      <w:r>
        <w:rPr>
          <w:rFonts w:ascii="宋体" w:hAnsi="宋体" w:cs="宋体" w:eastAsia="宋体" w:hint="default"/>
          <w:spacing w:val="-4"/>
        </w:rPr>
        <w:t>30%</w:t>
      </w:r>
      <w:r>
        <w:rPr>
          <w:spacing w:val="-4"/>
        </w:rPr>
        <w:t>。可以预见，建筑</w:t>
      </w:r>
      <w:r>
        <w:rPr>
          <w:spacing w:val="-102"/>
        </w:rPr>
        <w:t> </w:t>
      </w:r>
      <w:r>
        <w:rPr>
          <w:spacing w:val="-102"/>
        </w:rPr>
      </w:r>
      <w:r>
        <w:rPr>
          <w:spacing w:val="-2"/>
        </w:rPr>
        <w:t>工业化在经济发达地区特别是人工成本、环保要求高的城市将率先成为主流施工方式，将为拥有</w:t>
      </w:r>
    </w:p>
    <w:p>
      <w:pPr>
        <w:pStyle w:val="BodyText"/>
        <w:spacing w:line="272" w:lineRule="exact" w:before="1"/>
        <w:ind w:left="498" w:right="0"/>
        <w:jc w:val="left"/>
      </w:pPr>
      <w:r>
        <w:rPr>
          <w:spacing w:val="-2"/>
        </w:rPr>
        <w:t>管理、技术、资金储备的企业带来广阔的机遇。公司目前已有两家子公司已获批“国家装配式建</w:t>
      </w:r>
      <w:r>
        <w:rPr>
          <w:spacing w:val="-26"/>
        </w:rPr>
        <w:t> </w:t>
      </w:r>
      <w:r>
        <w:rPr>
          <w:spacing w:val="-26"/>
        </w:rPr>
      </w:r>
      <w:r>
        <w:rPr/>
        <w:t>筑产业基地”，未来将积极布局，紧抓机遇。</w:t>
      </w:r>
    </w:p>
    <w:p>
      <w:pPr>
        <w:pStyle w:val="BodyText"/>
        <w:spacing w:line="247" w:lineRule="exact"/>
        <w:ind w:left="918" w:right="0"/>
        <w:jc w:val="left"/>
      </w:pPr>
      <w:r>
        <w:rPr>
          <w:rFonts w:ascii="宋体" w:hAnsi="宋体" w:cs="宋体" w:eastAsia="宋体" w:hint="default"/>
        </w:rPr>
        <w:t>3</w:t>
      </w:r>
      <w:r>
        <w:rPr/>
        <w:t>、公司分行业营业收入及成本情况</w:t>
      </w:r>
    </w:p>
    <w:p>
      <w:pPr>
        <w:pStyle w:val="BodyText"/>
        <w:spacing w:line="273" w:lineRule="exact"/>
        <w:ind w:left="918" w:right="0"/>
        <w:jc w:val="left"/>
      </w:pPr>
      <w:r>
        <w:rPr/>
        <w:t>（</w:t>
      </w:r>
      <w:r>
        <w:rPr>
          <w:rFonts w:ascii="宋体" w:hAnsi="宋体" w:cs="宋体" w:eastAsia="宋体" w:hint="default"/>
        </w:rPr>
        <w:t>1</w:t>
      </w:r>
      <w:r>
        <w:rPr/>
        <w:t>）近三年内公司各细分行业营业收入如下表所示：</w:t>
      </w:r>
    </w:p>
    <w:p>
      <w:pPr>
        <w:spacing w:line="240" w:lineRule="auto" w:before="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36"/>
        <w:gridCol w:w="2641"/>
        <w:gridCol w:w="2748"/>
        <w:gridCol w:w="2977"/>
      </w:tblGrid>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9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r>
    </w:tbl>
    <w:p>
      <w:pPr>
        <w:spacing w:after="0" w:line="249" w:lineRule="exact"/>
        <w:jc w:val="center"/>
        <w:rPr>
          <w:rFonts w:ascii="宋体" w:hAnsi="宋体" w:cs="宋体" w:eastAsia="宋体" w:hint="default"/>
          <w:sz w:val="22"/>
          <w:szCs w:val="22"/>
        </w:rPr>
        <w:sectPr>
          <w:pgSz w:w="11910" w:h="16840"/>
          <w:pgMar w:header="880" w:footer="1195" w:top="1120" w:bottom="1380" w:left="130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236"/>
        <w:gridCol w:w="1901"/>
        <w:gridCol w:w="739"/>
        <w:gridCol w:w="1985"/>
        <w:gridCol w:w="763"/>
        <w:gridCol w:w="1897"/>
        <w:gridCol w:w="1080"/>
      </w:tblGrid>
      <w:tr>
        <w:trPr>
          <w:trHeight w:val="1100" w:hRule="exact"/>
        </w:trPr>
        <w:tc>
          <w:tcPr>
            <w:tcW w:w="1236" w:type="dxa"/>
            <w:tcBorders>
              <w:top w:val="single" w:sz="4" w:space="0" w:color="000000"/>
              <w:left w:val="single" w:sz="4" w:space="0" w:color="000000"/>
              <w:bottom w:val="single" w:sz="4" w:space="0" w:color="000000"/>
              <w:right w:val="single" w:sz="4" w:space="0" w:color="000000"/>
            </w:tcBorders>
          </w:tcPr>
          <w:p>
            <w:pPr/>
          </w:p>
        </w:tc>
        <w:tc>
          <w:tcPr>
            <w:tcW w:w="19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72" w:lineRule="exact" w:before="1"/>
              <w:ind w:left="151" w:right="155"/>
              <w:jc w:val="left"/>
              <w:rPr>
                <w:rFonts w:ascii="宋体" w:hAnsi="宋体" w:cs="宋体" w:eastAsia="宋体" w:hint="default"/>
                <w:sz w:val="21"/>
                <w:szCs w:val="21"/>
              </w:rPr>
            </w:pPr>
            <w:r>
              <w:rPr>
                <w:rFonts w:ascii="宋体" w:hAnsi="宋体" w:cs="宋体" w:eastAsia="宋体" w:hint="default"/>
                <w:sz w:val="21"/>
                <w:szCs w:val="21"/>
              </w:rPr>
              <w:t>占当</w:t>
            </w:r>
            <w:r>
              <w:rPr>
                <w:rFonts w:ascii="宋体" w:hAnsi="宋体" w:cs="宋体" w:eastAsia="宋体" w:hint="default"/>
                <w:spacing w:val="-103"/>
                <w:sz w:val="21"/>
                <w:szCs w:val="21"/>
              </w:rPr>
              <w:t> </w:t>
            </w:r>
            <w:r>
              <w:rPr>
                <w:rFonts w:ascii="宋体" w:hAnsi="宋体" w:cs="宋体" w:eastAsia="宋体" w:hint="default"/>
                <w:sz w:val="21"/>
                <w:szCs w:val="21"/>
              </w:rPr>
              <w:t>年收</w:t>
            </w:r>
          </w:p>
          <w:p>
            <w:pPr>
              <w:pStyle w:val="TableParagraph"/>
              <w:spacing w:line="272" w:lineRule="exact" w:before="1"/>
              <w:ind w:left="98" w:right="-5" w:firstLine="52"/>
              <w:jc w:val="left"/>
              <w:rPr>
                <w:rFonts w:ascii="宋体" w:hAnsi="宋体" w:cs="宋体" w:eastAsia="宋体" w:hint="default"/>
                <w:sz w:val="21"/>
                <w:szCs w:val="21"/>
              </w:rPr>
            </w:pPr>
            <w:r>
              <w:rPr>
                <w:rFonts w:ascii="宋体" w:hAnsi="宋体" w:cs="宋体" w:eastAsia="宋体" w:hint="default"/>
                <w:sz w:val="21"/>
                <w:szCs w:val="21"/>
              </w:rPr>
              <w:t>入比</w:t>
            </w:r>
            <w:r>
              <w:rPr>
                <w:rFonts w:ascii="宋体" w:hAnsi="宋体" w:cs="宋体" w:eastAsia="宋体" w:hint="default"/>
                <w:w w:val="100"/>
                <w:sz w:val="21"/>
                <w:szCs w:val="21"/>
              </w:rPr>
              <w:t> </w:t>
            </w:r>
            <w:r>
              <w:rPr>
                <w:rFonts w:ascii="宋体" w:hAnsi="宋体" w:cs="宋体" w:eastAsia="宋体" w:hint="default"/>
                <w:spacing w:val="-26"/>
                <w:w w:val="100"/>
                <w:sz w:val="21"/>
                <w:szCs w:val="21"/>
              </w:rPr>
              <w:t>例（</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763" w:type="dxa"/>
            <w:tcBorders>
              <w:top w:val="nil" w:sz="6" w:space="0" w:color="auto"/>
              <w:left w:val="single" w:sz="4" w:space="0" w:color="000000"/>
              <w:bottom w:val="single" w:sz="4" w:space="0" w:color="000000"/>
              <w:right w:val="single" w:sz="4" w:space="0" w:color="000000"/>
            </w:tcBorders>
          </w:tcPr>
          <w:p>
            <w:pPr>
              <w:pStyle w:val="TableParagraph"/>
              <w:spacing w:line="272" w:lineRule="exact" w:before="1"/>
              <w:ind w:left="165" w:right="163"/>
              <w:jc w:val="left"/>
              <w:rPr>
                <w:rFonts w:ascii="宋体" w:hAnsi="宋体" w:cs="宋体" w:eastAsia="宋体" w:hint="default"/>
                <w:sz w:val="21"/>
                <w:szCs w:val="21"/>
              </w:rPr>
            </w:pPr>
            <w:r>
              <w:rPr>
                <w:rFonts w:ascii="宋体" w:hAnsi="宋体" w:cs="宋体" w:eastAsia="宋体" w:hint="default"/>
                <w:sz w:val="21"/>
                <w:szCs w:val="21"/>
              </w:rPr>
              <w:t>占当</w:t>
            </w:r>
            <w:r>
              <w:rPr>
                <w:rFonts w:ascii="宋体" w:hAnsi="宋体" w:cs="宋体" w:eastAsia="宋体" w:hint="default"/>
                <w:spacing w:val="-103"/>
                <w:sz w:val="21"/>
                <w:szCs w:val="21"/>
              </w:rPr>
              <w:t> </w:t>
            </w:r>
            <w:r>
              <w:rPr>
                <w:rFonts w:ascii="宋体" w:hAnsi="宋体" w:cs="宋体" w:eastAsia="宋体" w:hint="default"/>
                <w:sz w:val="21"/>
                <w:szCs w:val="21"/>
              </w:rPr>
              <w:t>年收</w:t>
            </w:r>
          </w:p>
          <w:p>
            <w:pPr>
              <w:pStyle w:val="TableParagraph"/>
              <w:spacing w:line="272" w:lineRule="exact" w:before="1"/>
              <w:ind w:left="100" w:right="-3" w:firstLine="64"/>
              <w:jc w:val="left"/>
              <w:rPr>
                <w:rFonts w:ascii="宋体" w:hAnsi="宋体" w:cs="宋体" w:eastAsia="宋体" w:hint="default"/>
                <w:sz w:val="21"/>
                <w:szCs w:val="21"/>
              </w:rPr>
            </w:pPr>
            <w:r>
              <w:rPr>
                <w:rFonts w:ascii="宋体" w:hAnsi="宋体" w:cs="宋体" w:eastAsia="宋体" w:hint="default"/>
                <w:sz w:val="21"/>
                <w:szCs w:val="21"/>
              </w:rPr>
              <w:t>入比</w:t>
            </w:r>
            <w:r>
              <w:rPr>
                <w:rFonts w:ascii="宋体" w:hAnsi="宋体" w:cs="宋体" w:eastAsia="宋体" w:hint="default"/>
                <w:w w:val="100"/>
                <w:sz w:val="21"/>
                <w:szCs w:val="21"/>
              </w:rPr>
              <w:t> </w:t>
            </w:r>
            <w:r>
              <w:rPr>
                <w:rFonts w:ascii="宋体" w:hAnsi="宋体" w:cs="宋体" w:eastAsia="宋体" w:hint="default"/>
                <w:spacing w:val="-22"/>
                <w:sz w:val="21"/>
                <w:szCs w:val="21"/>
              </w:rPr>
              <w:t>例（</w:t>
            </w:r>
            <w:r>
              <w:rPr>
                <w:rFonts w:ascii="宋体" w:hAnsi="宋体" w:cs="宋体" w:eastAsia="宋体" w:hint="default"/>
                <w:spacing w:val="-22"/>
                <w:sz w:val="21"/>
                <w:szCs w:val="21"/>
              </w:rPr>
              <w:t>%</w:t>
            </w:r>
            <w:r>
              <w:rPr>
                <w:rFonts w:ascii="宋体" w:hAnsi="宋体" w:cs="宋体" w:eastAsia="宋体" w:hint="default"/>
                <w:spacing w:val="-22"/>
                <w:sz w:val="21"/>
                <w:szCs w:val="21"/>
              </w:rPr>
              <w:t>）</w:t>
            </w:r>
          </w:p>
        </w:tc>
        <w:tc>
          <w:tcPr>
            <w:tcW w:w="18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left="112" w:right="113"/>
              <w:jc w:val="center"/>
              <w:rPr>
                <w:rFonts w:ascii="宋体" w:hAnsi="宋体" w:cs="宋体" w:eastAsia="宋体" w:hint="default"/>
                <w:sz w:val="21"/>
                <w:szCs w:val="21"/>
              </w:rPr>
            </w:pPr>
            <w:r>
              <w:rPr>
                <w:rFonts w:ascii="宋体" w:hAnsi="宋体" w:cs="宋体" w:eastAsia="宋体" w:hint="default"/>
                <w:sz w:val="21"/>
                <w:szCs w:val="21"/>
              </w:rPr>
              <w:t>占当年收</w:t>
            </w:r>
            <w:r>
              <w:rPr>
                <w:rFonts w:ascii="宋体" w:hAnsi="宋体" w:cs="宋体" w:eastAsia="宋体" w:hint="default"/>
                <w:w w:val="100"/>
                <w:sz w:val="21"/>
                <w:szCs w:val="21"/>
              </w:rPr>
              <w:t> </w:t>
            </w:r>
            <w:r>
              <w:rPr>
                <w:rFonts w:ascii="宋体" w:hAnsi="宋体" w:cs="宋体" w:eastAsia="宋体" w:hint="default"/>
                <w:sz w:val="21"/>
                <w:szCs w:val="21"/>
              </w:rPr>
              <w:t>入比例</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房屋建设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7,836,445,687.14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53.29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7,890,209,632.62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57.68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8,056,875,945.70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60.73</w:t>
            </w:r>
          </w:p>
        </w:tc>
      </w:tr>
      <w:tr>
        <w:trPr>
          <w:trHeight w:val="557"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用设施</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2,948,320,635.85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2,422,194,378.25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2,215,684,184.51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16.70</w:t>
            </w:r>
          </w:p>
        </w:tc>
      </w:tr>
      <w:tr>
        <w:trPr>
          <w:trHeight w:val="29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建筑装饰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690,912,628.19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sz w:val="21"/>
              </w:rPr>
              <w:t>4.70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887,097,366.48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6.48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681,157,969.53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5.13</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安装</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1,075,898,831.29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7.32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1,167,461,796.91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8.53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1,179,042,072.28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8.89</w:t>
            </w:r>
          </w:p>
        </w:tc>
      </w:tr>
      <w:tr>
        <w:trPr>
          <w:trHeight w:val="29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勘察设计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139,872,414.72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sz w:val="21"/>
              </w:rPr>
              <w:t>0.95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116,614,231.94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0.85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111,280,467.04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0.84</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桩基</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338,501,893.72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118,566,109.54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114,060,561.39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r>
      <w:tr>
        <w:trPr>
          <w:trHeight w:val="55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建筑材料</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1,583,747,538.28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1,062,077,500.57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7.76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892,621,132.41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6.73</w:t>
            </w:r>
          </w:p>
        </w:tc>
      </w:tr>
      <w:tr>
        <w:trPr>
          <w:trHeight w:val="283"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91,337,526.67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15,898,353.53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15,115,101.71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0.11</w:t>
            </w:r>
          </w:p>
        </w:tc>
      </w:tr>
    </w:tbl>
    <w:p>
      <w:pPr>
        <w:spacing w:line="240" w:lineRule="auto" w:before="5"/>
        <w:rPr>
          <w:rFonts w:ascii="宋体" w:hAnsi="宋体" w:cs="宋体" w:eastAsia="宋体" w:hint="default"/>
          <w:sz w:val="15"/>
          <w:szCs w:val="15"/>
        </w:rPr>
      </w:pPr>
    </w:p>
    <w:p>
      <w:pPr>
        <w:pStyle w:val="BodyText"/>
        <w:spacing w:line="240" w:lineRule="auto" w:before="36"/>
        <w:ind w:left="918" w:right="0"/>
        <w:jc w:val="left"/>
      </w:pPr>
      <w:r>
        <w:rPr/>
        <w:t>（</w:t>
      </w:r>
      <w:r>
        <w:rPr>
          <w:rFonts w:ascii="宋体" w:hAnsi="宋体" w:cs="宋体" w:eastAsia="宋体" w:hint="default"/>
        </w:rPr>
        <w:t>2</w:t>
      </w:r>
      <w:r>
        <w:rPr/>
        <w:t>）近三年内公司各细分行业营业成本如下表所示：</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90"/>
        <w:gridCol w:w="1897"/>
        <w:gridCol w:w="842"/>
        <w:gridCol w:w="1916"/>
        <w:gridCol w:w="991"/>
        <w:gridCol w:w="1897"/>
        <w:gridCol w:w="946"/>
      </w:tblGrid>
      <w:tr>
        <w:trPr>
          <w:trHeight w:val="295" w:hRule="exact"/>
        </w:trPr>
        <w:tc>
          <w:tcPr>
            <w:tcW w:w="10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r>
      <w:tr>
        <w:trPr>
          <w:trHeight w:val="1099" w:hRule="exact"/>
        </w:trPr>
        <w:tc>
          <w:tcPr>
            <w:tcW w:w="1090"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占当</w:t>
            </w:r>
          </w:p>
          <w:p>
            <w:pPr>
              <w:pStyle w:val="TableParagraph"/>
              <w:spacing w:line="237" w:lineRule="auto"/>
              <w:ind w:left="103" w:right="-5" w:hanging="106"/>
              <w:jc w:val="center"/>
              <w:rPr>
                <w:rFonts w:ascii="宋体" w:hAnsi="宋体" w:cs="宋体" w:eastAsia="宋体" w:hint="default"/>
                <w:sz w:val="21"/>
                <w:szCs w:val="21"/>
              </w:rPr>
            </w:pPr>
            <w:r>
              <w:rPr>
                <w:rFonts w:ascii="宋体" w:hAnsi="宋体" w:cs="宋体" w:eastAsia="宋体" w:hint="default"/>
                <w:sz w:val="21"/>
                <w:szCs w:val="21"/>
              </w:rPr>
              <w:t>年成</w:t>
            </w:r>
            <w:r>
              <w:rPr>
                <w:rFonts w:ascii="宋体" w:hAnsi="宋体" w:cs="宋体" w:eastAsia="宋体" w:hint="default"/>
                <w:w w:val="100"/>
                <w:sz w:val="21"/>
                <w:szCs w:val="21"/>
              </w:rPr>
              <w:t> </w:t>
            </w:r>
            <w:r>
              <w:rPr>
                <w:rFonts w:ascii="宋体" w:hAnsi="宋体" w:cs="宋体" w:eastAsia="宋体" w:hint="default"/>
                <w:sz w:val="21"/>
                <w:szCs w:val="21"/>
              </w:rPr>
              <w:t>本比</w:t>
            </w:r>
            <w:r>
              <w:rPr>
                <w:rFonts w:ascii="宋体" w:hAnsi="宋体" w:cs="宋体" w:eastAsia="宋体" w:hint="default"/>
                <w:w w:val="100"/>
                <w:sz w:val="21"/>
                <w:szCs w:val="21"/>
              </w:rPr>
              <w:t> </w:t>
            </w:r>
            <w:r>
              <w:rPr>
                <w:rFonts w:ascii="宋体" w:hAnsi="宋体" w:cs="宋体" w:eastAsia="宋体" w:hint="default"/>
                <w:spacing w:val="-2"/>
                <w:sz w:val="21"/>
                <w:szCs w:val="21"/>
              </w:rPr>
              <w:t>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9" w:right="122" w:firstLine="52"/>
              <w:jc w:val="both"/>
              <w:rPr>
                <w:rFonts w:ascii="宋体" w:hAnsi="宋体" w:cs="宋体" w:eastAsia="宋体" w:hint="default"/>
                <w:sz w:val="21"/>
                <w:szCs w:val="21"/>
              </w:rPr>
            </w:pPr>
            <w:r>
              <w:rPr>
                <w:rFonts w:ascii="宋体" w:hAnsi="宋体" w:cs="宋体" w:eastAsia="宋体" w:hint="default"/>
                <w:sz w:val="21"/>
                <w:szCs w:val="21"/>
              </w:rPr>
              <w:t>占当年</w:t>
            </w:r>
            <w:r>
              <w:rPr>
                <w:rFonts w:ascii="宋体" w:hAnsi="宋体" w:cs="宋体" w:eastAsia="宋体" w:hint="default"/>
                <w:w w:val="100"/>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5" w:firstLine="48"/>
              <w:jc w:val="both"/>
              <w:rPr>
                <w:rFonts w:ascii="宋体" w:hAnsi="宋体" w:cs="宋体" w:eastAsia="宋体" w:hint="default"/>
                <w:sz w:val="21"/>
                <w:szCs w:val="21"/>
              </w:rPr>
            </w:pPr>
            <w:r>
              <w:rPr>
                <w:rFonts w:ascii="宋体" w:hAnsi="宋体" w:cs="宋体" w:eastAsia="宋体" w:hint="default"/>
                <w:sz w:val="21"/>
                <w:szCs w:val="21"/>
              </w:rPr>
              <w:t>占当年</w:t>
            </w:r>
            <w:r>
              <w:rPr>
                <w:rFonts w:ascii="宋体" w:hAnsi="宋体" w:cs="宋体" w:eastAsia="宋体" w:hint="default"/>
                <w:w w:val="100"/>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7,533,894,531.69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7,408,580,772.24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58.59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7,370,977,115.93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61.38</w:t>
            </w:r>
          </w:p>
        </w:tc>
      </w:tr>
      <w:tr>
        <w:trPr>
          <w:trHeight w:val="555"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市政与公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用设施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2,743,660,989.19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2,219,625,458.23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17.55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1,988,782,301.30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16.56</w:t>
            </w:r>
          </w:p>
        </w:tc>
      </w:tr>
      <w:tr>
        <w:trPr>
          <w:trHeight w:val="281"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632,525,780.86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816,930,561.37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6.46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619,519,587.69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5.16</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958,231,829.59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1,061,593,939.76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1,044,230,351.67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8.70</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勘察设计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95,234,026.98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92,181,684.11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88,031,909.49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0.73</w:t>
            </w:r>
          </w:p>
        </w:tc>
      </w:tr>
      <w:tr>
        <w:trPr>
          <w:trHeight w:val="281"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桩基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322,791,989.54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110,960,132.23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106,785,921.53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0.89</w:t>
            </w:r>
          </w:p>
        </w:tc>
      </w:tr>
      <w:tr>
        <w:trPr>
          <w:trHeight w:val="55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建筑材料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1,376,824,003.63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923,229,086.03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778,109,902.71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6.48</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39,107,657.64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12,398,482.95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12,405,185.83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0.10</w:t>
            </w:r>
          </w:p>
        </w:tc>
      </w:tr>
    </w:tbl>
    <w:p>
      <w:pPr>
        <w:spacing w:line="240" w:lineRule="auto" w:before="7"/>
        <w:rPr>
          <w:rFonts w:ascii="宋体" w:hAnsi="宋体" w:cs="宋体" w:eastAsia="宋体" w:hint="default"/>
          <w:sz w:val="15"/>
          <w:szCs w:val="15"/>
        </w:rPr>
      </w:pPr>
    </w:p>
    <w:p>
      <w:pPr>
        <w:pStyle w:val="BodyText"/>
        <w:spacing w:line="240" w:lineRule="auto" w:before="36"/>
        <w:ind w:left="918" w:right="0"/>
        <w:jc w:val="left"/>
      </w:pPr>
      <w:r>
        <w:rPr>
          <w:rFonts w:ascii="宋体" w:hAnsi="宋体" w:cs="宋体" w:eastAsia="宋体" w:hint="default"/>
        </w:rPr>
        <w:t>4</w:t>
      </w:r>
      <w:r>
        <w:rPr/>
        <w:t>、公司融资情况</w:t>
      </w:r>
    </w:p>
    <w:p>
      <w:pPr>
        <w:pStyle w:val="BodyText"/>
        <w:spacing w:line="240" w:lineRule="auto" w:before="133"/>
        <w:ind w:left="918"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14</w:t>
      </w:r>
      <w:r>
        <w:rPr>
          <w:rFonts w:ascii="宋体" w:hAnsi="宋体" w:cs="宋体" w:eastAsia="宋体" w:hint="default"/>
          <w:spacing w:val="-42"/>
        </w:rPr>
        <w:t> </w:t>
      </w:r>
      <w:r>
        <w:rPr>
          <w:spacing w:val="-3"/>
        </w:rPr>
        <w:t>日，公司召开第三届董事会第十四次会议审议通过了关于公司拟发行短期融</w:t>
      </w:r>
    </w:p>
    <w:p>
      <w:pPr>
        <w:pStyle w:val="BodyText"/>
        <w:spacing w:line="240" w:lineRule="auto" w:before="133"/>
        <w:ind w:left="498" w:right="0"/>
        <w:jc w:val="left"/>
        <w:rPr>
          <w:rFonts w:ascii="宋体" w:hAnsi="宋体" w:cs="宋体" w:eastAsia="宋体" w:hint="default"/>
        </w:rPr>
      </w:pPr>
      <w:r>
        <w:rPr>
          <w:spacing w:val="-2"/>
        </w:rPr>
        <w:t>资券的事项和公司拟发行超短期融资券的事项，公司董事会同意公司申请注册发行总额不超过</w:t>
      </w:r>
      <w:r>
        <w:rPr>
          <w:spacing w:val="25"/>
        </w:rPr>
        <w:t> </w:t>
      </w:r>
      <w:r>
        <w:rPr>
          <w:rFonts w:ascii="宋体" w:hAnsi="宋体" w:cs="宋体" w:eastAsia="宋体" w:hint="default"/>
        </w:rPr>
        <w:t>8</w:t>
      </w:r>
    </w:p>
    <w:p>
      <w:pPr>
        <w:pStyle w:val="BodyText"/>
        <w:spacing w:line="240" w:lineRule="auto" w:before="133"/>
        <w:ind w:left="498" w:right="0"/>
        <w:jc w:val="left"/>
      </w:pPr>
      <w:r>
        <w:rPr/>
        <w:t>亿元人民币（含</w:t>
      </w:r>
      <w:r>
        <w:rPr>
          <w:spacing w:val="-54"/>
        </w:rPr>
        <w:t> </w:t>
      </w:r>
      <w:r>
        <w:rPr>
          <w:rFonts w:ascii="宋体" w:hAnsi="宋体" w:cs="宋体" w:eastAsia="宋体" w:hint="default"/>
        </w:rPr>
        <w:t>8</w:t>
      </w:r>
      <w:r>
        <w:rPr>
          <w:rFonts w:ascii="宋体" w:hAnsi="宋体" w:cs="宋体" w:eastAsia="宋体" w:hint="default"/>
          <w:spacing w:val="-54"/>
        </w:rPr>
        <w:t> </w:t>
      </w:r>
      <w:r>
        <w:rPr/>
        <w:t>亿元）融资期限不超过</w:t>
      </w:r>
      <w:r>
        <w:rPr>
          <w:spacing w:val="-53"/>
        </w:rPr>
        <w:t> </w:t>
      </w:r>
      <w:r>
        <w:rPr>
          <w:rFonts w:ascii="宋体" w:hAnsi="宋体" w:cs="宋体" w:eastAsia="宋体" w:hint="default"/>
        </w:rPr>
        <w:t>1</w:t>
      </w:r>
      <w:r>
        <w:rPr>
          <w:rFonts w:ascii="宋体" w:hAnsi="宋体" w:cs="宋体" w:eastAsia="宋体" w:hint="default"/>
          <w:spacing w:val="-54"/>
        </w:rPr>
        <w:t> </w:t>
      </w:r>
      <w:r>
        <w:rPr/>
        <w:t>年（含</w:t>
      </w:r>
      <w:r>
        <w:rPr>
          <w:spacing w:val="-56"/>
        </w:rPr>
        <w:t> </w:t>
      </w:r>
      <w:r>
        <w:rPr>
          <w:rFonts w:ascii="宋体" w:hAnsi="宋体" w:cs="宋体" w:eastAsia="宋体" w:hint="default"/>
        </w:rPr>
        <w:t>1</w:t>
      </w:r>
      <w:r>
        <w:rPr>
          <w:rFonts w:ascii="宋体" w:hAnsi="宋体" w:cs="宋体" w:eastAsia="宋体" w:hint="default"/>
          <w:spacing w:val="-54"/>
        </w:rPr>
        <w:t> </w:t>
      </w:r>
      <w:r>
        <w:rPr/>
        <w:t>年）的短期融资券（最终方案以中国银行间</w:t>
      </w:r>
    </w:p>
    <w:p>
      <w:pPr>
        <w:pStyle w:val="BodyText"/>
        <w:spacing w:line="240" w:lineRule="auto" w:before="135"/>
        <w:ind w:left="498" w:right="0"/>
        <w:jc w:val="left"/>
      </w:pPr>
      <w:r>
        <w:rPr/>
        <w:t>市场交易商协会的注册通知书为准）和总额不超过</w:t>
      </w:r>
      <w:r>
        <w:rPr>
          <w:spacing w:val="-57"/>
        </w:rPr>
        <w:t> </w:t>
      </w:r>
      <w:r>
        <w:rPr>
          <w:rFonts w:ascii="宋体" w:hAnsi="宋体" w:cs="宋体" w:eastAsia="宋体" w:hint="default"/>
        </w:rPr>
        <w:t>12</w:t>
      </w:r>
      <w:r>
        <w:rPr>
          <w:rFonts w:ascii="宋体" w:hAnsi="宋体" w:cs="宋体" w:eastAsia="宋体" w:hint="default"/>
          <w:spacing w:val="-55"/>
        </w:rPr>
        <w:t> </w:t>
      </w:r>
      <w:r>
        <w:rPr/>
        <w:t>亿元人民币（含</w:t>
      </w:r>
      <w:r>
        <w:rPr>
          <w:spacing w:val="-55"/>
        </w:rPr>
        <w:t> </w:t>
      </w:r>
      <w:r>
        <w:rPr>
          <w:rFonts w:ascii="宋体" w:hAnsi="宋体" w:cs="宋体" w:eastAsia="宋体" w:hint="default"/>
        </w:rPr>
        <w:t>12</w:t>
      </w:r>
      <w:r>
        <w:rPr>
          <w:rFonts w:ascii="宋体" w:hAnsi="宋体" w:cs="宋体" w:eastAsia="宋体" w:hint="default"/>
          <w:spacing w:val="-55"/>
        </w:rPr>
        <w:t> </w:t>
      </w:r>
      <w:r>
        <w:rPr/>
        <w:t>亿元）融资期限不超过</w:t>
      </w:r>
    </w:p>
    <w:p>
      <w:pPr>
        <w:pStyle w:val="BodyText"/>
        <w:spacing w:line="240" w:lineRule="auto" w:before="133"/>
        <w:ind w:left="498" w:right="0"/>
        <w:jc w:val="left"/>
        <w:rPr>
          <w:rFonts w:ascii="宋体" w:hAnsi="宋体" w:cs="宋体" w:eastAsia="宋体" w:hint="default"/>
        </w:rPr>
      </w:pPr>
      <w:r>
        <w:rPr>
          <w:rFonts w:ascii="宋体" w:hAnsi="宋体" w:cs="宋体" w:eastAsia="宋体" w:hint="default"/>
        </w:rPr>
        <w:t>270</w:t>
      </w:r>
      <w:r>
        <w:rPr>
          <w:rFonts w:ascii="宋体" w:hAnsi="宋体" w:cs="宋体" w:eastAsia="宋体" w:hint="default"/>
          <w:spacing w:val="-53"/>
        </w:rPr>
        <w:t> </w:t>
      </w:r>
      <w:r>
        <w:rPr/>
        <w:t>天（含</w:t>
      </w:r>
      <w:r>
        <w:rPr>
          <w:spacing w:val="-55"/>
        </w:rPr>
        <w:t> </w:t>
      </w:r>
      <w:r>
        <w:rPr>
          <w:rFonts w:ascii="宋体" w:hAnsi="宋体" w:cs="宋体" w:eastAsia="宋体" w:hint="default"/>
        </w:rPr>
        <w:t>270</w:t>
      </w:r>
      <w:r>
        <w:rPr>
          <w:rFonts w:ascii="宋体" w:hAnsi="宋体" w:cs="宋体" w:eastAsia="宋体" w:hint="default"/>
          <w:spacing w:val="-55"/>
        </w:rPr>
        <w:t> </w:t>
      </w:r>
      <w:r>
        <w:rPr/>
        <w:t>天）的超短期融资券，详见公司</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日披露的相关公告。</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11</w:t>
      </w:r>
    </w:p>
    <w:p>
      <w:pPr>
        <w:pStyle w:val="BodyText"/>
        <w:spacing w:line="355" w:lineRule="auto" w:before="133"/>
        <w:ind w:left="498" w:right="0"/>
        <w:jc w:val="left"/>
      </w:pPr>
      <w:r>
        <w:rPr/>
        <w:t>月</w:t>
      </w:r>
      <w:r>
        <w:rPr>
          <w:spacing w:val="-52"/>
        </w:rPr>
        <w:t> </w:t>
      </w:r>
      <w:r>
        <w:rPr>
          <w:rFonts w:ascii="宋体" w:hAnsi="宋体" w:cs="宋体" w:eastAsia="宋体" w:hint="default"/>
        </w:rPr>
        <w:t>30</w:t>
      </w:r>
      <w:r>
        <w:rPr>
          <w:rFonts w:ascii="宋体" w:hAnsi="宋体" w:cs="宋体" w:eastAsia="宋体" w:hint="default"/>
          <w:spacing w:val="-54"/>
        </w:rPr>
        <w:t> </w:t>
      </w:r>
      <w:r>
        <w:rPr>
          <w:spacing w:val="-4"/>
        </w:rPr>
        <w:t>日，公司召开</w:t>
      </w:r>
      <w:r>
        <w:rPr>
          <w:spacing w:val="-52"/>
        </w:rPr>
        <w:t> </w:t>
      </w:r>
      <w:r>
        <w:rPr>
          <w:rFonts w:ascii="宋体" w:hAnsi="宋体" w:cs="宋体" w:eastAsia="宋体" w:hint="default"/>
        </w:rPr>
        <w:t>2016</w:t>
      </w:r>
      <w:r>
        <w:rPr>
          <w:rFonts w:ascii="宋体" w:hAnsi="宋体" w:cs="宋体" w:eastAsia="宋体" w:hint="default"/>
          <w:spacing w:val="-54"/>
        </w:rPr>
        <w:t> </w:t>
      </w:r>
      <w:r>
        <w:rPr/>
        <w:t>年第一次临时股东大会审议通过了相关议案。</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2"/>
        </w:rPr>
        <w:t> </w:t>
      </w:r>
      <w:r>
        <w:rPr>
          <w:spacing w:val="-4"/>
        </w:rPr>
        <w:t>月，中国银行间</w:t>
      </w:r>
      <w:r>
        <w:rPr>
          <w:w w:val="100"/>
        </w:rPr>
        <w:t> </w:t>
      </w:r>
      <w:r>
        <w:rPr/>
        <w:t>市场交易商协会接受了公司短期融资券和超短期融资券的注册，报告期尚未发行。</w:t>
      </w:r>
    </w:p>
    <w:p>
      <w:pPr>
        <w:pStyle w:val="BodyText"/>
        <w:spacing w:line="240" w:lineRule="auto" w:before="32"/>
        <w:ind w:left="918" w:right="0"/>
        <w:jc w:val="left"/>
      </w:pP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9</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12</w:t>
      </w:r>
      <w:r>
        <w:rPr>
          <w:rFonts w:ascii="宋体" w:hAnsi="宋体" w:cs="宋体" w:eastAsia="宋体" w:hint="default"/>
          <w:spacing w:val="-53"/>
        </w:rPr>
        <w:t> </w:t>
      </w:r>
      <w:r>
        <w:rPr>
          <w:spacing w:val="-3"/>
          <w:w w:val="100"/>
        </w:rPr>
        <w:t>日</w:t>
      </w:r>
      <w:r>
        <w:rPr>
          <w:w w:val="100"/>
        </w:rPr>
        <w:t>召开</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w:t>
      </w:r>
      <w:r>
        <w:rPr>
          <w:w w:val="100"/>
        </w:rPr>
        <w:t>临</w:t>
      </w:r>
      <w:r>
        <w:rPr>
          <w:spacing w:val="-3"/>
          <w:w w:val="100"/>
        </w:rPr>
        <w:t>时股</w:t>
      </w:r>
      <w:r>
        <w:rPr>
          <w:w w:val="100"/>
        </w:rPr>
        <w:t>东大</w:t>
      </w:r>
      <w:r>
        <w:rPr>
          <w:spacing w:val="-3"/>
          <w:w w:val="100"/>
        </w:rPr>
        <w:t>会</w:t>
      </w:r>
      <w:r>
        <w:rPr>
          <w:spacing w:val="-94"/>
          <w:w w:val="100"/>
        </w:rPr>
        <w:t>，</w:t>
      </w:r>
      <w:r>
        <w:rPr>
          <w:w w:val="100"/>
        </w:rPr>
        <w:t>审</w:t>
      </w:r>
      <w:r>
        <w:rPr>
          <w:spacing w:val="-3"/>
          <w:w w:val="100"/>
        </w:rPr>
        <w:t>议</w:t>
      </w:r>
      <w:r>
        <w:rPr>
          <w:w w:val="100"/>
        </w:rPr>
        <w:t>通</w:t>
      </w:r>
      <w:r>
        <w:rPr>
          <w:spacing w:val="-3"/>
          <w:w w:val="100"/>
        </w:rPr>
        <w:t>过</w:t>
      </w:r>
      <w:r>
        <w:rPr>
          <w:w w:val="100"/>
        </w:rPr>
        <w:t>了</w:t>
      </w:r>
      <w:r>
        <w:rPr>
          <w:spacing w:val="-3"/>
          <w:w w:val="100"/>
        </w:rPr>
        <w:t>关</w:t>
      </w:r>
      <w:r>
        <w:rPr>
          <w:w w:val="100"/>
        </w:rPr>
        <w:t>于</w:t>
      </w:r>
      <w:r>
        <w:rPr>
          <w:spacing w:val="-3"/>
          <w:w w:val="100"/>
        </w:rPr>
        <w:t>发</w:t>
      </w:r>
      <w:r>
        <w:rPr>
          <w:w w:val="100"/>
        </w:rPr>
        <w:t>行长</w:t>
      </w:r>
      <w:r>
        <w:rPr>
          <w:spacing w:val="-3"/>
          <w:w w:val="100"/>
        </w:rPr>
        <w:t>期</w:t>
      </w:r>
      <w:r>
        <w:rPr>
          <w:w w:val="100"/>
        </w:rPr>
        <w:t>限</w:t>
      </w:r>
      <w:r>
        <w:rPr>
          <w:spacing w:val="-3"/>
          <w:w w:val="100"/>
        </w:rPr>
        <w:t>含</w:t>
      </w:r>
      <w:r>
        <w:rPr>
          <w:w w:val="100"/>
        </w:rPr>
        <w:t>权</w:t>
      </w:r>
    </w:p>
    <w:p>
      <w:pPr>
        <w:pStyle w:val="BodyText"/>
        <w:spacing w:line="240" w:lineRule="auto" w:before="135"/>
        <w:ind w:left="498" w:right="0"/>
        <w:jc w:val="left"/>
      </w:pPr>
      <w:r>
        <w:rPr/>
        <w:t>中期票据的议案，公司本次中期票据拟发行规模不超过</w:t>
      </w:r>
      <w:r>
        <w:rPr>
          <w:spacing w:val="-52"/>
        </w:rPr>
        <w:t> </w:t>
      </w:r>
      <w:r>
        <w:rPr>
          <w:rFonts w:ascii="宋体" w:hAnsi="宋体" w:cs="宋体" w:eastAsia="宋体" w:hint="default"/>
        </w:rPr>
        <w:t>6</w:t>
      </w:r>
      <w:r>
        <w:rPr>
          <w:rFonts w:ascii="宋体" w:hAnsi="宋体" w:cs="宋体" w:eastAsia="宋体" w:hint="default"/>
          <w:spacing w:val="-54"/>
        </w:rPr>
        <w:t> </w:t>
      </w:r>
      <w:r>
        <w:rPr>
          <w:spacing w:val="-3"/>
        </w:rPr>
        <w:t>亿元，</w:t>
      </w:r>
      <w:r>
        <w:rPr>
          <w:rFonts w:ascii="宋体" w:hAnsi="宋体" w:cs="宋体" w:eastAsia="宋体" w:hint="default"/>
          <w:spacing w:val="-3"/>
        </w:rPr>
        <w:t>2018</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spacing w:val="-3"/>
        </w:rPr>
        <w:t>月，中国银行间市场交</w:t>
      </w:r>
    </w:p>
    <w:p>
      <w:pPr>
        <w:pStyle w:val="BodyText"/>
        <w:spacing w:line="240" w:lineRule="auto" w:before="133"/>
        <w:ind w:left="498" w:right="0"/>
        <w:jc w:val="left"/>
      </w:pPr>
      <w:r>
        <w:rPr/>
        <w:t>易商协会接受了公司中期票据的注册，注册金额为</w:t>
      </w:r>
      <w:r>
        <w:rPr>
          <w:spacing w:val="-58"/>
        </w:rPr>
        <w:t> </w:t>
      </w:r>
      <w:r>
        <w:rPr>
          <w:rFonts w:ascii="宋体" w:hAnsi="宋体" w:cs="宋体" w:eastAsia="宋体" w:hint="default"/>
        </w:rPr>
        <w:t>6</w:t>
      </w:r>
      <w:r>
        <w:rPr>
          <w:rFonts w:ascii="宋体" w:hAnsi="宋体" w:cs="宋体" w:eastAsia="宋体" w:hint="default"/>
          <w:spacing w:val="-56"/>
        </w:rPr>
        <w:t> </w:t>
      </w:r>
      <w:r>
        <w:rPr/>
        <w:t>亿元，报告期尚未发行。</w:t>
      </w:r>
    </w:p>
    <w:p>
      <w:pPr>
        <w:spacing w:after="0" w:line="240" w:lineRule="auto"/>
        <w:jc w:val="left"/>
        <w:sectPr>
          <w:footerReference w:type="default" r:id="rId20"/>
          <w:pgSz w:w="11910" w:h="16840"/>
          <w:pgMar w:footer="1195" w:header="880" w:top="1120" w:bottom="1380" w:left="1300" w:right="7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1"/>
          <w:pgSz w:w="11910" w:h="16840"/>
          <w:pgMar w:footer="1195" w:header="880" w:top="1120" w:bottom="1380" w:left="1060" w:right="520"/>
          <w:pgNumType w:start="21"/>
        </w:sectPr>
      </w:pPr>
    </w:p>
    <w:p>
      <w:pPr>
        <w:pStyle w:val="Heading3"/>
        <w:spacing w:line="240" w:lineRule="auto"/>
        <w:ind w:left="738" w:right="-6"/>
        <w:jc w:val="left"/>
        <w:rPr>
          <w:b w:val="0"/>
          <w:bCs w:val="0"/>
        </w:rPr>
      </w:pPr>
      <w:r>
        <w:rPr/>
        <w:t>建筑行业经营性信息分析</w:t>
      </w:r>
      <w:r>
        <w:rPr>
          <w:b w:val="0"/>
          <w:bCs w:val="0"/>
        </w:rPr>
      </w:r>
    </w:p>
    <w:p>
      <w:pPr>
        <w:pStyle w:val="Heading3"/>
        <w:tabs>
          <w:tab w:pos="1162" w:val="left" w:leader="none"/>
        </w:tabs>
        <w:spacing w:line="240" w:lineRule="auto" w:before="58"/>
        <w:ind w:left="738" w:right="-6"/>
        <w:jc w:val="left"/>
        <w:rPr>
          <w:b w:val="0"/>
          <w:bCs w:val="0"/>
        </w:rPr>
      </w:pPr>
      <w:r>
        <w:rPr>
          <w:rFonts w:ascii="宋体" w:hAnsi="宋体" w:cs="宋体" w:eastAsia="宋体" w:hint="default"/>
          <w:w w:val="95"/>
        </w:rPr>
        <w:t>1.</w:t>
        <w:tab/>
      </w:r>
      <w:r>
        <w:rPr>
          <w:spacing w:val="-1"/>
        </w:rPr>
        <w:t>报告期内竣工验收的项目情况</w:t>
      </w:r>
      <w:r>
        <w:rPr>
          <w:b w:val="0"/>
          <w:bCs w:val="0"/>
          <w:spacing w:val="-1"/>
        </w:rPr>
      </w:r>
    </w:p>
    <w:p>
      <w:pPr>
        <w:pStyle w:val="BodyText"/>
        <w:tabs>
          <w:tab w:pos="1484" w:val="left" w:leader="none"/>
        </w:tabs>
        <w:spacing w:line="240" w:lineRule="auto" w:before="56"/>
        <w:ind w:left="738" w:right="-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9"/>
          <w:szCs w:val="29"/>
        </w:rPr>
      </w:pPr>
    </w:p>
    <w:p>
      <w:pPr>
        <w:tabs>
          <w:tab w:pos="2049" w:val="left" w:leader="none"/>
        </w:tabs>
        <w:spacing w:before="0"/>
        <w:ind w:left="738" w:right="0" w:firstLine="0"/>
        <w:jc w:val="left"/>
        <w:rPr>
          <w:rFonts w:ascii="宋体" w:hAnsi="宋体" w:cs="宋体" w:eastAsia="宋体" w:hint="default"/>
          <w:sz w:val="21"/>
          <w:szCs w:val="21"/>
        </w:rPr>
      </w:pPr>
      <w:r>
        <w:rPr>
          <w:rFonts w:ascii="宋体" w:hAnsi="宋体" w:cs="宋体" w:eastAsia="宋体" w:hint="default"/>
          <w:spacing w:val="-1"/>
          <w:sz w:val="22"/>
          <w:szCs w:val="22"/>
        </w:rPr>
        <w:t>单位：万元</w:t>
        <w:tab/>
      </w:r>
      <w:r>
        <w:rPr>
          <w:rFonts w:ascii="宋体" w:hAnsi="宋体" w:cs="宋体" w:eastAsia="宋体" w:hint="default"/>
          <w:spacing w:val="-3"/>
          <w:sz w:val="21"/>
          <w:szCs w:val="21"/>
        </w:rPr>
        <w:t>币种：人民币</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60" w:right="520"/>
          <w:cols w:num="2" w:equalWidth="0">
            <w:col w:w="3904" w:space="2358"/>
            <w:col w:w="4068"/>
          </w:cols>
        </w:sectPr>
      </w:pPr>
    </w:p>
    <w:p>
      <w:pPr>
        <w:spacing w:line="240" w:lineRule="auto" w:before="10"/>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1332"/>
        <w:gridCol w:w="1321"/>
        <w:gridCol w:w="1279"/>
        <w:gridCol w:w="1282"/>
        <w:gridCol w:w="1279"/>
        <w:gridCol w:w="1239"/>
        <w:gridCol w:w="1318"/>
      </w:tblGrid>
      <w:tr>
        <w:trPr>
          <w:trHeight w:val="28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0" w:right="0"/>
              <w:jc w:val="left"/>
              <w:rPr>
                <w:rFonts w:ascii="宋体" w:hAnsi="宋体" w:cs="宋体" w:eastAsia="宋体" w:hint="default"/>
                <w:sz w:val="21"/>
                <w:szCs w:val="21"/>
              </w:rPr>
            </w:pPr>
            <w:r>
              <w:rPr>
                <w:rFonts w:ascii="宋体" w:hAnsi="宋体" w:cs="宋体" w:eastAsia="宋体" w:hint="default"/>
                <w:sz w:val="21"/>
                <w:szCs w:val="21"/>
              </w:rPr>
              <w:t>细分行业</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5"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建筑装饰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8"/>
                <w:sz w:val="21"/>
                <w:szCs w:val="21"/>
              </w:rPr>
              <w:t>项目数（个）</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1,035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1,279</w:t>
            </w:r>
          </w:p>
        </w:tc>
      </w:tr>
      <w:tr>
        <w:trPr>
          <w:trHeight w:val="28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1,079,362.58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162,645.35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117,949.71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334,194.00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243.09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1,694,394.73</w:t>
            </w:r>
          </w:p>
        </w:tc>
      </w:tr>
    </w:tbl>
    <w:p>
      <w:pPr>
        <w:spacing w:line="240" w:lineRule="auto" w:before="2"/>
        <w:rPr>
          <w:rFonts w:ascii="宋体" w:hAnsi="宋体" w:cs="宋体" w:eastAsia="宋体" w:hint="default"/>
          <w:sz w:val="13"/>
          <w:szCs w:val="13"/>
        </w:rPr>
      </w:pPr>
    </w:p>
    <w:p>
      <w:pPr>
        <w:pStyle w:val="BodyText"/>
        <w:tabs>
          <w:tab w:pos="1484" w:val="left" w:leader="none"/>
        </w:tabs>
        <w:spacing w:line="282" w:lineRule="exact" w:before="36"/>
        <w:ind w:left="7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262" w:val="left" w:leader="none"/>
        </w:tabs>
        <w:spacing w:line="266" w:lineRule="exact"/>
        <w:ind w:left="0" w:right="75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1,279</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1,279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1,694,394.73</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1,694,394.73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738" w:right="0"/>
        <w:jc w:val="left"/>
      </w:pPr>
      <w:r>
        <w:rPr/>
        <w:t>其他说明</w:t>
      </w:r>
    </w:p>
    <w:p>
      <w:pPr>
        <w:pStyle w:val="BodyText"/>
        <w:tabs>
          <w:tab w:pos="1496" w:val="left" w:leader="none"/>
        </w:tabs>
        <w:spacing w:line="290" w:lineRule="exact"/>
        <w:ind w:left="7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520"/>
        </w:sectPr>
      </w:pPr>
    </w:p>
    <w:p>
      <w:pPr>
        <w:pStyle w:val="Heading3"/>
        <w:tabs>
          <w:tab w:pos="1162" w:val="left" w:leader="none"/>
        </w:tabs>
        <w:spacing w:line="240" w:lineRule="auto"/>
        <w:ind w:left="738" w:right="-10"/>
        <w:jc w:val="left"/>
        <w:rPr>
          <w:b w:val="0"/>
          <w:bCs w:val="0"/>
        </w:rPr>
      </w:pPr>
      <w:r>
        <w:rPr>
          <w:rFonts w:ascii="宋体" w:hAnsi="宋体" w:cs="宋体" w:eastAsia="宋体" w:hint="default"/>
          <w:w w:val="95"/>
        </w:rPr>
        <w:t>2.</w:t>
        <w:tab/>
      </w:r>
      <w:r>
        <w:rPr>
          <w:spacing w:val="-1"/>
        </w:rPr>
        <w:t>报告期内在建项目情况</w:t>
      </w:r>
      <w:r>
        <w:rPr>
          <w:b w:val="0"/>
          <w:bCs w:val="0"/>
        </w:rPr>
      </w:r>
    </w:p>
    <w:p>
      <w:pPr>
        <w:pStyle w:val="BodyText"/>
        <w:tabs>
          <w:tab w:pos="1484" w:val="left" w:leader="none"/>
        </w:tabs>
        <w:spacing w:line="240" w:lineRule="auto" w:before="56"/>
        <w:ind w:left="738" w:right="-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0" w:val="left" w:leader="none"/>
        </w:tabs>
        <w:spacing w:line="240" w:lineRule="auto"/>
        <w:ind w:left="7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060" w:right="520"/>
          <w:cols w:num="2" w:equalWidth="0">
            <w:col w:w="3271" w:space="3039"/>
            <w:col w:w="4020"/>
          </w:cols>
        </w:sectPr>
      </w:pPr>
    </w:p>
    <w:p>
      <w:pPr>
        <w:spacing w:line="240" w:lineRule="auto" w:before="4"/>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1786"/>
        <w:gridCol w:w="1453"/>
        <w:gridCol w:w="1394"/>
        <w:gridCol w:w="1232"/>
        <w:gridCol w:w="1116"/>
        <w:gridCol w:w="675"/>
        <w:gridCol w:w="1394"/>
      </w:tblGrid>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细分行业</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sz w:val="21"/>
                <w:szCs w:val="21"/>
              </w:rPr>
              <w:t>房屋建设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1" w:right="0"/>
              <w:jc w:val="left"/>
              <w:rPr>
                <w:rFonts w:ascii="宋体" w:hAnsi="宋体" w:cs="宋体" w:eastAsia="宋体" w:hint="default"/>
                <w:sz w:val="21"/>
                <w:szCs w:val="21"/>
              </w:rPr>
            </w:pPr>
            <w:r>
              <w:rPr>
                <w:rFonts w:ascii="宋体" w:hAnsi="宋体" w:cs="宋体" w:eastAsia="宋体" w:hint="default"/>
                <w:sz w:val="21"/>
                <w:szCs w:val="21"/>
              </w:rPr>
              <w:t>基建工程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专业工程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建筑装饰</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sz w:val="21"/>
                <w:szCs w:val="21"/>
              </w:rPr>
              <w:t>其他</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3"/>
                <w:sz w:val="21"/>
              </w:rPr>
              <w:t>115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406</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9"/>
              <w:jc w:val="right"/>
              <w:rPr>
                <w:rFonts w:ascii="Times New Roman" w:hAnsi="Times New Roman" w:cs="Times New Roman" w:eastAsia="Times New Roman" w:hint="default"/>
                <w:sz w:val="22"/>
                <w:szCs w:val="22"/>
              </w:rPr>
            </w:pPr>
            <w:r>
              <w:rPr>
                <w:rFonts w:ascii="Times New Roman"/>
                <w:spacing w:val="-1"/>
                <w:sz w:val="22"/>
              </w:rPr>
              <w:t>2,363,797.78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1,087,273.62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318,895.37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37,206.96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3,807,173.73</w:t>
            </w:r>
          </w:p>
        </w:tc>
      </w:tr>
    </w:tbl>
    <w:p>
      <w:pPr>
        <w:spacing w:line="240" w:lineRule="auto" w:before="2"/>
        <w:rPr>
          <w:rFonts w:ascii="宋体" w:hAnsi="宋体" w:cs="宋体" w:eastAsia="宋体" w:hint="default"/>
          <w:sz w:val="13"/>
          <w:szCs w:val="13"/>
        </w:rPr>
      </w:pPr>
    </w:p>
    <w:p>
      <w:pPr>
        <w:pStyle w:val="BodyText"/>
        <w:tabs>
          <w:tab w:pos="1484" w:val="left" w:leader="none"/>
        </w:tabs>
        <w:spacing w:line="282" w:lineRule="exact" w:before="36"/>
        <w:ind w:left="7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1262" w:val="left" w:leader="none"/>
        </w:tabs>
        <w:spacing w:line="266" w:lineRule="exact"/>
        <w:ind w:left="0" w:right="75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项目地区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总计</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项目数量（个）</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406</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总金额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3,807,173.73</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3,807,173.73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520"/>
        </w:sectPr>
      </w:pPr>
    </w:p>
    <w:p>
      <w:pPr>
        <w:pStyle w:val="Heading3"/>
        <w:tabs>
          <w:tab w:pos="1162" w:val="left" w:leader="none"/>
        </w:tabs>
        <w:spacing w:line="240" w:lineRule="auto"/>
        <w:ind w:left="738" w:right="-17"/>
        <w:jc w:val="left"/>
        <w:rPr>
          <w:b w:val="0"/>
          <w:bCs w:val="0"/>
        </w:rPr>
      </w:pPr>
      <w:r>
        <w:rPr>
          <w:rFonts w:ascii="宋体" w:hAnsi="宋体" w:cs="宋体" w:eastAsia="宋体" w:hint="default"/>
          <w:w w:val="95"/>
        </w:rPr>
        <w:t>3.</w:t>
        <w:tab/>
      </w:r>
      <w:r>
        <w:rPr/>
        <w:t>在建重大项目情况</w:t>
      </w:r>
      <w:r>
        <w:rPr>
          <w:b w:val="0"/>
          <w:bCs w:val="0"/>
        </w:rPr>
      </w:r>
    </w:p>
    <w:p>
      <w:pPr>
        <w:pStyle w:val="BodyText"/>
        <w:tabs>
          <w:tab w:pos="1484" w:val="left" w:leader="none"/>
        </w:tabs>
        <w:spacing w:line="240" w:lineRule="auto" w:before="58"/>
        <w:ind w:left="738" w:right="-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89" w:val="left" w:leader="none"/>
        </w:tabs>
        <w:spacing w:line="240" w:lineRule="auto"/>
        <w:ind w:left="738"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520"/>
          <w:cols w:num="2" w:equalWidth="0">
            <w:col w:w="2853" w:space="3669"/>
            <w:col w:w="380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79"/>
        <w:gridCol w:w="840"/>
        <w:gridCol w:w="1090"/>
        <w:gridCol w:w="641"/>
        <w:gridCol w:w="550"/>
        <w:gridCol w:w="1443"/>
        <w:gridCol w:w="1258"/>
        <w:gridCol w:w="1371"/>
        <w:gridCol w:w="1421"/>
      </w:tblGrid>
      <w:tr>
        <w:trPr>
          <w:trHeight w:val="117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35" w:right="233"/>
              <w:jc w:val="left"/>
              <w:rPr>
                <w:rFonts w:ascii="宋体" w:hAnsi="宋体" w:cs="宋体" w:eastAsia="宋体" w:hint="default"/>
                <w:sz w:val="18"/>
                <w:szCs w:val="18"/>
              </w:rPr>
            </w:pPr>
            <w:r>
              <w:rPr>
                <w:rFonts w:ascii="宋体" w:hAnsi="宋体" w:cs="宋体" w:eastAsia="宋体" w:hint="default"/>
                <w:sz w:val="18"/>
                <w:szCs w:val="18"/>
              </w:rPr>
              <w:t>业务 模式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58" w:right="360"/>
              <w:jc w:val="left"/>
              <w:rPr>
                <w:rFonts w:ascii="宋体" w:hAnsi="宋体" w:cs="宋体" w:eastAsia="宋体" w:hint="default"/>
                <w:sz w:val="18"/>
                <w:szCs w:val="18"/>
              </w:rPr>
            </w:pPr>
            <w:r>
              <w:rPr>
                <w:rFonts w:ascii="宋体" w:hAnsi="宋体" w:cs="宋体" w:eastAsia="宋体" w:hint="default"/>
                <w:sz w:val="18"/>
                <w:szCs w:val="18"/>
              </w:rPr>
              <w:t>项目 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both"/>
              <w:rPr>
                <w:rFonts w:ascii="宋体" w:hAnsi="宋体" w:cs="宋体" w:eastAsia="宋体" w:hint="default"/>
                <w:sz w:val="18"/>
                <w:szCs w:val="18"/>
              </w:rPr>
            </w:pPr>
            <w:r>
              <w:rPr>
                <w:rFonts w:ascii="宋体" w:hAnsi="宋体" w:cs="宋体" w:eastAsia="宋体" w:hint="default"/>
                <w:sz w:val="18"/>
                <w:szCs w:val="18"/>
              </w:rPr>
              <w:t>完</w:t>
            </w:r>
          </w:p>
          <w:p>
            <w:pPr>
              <w:pStyle w:val="TableParagraph"/>
              <w:spacing w:line="237" w:lineRule="auto"/>
              <w:ind w:left="177" w:right="180"/>
              <w:jc w:val="both"/>
              <w:rPr>
                <w:rFonts w:ascii="宋体" w:hAnsi="宋体" w:cs="宋体" w:eastAsia="宋体" w:hint="default"/>
                <w:sz w:val="18"/>
                <w:szCs w:val="18"/>
              </w:rPr>
            </w:pPr>
            <w:r>
              <w:rPr>
                <w:rFonts w:ascii="宋体" w:hAnsi="宋体" w:cs="宋体" w:eastAsia="宋体" w:hint="default"/>
                <w:sz w:val="18"/>
                <w:szCs w:val="18"/>
              </w:rPr>
              <w:t>工 百 分 比</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本期确认收入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32" w:right="173"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本期成本投入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累计成本投入</w:t>
            </w:r>
          </w:p>
        </w:tc>
      </w:tr>
      <w:tr>
        <w:trPr>
          <w:trHeight w:val="71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宁波中心三期</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A3-23/25-1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地</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块）项目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hanging="180"/>
              <w:jc w:val="left"/>
              <w:rPr>
                <w:rFonts w:ascii="宋体" w:hAnsi="宋体" w:cs="宋体" w:eastAsia="宋体" w:hint="default"/>
                <w:sz w:val="18"/>
                <w:szCs w:val="18"/>
              </w:rPr>
            </w:pPr>
            <w:r>
              <w:rPr>
                <w:rFonts w:ascii="宋体" w:hAnsi="宋体" w:cs="宋体" w:eastAsia="宋体" w:hint="default"/>
                <w:sz w:val="18"/>
                <w:szCs w:val="18"/>
              </w:rPr>
              <w:t>施工总</w:t>
            </w: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承包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1,357,539,4</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51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67" w:right="0"/>
              <w:jc w:val="left"/>
              <w:rPr>
                <w:rFonts w:ascii="Times New Roman" w:hAnsi="Times New Roman" w:cs="Times New Roman" w:eastAsia="Times New Roman" w:hint="default"/>
                <w:sz w:val="18"/>
                <w:szCs w:val="18"/>
              </w:rPr>
            </w:pPr>
            <w:r>
              <w:rPr>
                <w:rFonts w:ascii="Times New Roman"/>
                <w:sz w:val="18"/>
              </w:rPr>
              <w:t>1252</w:t>
            </w:r>
          </w:p>
          <w:p>
            <w:pPr>
              <w:pStyle w:val="TableParagraph"/>
              <w:spacing w:line="232" w:lineRule="exact" w:before="13"/>
              <w:ind w:left="347" w:right="101" w:hanging="180"/>
              <w:jc w:val="left"/>
              <w:rPr>
                <w:rFonts w:ascii="宋体" w:hAnsi="宋体" w:cs="宋体" w:eastAsia="宋体" w:hint="default"/>
                <w:sz w:val="18"/>
                <w:szCs w:val="18"/>
              </w:rPr>
            </w:pPr>
            <w:r>
              <w:rPr>
                <w:rFonts w:ascii="宋体" w:hAnsi="宋体" w:cs="宋体" w:eastAsia="宋体" w:hint="default"/>
                <w:sz w:val="18"/>
                <w:szCs w:val="18"/>
              </w:rPr>
              <w:t>日历 天</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2" w:right="0"/>
              <w:jc w:val="left"/>
              <w:rPr>
                <w:rFonts w:ascii="Times New Roman" w:hAnsi="Times New Roman" w:cs="Times New Roman" w:eastAsia="Times New Roman" w:hint="default"/>
                <w:sz w:val="18"/>
                <w:szCs w:val="18"/>
              </w:rPr>
            </w:pPr>
            <w:r>
              <w:rPr>
                <w:rFonts w:ascii="Times New Roman"/>
                <w:sz w:val="18"/>
              </w:rPr>
              <w:t>46.2</w:t>
            </w:r>
          </w:p>
          <w:p>
            <w:pPr>
              <w:pStyle w:val="TableParagraph"/>
              <w:spacing w:line="240" w:lineRule="auto" w:before="2"/>
              <w:ind w:left="196" w:right="0"/>
              <w:jc w:val="left"/>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191,513,256.29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336,924,213.8</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192,506,342.88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9" w:right="0"/>
              <w:jc w:val="center"/>
              <w:rPr>
                <w:rFonts w:ascii="Times New Roman" w:hAnsi="Times New Roman" w:cs="Times New Roman" w:eastAsia="Times New Roman" w:hint="default"/>
                <w:sz w:val="18"/>
                <w:szCs w:val="18"/>
              </w:rPr>
            </w:pPr>
            <w:r>
              <w:rPr>
                <w:rFonts w:ascii="Times New Roman"/>
                <w:sz w:val="18"/>
              </w:rPr>
              <w:t>333,554,971.71</w:t>
            </w:r>
          </w:p>
        </w:tc>
      </w:tr>
      <w:tr>
        <w:trPr>
          <w:trHeight w:val="68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长沙奥克斯缔壹</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城</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hanging="180"/>
              <w:jc w:val="left"/>
              <w:rPr>
                <w:rFonts w:ascii="宋体" w:hAnsi="宋体" w:cs="宋体" w:eastAsia="宋体" w:hint="default"/>
                <w:sz w:val="18"/>
                <w:szCs w:val="18"/>
              </w:rPr>
            </w:pPr>
            <w:r>
              <w:rPr>
                <w:rFonts w:ascii="宋体" w:hAnsi="宋体" w:cs="宋体" w:eastAsia="宋体" w:hint="default"/>
                <w:sz w:val="18"/>
                <w:szCs w:val="18"/>
              </w:rPr>
              <w:t>施工总</w:t>
            </w: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承包</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1,055,955,2</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06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67" w:right="0"/>
              <w:jc w:val="left"/>
              <w:rPr>
                <w:rFonts w:ascii="Times New Roman" w:hAnsi="Times New Roman" w:cs="Times New Roman" w:eastAsia="Times New Roman" w:hint="default"/>
                <w:sz w:val="18"/>
                <w:szCs w:val="18"/>
              </w:rPr>
            </w:pPr>
            <w:r>
              <w:rPr>
                <w:rFonts w:ascii="Times New Roman"/>
                <w:sz w:val="18"/>
              </w:rPr>
              <w:t>1460</w:t>
            </w:r>
          </w:p>
          <w:p>
            <w:pPr>
              <w:pStyle w:val="TableParagraph"/>
              <w:spacing w:line="232" w:lineRule="exact" w:before="13"/>
              <w:ind w:left="347" w:right="101" w:hanging="180"/>
              <w:jc w:val="left"/>
              <w:rPr>
                <w:rFonts w:ascii="宋体" w:hAnsi="宋体" w:cs="宋体" w:eastAsia="宋体" w:hint="default"/>
                <w:sz w:val="18"/>
                <w:szCs w:val="18"/>
              </w:rPr>
            </w:pPr>
            <w:r>
              <w:rPr>
                <w:rFonts w:ascii="宋体" w:hAnsi="宋体" w:cs="宋体" w:eastAsia="宋体" w:hint="default"/>
                <w:sz w:val="18"/>
                <w:szCs w:val="18"/>
              </w:rPr>
              <w:t>日历 天</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2" w:right="0"/>
              <w:jc w:val="left"/>
              <w:rPr>
                <w:rFonts w:ascii="Times New Roman" w:hAnsi="Times New Roman" w:cs="Times New Roman" w:eastAsia="Times New Roman" w:hint="default"/>
                <w:sz w:val="18"/>
                <w:szCs w:val="18"/>
              </w:rPr>
            </w:pPr>
            <w:r>
              <w:rPr>
                <w:rFonts w:ascii="Times New Roman"/>
                <w:sz w:val="18"/>
              </w:rPr>
              <w:t>77.5</w:t>
            </w:r>
          </w:p>
          <w:p>
            <w:pPr>
              <w:pStyle w:val="TableParagraph"/>
              <w:spacing w:line="240" w:lineRule="auto" w:before="2"/>
              <w:ind w:left="196" w:right="0"/>
              <w:jc w:val="left"/>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211,490,785.51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775,096,395.0</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200,638,106.41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9" w:right="0"/>
              <w:jc w:val="center"/>
              <w:rPr>
                <w:rFonts w:ascii="Times New Roman" w:hAnsi="Times New Roman" w:cs="Times New Roman" w:eastAsia="Times New Roman" w:hint="default"/>
                <w:sz w:val="18"/>
                <w:szCs w:val="18"/>
              </w:rPr>
            </w:pPr>
            <w:r>
              <w:rPr>
                <w:rFonts w:ascii="Times New Roman"/>
                <w:sz w:val="18"/>
              </w:rPr>
              <w:t>735,261,144.59</w:t>
            </w:r>
          </w:p>
        </w:tc>
      </w:tr>
      <w:tr>
        <w:trPr>
          <w:trHeight w:val="4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温州金融科技文</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化中心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项目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融资合</w:t>
            </w: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同模式</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2,639,087,5</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95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9" w:right="0"/>
              <w:jc w:val="center"/>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2"/>
              <w:ind w:left="18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29,263,609.00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32,076,609.00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28,206,042.98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0" w:right="0"/>
              <w:jc w:val="center"/>
              <w:rPr>
                <w:rFonts w:ascii="Times New Roman" w:hAnsi="Times New Roman" w:cs="Times New Roman" w:eastAsia="Times New Roman" w:hint="default"/>
                <w:sz w:val="18"/>
                <w:szCs w:val="18"/>
              </w:rPr>
            </w:pPr>
            <w:r>
              <w:rPr>
                <w:rFonts w:ascii="Times New Roman"/>
                <w:sz w:val="18"/>
              </w:rPr>
              <w:t>30,966,203.06</w:t>
            </w:r>
          </w:p>
        </w:tc>
      </w:tr>
    </w:tbl>
    <w:p>
      <w:pPr>
        <w:spacing w:line="240" w:lineRule="auto" w:before="2"/>
        <w:rPr>
          <w:rFonts w:ascii="宋体" w:hAnsi="宋体" w:cs="宋体" w:eastAsia="宋体" w:hint="default"/>
          <w:sz w:val="13"/>
          <w:szCs w:val="13"/>
        </w:rPr>
      </w:pPr>
    </w:p>
    <w:p>
      <w:pPr>
        <w:pStyle w:val="BodyText"/>
        <w:spacing w:line="240" w:lineRule="auto" w:before="36"/>
        <w:ind w:left="738" w:right="0"/>
        <w:jc w:val="left"/>
      </w:pPr>
      <w:r>
        <w:rPr/>
        <w:t>其他说明</w:t>
      </w:r>
    </w:p>
    <w:p>
      <w:pPr>
        <w:spacing w:after="0" w:line="240" w:lineRule="auto"/>
        <w:jc w:val="left"/>
        <w:sectPr>
          <w:type w:val="continuous"/>
          <w:pgSz w:w="11910" w:h="16840"/>
          <w:pgMar w:top="1120" w:bottom="1380" w:left="1060" w:right="520"/>
        </w:sectPr>
      </w:pPr>
    </w:p>
    <w:p>
      <w:pPr>
        <w:spacing w:line="240" w:lineRule="auto" w:before="4"/>
        <w:rPr>
          <w:rFonts w:ascii="宋体" w:hAnsi="宋体" w:cs="宋体" w:eastAsia="宋体" w:hint="default"/>
          <w:sz w:val="25"/>
          <w:szCs w:val="25"/>
        </w:rPr>
      </w:pPr>
    </w:p>
    <w:p>
      <w:pPr>
        <w:pStyle w:val="BodyText"/>
        <w:tabs>
          <w:tab w:pos="1680" w:val="left" w:leader="none"/>
        </w:tabs>
        <w:spacing w:line="240" w:lineRule="auto" w:before="36"/>
        <w:ind w:left="838" w:right="0"/>
        <w:jc w:val="left"/>
      </w:pPr>
      <w:r>
        <w:rPr/>
        <w:t>□适用</w:t>
        <w:tab/>
        <w:t>√不适用</w:t>
      </w:r>
    </w:p>
    <w:p>
      <w:pPr>
        <w:spacing w:line="240" w:lineRule="auto" w:before="0"/>
        <w:rPr>
          <w:rFonts w:ascii="宋体" w:hAnsi="宋体" w:cs="宋体" w:eastAsia="宋体" w:hint="default"/>
          <w:sz w:val="23"/>
          <w:szCs w:val="23"/>
        </w:rPr>
      </w:pPr>
    </w:p>
    <w:p>
      <w:pPr>
        <w:pStyle w:val="Heading3"/>
        <w:tabs>
          <w:tab w:pos="1262" w:val="left" w:leader="none"/>
        </w:tabs>
        <w:spacing w:line="240" w:lineRule="auto" w:before="0"/>
        <w:ind w:left="838" w:right="0"/>
        <w:jc w:val="left"/>
        <w:rPr>
          <w:b w:val="0"/>
          <w:bCs w:val="0"/>
        </w:rPr>
      </w:pPr>
      <w:r>
        <w:rPr>
          <w:rFonts w:ascii="宋体" w:hAnsi="宋体" w:cs="宋体" w:eastAsia="宋体" w:hint="default"/>
          <w:w w:val="95"/>
        </w:rPr>
        <w:t>4.</w:t>
        <w:tab/>
      </w:r>
      <w:r>
        <w:rPr/>
        <w:t>报告期内境外项目情况</w:t>
      </w:r>
      <w:r>
        <w:rPr>
          <w:b w:val="0"/>
          <w:bCs w:val="0"/>
        </w:rPr>
      </w:r>
    </w:p>
    <w:p>
      <w:pPr>
        <w:pStyle w:val="BodyText"/>
        <w:tabs>
          <w:tab w:pos="1596" w:val="left" w:leader="none"/>
        </w:tabs>
        <w:spacing w:line="272" w:lineRule="exact" w:before="84"/>
        <w:ind w:left="838" w:right="818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tabs>
          <w:tab w:pos="1596" w:val="left" w:leader="none"/>
        </w:tabs>
        <w:spacing w:line="265" w:lineRule="exact"/>
        <w:ind w:left="8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960" w:right="420"/>
        </w:sectPr>
      </w:pPr>
    </w:p>
    <w:p>
      <w:pPr>
        <w:pStyle w:val="Heading3"/>
        <w:tabs>
          <w:tab w:pos="1262" w:val="left" w:leader="none"/>
        </w:tabs>
        <w:spacing w:line="240" w:lineRule="auto"/>
        <w:ind w:left="838" w:right="-5"/>
        <w:jc w:val="left"/>
        <w:rPr>
          <w:b w:val="0"/>
          <w:bCs w:val="0"/>
        </w:rPr>
      </w:pPr>
      <w:r>
        <w:rPr>
          <w:rFonts w:ascii="宋体" w:hAnsi="宋体" w:cs="宋体" w:eastAsia="宋体" w:hint="default"/>
          <w:w w:val="95"/>
        </w:rPr>
        <w:t>5.</w:t>
        <w:tab/>
      </w:r>
      <w:r>
        <w:rPr>
          <w:spacing w:val="-1"/>
        </w:rPr>
        <w:t>存货中已完工未结算的汇总情况</w:t>
      </w:r>
      <w:r>
        <w:rPr>
          <w:b w:val="0"/>
          <w:bCs w:val="0"/>
          <w:spacing w:val="-1"/>
        </w:rPr>
      </w:r>
    </w:p>
    <w:p>
      <w:pPr>
        <w:pStyle w:val="BodyText"/>
        <w:tabs>
          <w:tab w:pos="1680" w:val="left" w:leader="none"/>
        </w:tabs>
        <w:spacing w:line="240" w:lineRule="auto" w:before="58"/>
        <w:ind w:left="838" w:right="-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00" w:val="left" w:leader="none"/>
        </w:tabs>
        <w:spacing w:line="240" w:lineRule="auto"/>
        <w:ind w:left="8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960" w:right="420"/>
          <w:cols w:num="2" w:equalWidth="0">
            <w:col w:w="4215" w:space="2095"/>
            <w:col w:w="4220"/>
          </w:cols>
        </w:sectPr>
      </w:pPr>
    </w:p>
    <w:p>
      <w:pPr>
        <w:spacing w:line="240" w:lineRule="auto" w:before="4"/>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1507"/>
        <w:gridCol w:w="1508"/>
        <w:gridCol w:w="1510"/>
        <w:gridCol w:w="1508"/>
        <w:gridCol w:w="1510"/>
        <w:gridCol w:w="1507"/>
      </w:tblGrid>
      <w:tr>
        <w:trPr>
          <w:trHeight w:val="557"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累计已发生成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本</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累计已确认毛</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预计损失</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已办理结算的</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已完工未结算</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的余额</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Times New Roman" w:hAnsi="Times New Roman" w:cs="Times New Roman" w:eastAsia="Times New Roman" w:hint="default"/>
                <w:sz w:val="21"/>
                <w:szCs w:val="21"/>
              </w:rPr>
            </w:pPr>
            <w:r>
              <w:rPr>
                <w:rFonts w:ascii="Times New Roman"/>
                <w:sz w:val="21"/>
              </w:rPr>
              <w:t>6,573,908.43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8" w:right="0"/>
              <w:jc w:val="left"/>
              <w:rPr>
                <w:rFonts w:ascii="Times New Roman" w:hAnsi="Times New Roman" w:cs="Times New Roman" w:eastAsia="Times New Roman" w:hint="default"/>
                <w:sz w:val="21"/>
                <w:szCs w:val="21"/>
              </w:rPr>
            </w:pPr>
            <w:r>
              <w:rPr>
                <w:rFonts w:ascii="Times New Roman"/>
                <w:sz w:val="21"/>
              </w:rPr>
              <w:t>494,883.53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52" w:right="0"/>
              <w:jc w:val="left"/>
              <w:rPr>
                <w:rFonts w:ascii="Times New Roman" w:hAnsi="Times New Roman" w:cs="Times New Roman" w:eastAsia="Times New Roman" w:hint="default"/>
                <w:sz w:val="21"/>
                <w:szCs w:val="21"/>
              </w:rPr>
            </w:pPr>
            <w:r>
              <w:rPr>
                <w:rFonts w:ascii="Times New Roman"/>
                <w:sz w:val="21"/>
              </w:rPr>
              <w:t>12,175.86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6,653,178.40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8" w:right="0"/>
              <w:jc w:val="left"/>
              <w:rPr>
                <w:rFonts w:ascii="Times New Roman" w:hAnsi="Times New Roman" w:cs="Times New Roman" w:eastAsia="Times New Roman" w:hint="default"/>
                <w:sz w:val="21"/>
                <w:szCs w:val="21"/>
              </w:rPr>
            </w:pPr>
            <w:r>
              <w:rPr>
                <w:rFonts w:ascii="Times New Roman"/>
                <w:sz w:val="21"/>
              </w:rPr>
              <w:t>403,437.70</w:t>
            </w:r>
          </w:p>
        </w:tc>
      </w:tr>
    </w:tbl>
    <w:p>
      <w:pPr>
        <w:spacing w:line="240" w:lineRule="auto" w:before="10"/>
        <w:rPr>
          <w:rFonts w:ascii="宋体" w:hAnsi="宋体" w:cs="宋体" w:eastAsia="宋体" w:hint="default"/>
          <w:sz w:val="17"/>
          <w:szCs w:val="17"/>
        </w:rPr>
      </w:pPr>
    </w:p>
    <w:p>
      <w:pPr>
        <w:pStyle w:val="Heading3"/>
        <w:tabs>
          <w:tab w:pos="1262" w:val="left" w:leader="none"/>
        </w:tabs>
        <w:spacing w:line="240" w:lineRule="auto"/>
        <w:ind w:left="838" w:right="0"/>
        <w:jc w:val="left"/>
        <w:rPr>
          <w:b w:val="0"/>
          <w:bCs w:val="0"/>
        </w:rPr>
      </w:pPr>
      <w:r>
        <w:rPr>
          <w:rFonts w:ascii="宋体" w:hAnsi="宋体" w:cs="宋体" w:eastAsia="宋体" w:hint="default"/>
          <w:w w:val="95"/>
        </w:rPr>
        <w:t>6.</w:t>
        <w:tab/>
      </w:r>
      <w:r>
        <w:rPr/>
        <w:t>其他说明</w:t>
      </w:r>
      <w:r>
        <w:rPr>
          <w:b w:val="0"/>
          <w:bCs w:val="0"/>
        </w:rPr>
      </w:r>
    </w:p>
    <w:p>
      <w:pPr>
        <w:pStyle w:val="BodyText"/>
        <w:tabs>
          <w:tab w:pos="1584" w:val="left" w:leader="none"/>
        </w:tabs>
        <w:spacing w:line="282" w:lineRule="exact" w:before="56"/>
        <w:ind w:left="8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before="19"/>
        <w:ind w:left="1258" w:right="0" w:hanging="420"/>
        <w:jc w:val="left"/>
      </w:pPr>
      <w:r>
        <w:rPr/>
        <w:t>（</w:t>
      </w:r>
      <w:r>
        <w:rPr>
          <w:rFonts w:ascii="Times New Roman" w:hAnsi="Times New Roman" w:cs="Times New Roman" w:eastAsia="Times New Roman" w:hint="default"/>
        </w:rPr>
        <w:t>1</w:t>
      </w:r>
      <w:r>
        <w:rPr/>
        <w:t>）重大项目的定价机制</w:t>
      </w:r>
      <w:r>
        <w:rPr>
          <w:w w:val="100"/>
        </w:rPr>
        <w:t> </w:t>
      </w:r>
      <w:r>
        <w:rPr>
          <w:spacing w:val="-2"/>
        </w:rPr>
        <w:t>常规项目通过招投标确定市场价格。投融资类项目通过招投标或者竞争性磋商确定中标价格</w:t>
      </w:r>
    </w:p>
    <w:p>
      <w:pPr>
        <w:pStyle w:val="BodyText"/>
        <w:spacing w:line="247" w:lineRule="exact"/>
        <w:ind w:left="838" w:right="0"/>
        <w:jc w:val="left"/>
      </w:pPr>
      <w:r>
        <w:rPr/>
        <w:t>或中标收益率。</w:t>
      </w:r>
    </w:p>
    <w:p>
      <w:pPr>
        <w:pStyle w:val="BodyText"/>
        <w:spacing w:line="274" w:lineRule="exact" w:before="24"/>
        <w:ind w:left="1258" w:right="0" w:hanging="420"/>
        <w:jc w:val="left"/>
      </w:pPr>
      <w:r>
        <w:rPr/>
        <w:t>（</w:t>
      </w:r>
      <w:r>
        <w:rPr>
          <w:rFonts w:ascii="Times New Roman" w:hAnsi="Times New Roman" w:cs="Times New Roman" w:eastAsia="Times New Roman" w:hint="default"/>
        </w:rPr>
        <w:t>2</w:t>
      </w:r>
      <w:r>
        <w:rPr/>
        <w:t>）重大项目的回款安排</w:t>
      </w:r>
      <w:r>
        <w:rPr>
          <w:w w:val="100"/>
        </w:rPr>
        <w:t> </w:t>
      </w:r>
      <w:r>
        <w:rPr>
          <w:spacing w:val="-2"/>
        </w:rPr>
        <w:t>常规施工类项目一般为施工前期收到业主支付的预付款，施工进行中按照完工进度及合同约</w:t>
      </w:r>
    </w:p>
    <w:p>
      <w:pPr>
        <w:pStyle w:val="BodyText"/>
        <w:spacing w:line="245" w:lineRule="exact"/>
        <w:ind w:left="838" w:right="0"/>
        <w:jc w:val="left"/>
      </w:pPr>
      <w:r>
        <w:rPr/>
        <w:t>定获得施工款项，保修期结束收到施工项目尾款。</w:t>
      </w:r>
    </w:p>
    <w:p>
      <w:pPr>
        <w:pStyle w:val="BodyText"/>
        <w:spacing w:line="230" w:lineRule="auto" w:before="9"/>
        <w:ind w:left="838" w:right="848" w:firstLine="419"/>
        <w:jc w:val="both"/>
      </w:pPr>
      <w:r>
        <w:rPr>
          <w:rFonts w:ascii="Times New Roman" w:hAnsi="Times New Roman" w:cs="Times New Roman" w:eastAsia="Times New Roman" w:hint="default"/>
        </w:rPr>
        <w:t>BT</w:t>
      </w:r>
      <w:r>
        <w:rPr>
          <w:rFonts w:ascii="Times New Roman" w:hAnsi="Times New Roman" w:cs="Times New Roman" w:eastAsia="Times New Roman" w:hint="default"/>
          <w:spacing w:val="52"/>
        </w:rPr>
        <w:t> </w:t>
      </w:r>
      <w:r>
        <w:rPr/>
        <w:t>项目的回款模式一般为建设单位自回购起始日起以公司为投资建设该标的项目实际投入</w:t>
      </w:r>
      <w:r>
        <w:rPr>
          <w:w w:val="100"/>
        </w:rPr>
        <w:t> </w:t>
      </w:r>
      <w:r>
        <w:rPr>
          <w:spacing w:val="-1"/>
        </w:rPr>
        <w:t>项目建设的金额及合同约定的投资回报率为计量依据，向公司支付回购款。具体的每笔回购款的</w:t>
      </w:r>
      <w:r>
        <w:rPr>
          <w:spacing w:val="-55"/>
        </w:rPr>
        <w:t> </w:t>
      </w:r>
      <w:r>
        <w:rPr>
          <w:spacing w:val="-55"/>
        </w:rPr>
      </w:r>
      <w:r>
        <w:rPr/>
        <w:t>金额及付款时间由融资建设合同中所约定的相关条款确定。</w:t>
      </w:r>
    </w:p>
    <w:p>
      <w:pPr>
        <w:pStyle w:val="BodyText"/>
        <w:spacing w:line="232" w:lineRule="auto" w:before="5"/>
        <w:ind w:left="838" w:right="848" w:firstLine="419"/>
        <w:jc w:val="both"/>
      </w:pPr>
      <w:r>
        <w:rPr>
          <w:rFonts w:ascii="Times New Roman" w:hAnsi="Times New Roman" w:cs="Times New Roman" w:eastAsia="Times New Roman" w:hint="default"/>
        </w:rPr>
        <w:t>PPP</w:t>
      </w:r>
      <w:r>
        <w:rPr>
          <w:rFonts w:ascii="Times New Roman" w:hAnsi="Times New Roman" w:cs="Times New Roman" w:eastAsia="Times New Roman" w:hint="default"/>
          <w:spacing w:val="23"/>
        </w:rPr>
        <w:t> </w:t>
      </w:r>
      <w:r>
        <w:rPr/>
        <w:t>项目的回款模式一般为建设单位采取购买服务的方式退出，具体形式为建设单位向公司</w:t>
      </w:r>
      <w:r>
        <w:rPr>
          <w:w w:val="100"/>
        </w:rPr>
        <w:t> </w:t>
      </w:r>
      <w:r>
        <w:rPr>
          <w:spacing w:val="-1"/>
        </w:rPr>
        <w:t>或为投资建设该标的项目设立的项目公司（视具体情况）支付政府采购服务费、市政工程使用服</w:t>
      </w:r>
      <w:r>
        <w:rPr>
          <w:spacing w:val="-55"/>
        </w:rPr>
        <w:t> </w:t>
      </w:r>
      <w:r>
        <w:rPr>
          <w:spacing w:val="-55"/>
        </w:rPr>
      </w:r>
      <w:r>
        <w:rPr>
          <w:spacing w:val="-6"/>
          <w:w w:val="100"/>
        </w:rPr>
        <w:t>务费（或合同约定的其他形式的费用）。购买价款的具体付款期限结构（若适用）、对应的金额及</w:t>
      </w:r>
      <w:r>
        <w:rPr>
          <w:spacing w:val="-102"/>
          <w:w w:val="100"/>
        </w:rPr>
        <w:t> </w:t>
      </w:r>
      <w:r>
        <w:rPr>
          <w:spacing w:val="-102"/>
          <w:w w:val="100"/>
        </w:rPr>
      </w:r>
      <w:r>
        <w:rPr/>
        <w:t>付款时间由融资建设合同中所约定的相关条款确定。</w:t>
      </w:r>
    </w:p>
    <w:p>
      <w:pPr>
        <w:pStyle w:val="BodyText"/>
        <w:spacing w:line="274" w:lineRule="exact" w:before="23"/>
        <w:ind w:left="1258" w:right="0" w:hanging="420"/>
        <w:jc w:val="left"/>
      </w:pPr>
      <w:r>
        <w:rPr/>
        <w:t>（</w:t>
      </w:r>
      <w:r>
        <w:rPr>
          <w:rFonts w:ascii="Times New Roman" w:hAnsi="Times New Roman" w:cs="Times New Roman" w:eastAsia="Times New Roman" w:hint="default"/>
        </w:rPr>
        <w:t>3</w:t>
      </w:r>
      <w:r>
        <w:rPr/>
        <w:t>）重大项目的融资方式</w:t>
      </w:r>
      <w:r>
        <w:rPr>
          <w:w w:val="100"/>
        </w:rPr>
        <w:t> </w:t>
      </w:r>
      <w:r>
        <w:rPr>
          <w:spacing w:val="-2"/>
        </w:rPr>
        <w:t>公司重大项目投资建设执行中，主要的融资方式以及资金来源包括：公司及下属子公司的自</w:t>
      </w:r>
    </w:p>
    <w:p>
      <w:pPr>
        <w:pStyle w:val="BodyText"/>
        <w:spacing w:line="245" w:lineRule="exact"/>
        <w:ind w:left="838" w:right="0"/>
        <w:jc w:val="left"/>
      </w:pPr>
      <w:r>
        <w:rPr/>
        <w:t>有资金、向银行申请项目贷款、或通过与其他社会资本合作设立产业基金等方式。</w:t>
      </w:r>
    </w:p>
    <w:p>
      <w:pPr>
        <w:pStyle w:val="BodyText"/>
        <w:spacing w:line="290" w:lineRule="exact"/>
        <w:ind w:left="838" w:right="0"/>
        <w:jc w:val="left"/>
      </w:pPr>
      <w:r>
        <w:rPr/>
        <w:t>（</w:t>
      </w:r>
      <w:r>
        <w:rPr>
          <w:rFonts w:ascii="Times New Roman" w:hAnsi="Times New Roman" w:cs="Times New Roman" w:eastAsia="Times New Roman" w:hint="default"/>
        </w:rPr>
        <w:t>4</w:t>
      </w:r>
      <w:r>
        <w:rPr/>
        <w:t>）重大项目的政策优惠。按国家及项目所在地的政策或招标条件执行。</w:t>
      </w:r>
    </w:p>
    <w:p>
      <w:pPr>
        <w:spacing w:line="240" w:lineRule="auto" w:before="9"/>
        <w:rPr>
          <w:rFonts w:ascii="宋体" w:hAnsi="宋体" w:cs="宋体" w:eastAsia="宋体" w:hint="default"/>
          <w:sz w:val="22"/>
          <w:szCs w:val="22"/>
        </w:rPr>
      </w:pPr>
    </w:p>
    <w:p>
      <w:pPr>
        <w:pStyle w:val="Heading3"/>
        <w:tabs>
          <w:tab w:pos="1677" w:val="left" w:leader="none"/>
        </w:tabs>
        <w:spacing w:line="240" w:lineRule="auto" w:before="0"/>
        <w:ind w:left="8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7"/>
        <w:ind w:left="83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0" w:lineRule="exact" w:before="58"/>
        <w:ind w:left="838" w:right="0"/>
        <w:jc w:val="left"/>
      </w:pPr>
      <w:r>
        <w:rPr/>
        <w:t>√适用 □不适用</w:t>
      </w:r>
    </w:p>
    <w:p>
      <w:pPr>
        <w:pStyle w:val="Heading2"/>
        <w:spacing w:line="308" w:lineRule="exact"/>
        <w:ind w:right="0"/>
        <w:jc w:val="left"/>
      </w:pPr>
      <w:r>
        <w:rPr/>
        <w:t>报告期内公司新增股权金额</w:t>
      </w:r>
      <w:r>
        <w:rPr>
          <w:spacing w:val="-84"/>
        </w:rPr>
        <w:t> </w:t>
      </w:r>
      <w:r>
        <w:rPr>
          <w:rFonts w:ascii="宋体" w:hAnsi="宋体" w:cs="宋体" w:eastAsia="宋体" w:hint="default"/>
        </w:rPr>
        <w:t>283,934,000</w:t>
      </w:r>
      <w:r>
        <w:rPr>
          <w:rFonts w:ascii="宋体" w:hAnsi="宋体" w:cs="宋体" w:eastAsia="宋体" w:hint="default"/>
          <w:spacing w:val="-84"/>
        </w:rPr>
        <w:t> </w:t>
      </w:r>
      <w:r>
        <w:rPr/>
        <w:t>元</w:t>
      </w:r>
      <w:r>
        <w:rPr>
          <w:rFonts w:ascii="宋体" w:hAnsi="宋体" w:cs="宋体" w:eastAsia="宋体" w:hint="default"/>
        </w:rPr>
        <w:t>,</w:t>
      </w:r>
      <w:r>
        <w:rPr/>
        <w:t>投资业务主要涉及市政园林及建筑施工、</w:t>
      </w:r>
    </w:p>
    <w:p>
      <w:pPr>
        <w:pStyle w:val="Heading2"/>
        <w:spacing w:line="313" w:lineRule="exact"/>
        <w:ind w:right="0"/>
        <w:jc w:val="left"/>
      </w:pPr>
      <w:r>
        <w:rPr/>
        <w:t>建筑工业化、建筑设计等方面。投资额较去年减少</w:t>
      </w:r>
      <w:r>
        <w:rPr>
          <w:spacing w:val="-60"/>
        </w:rPr>
        <w:t> </w:t>
      </w:r>
      <w:r>
        <w:rPr>
          <w:rFonts w:ascii="宋体" w:hAnsi="宋体" w:cs="宋体" w:eastAsia="宋体" w:hint="default"/>
        </w:rPr>
        <w:t>103,743,940.11</w:t>
      </w:r>
      <w:r>
        <w:rPr>
          <w:rFonts w:ascii="宋体" w:hAnsi="宋体" w:cs="宋体" w:eastAsia="宋体" w:hint="default"/>
          <w:spacing w:val="-60"/>
        </w:rPr>
        <w:t> </w:t>
      </w:r>
      <w:r>
        <w:rPr/>
        <w:t>元。</w:t>
      </w:r>
    </w:p>
    <w:p>
      <w:pPr>
        <w:spacing w:line="240" w:lineRule="auto" w:before="8"/>
        <w:rPr>
          <w:rFonts w:ascii="宋体" w:hAnsi="宋体" w:cs="宋体" w:eastAsia="宋体" w:hint="default"/>
          <w:sz w:val="25"/>
          <w:szCs w:val="25"/>
        </w:rPr>
      </w:pPr>
    </w:p>
    <w:p>
      <w:pPr>
        <w:pStyle w:val="Heading3"/>
        <w:spacing w:line="240" w:lineRule="auto" w:before="0"/>
        <w:ind w:left="8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680" w:val="left" w:leader="none"/>
        </w:tabs>
        <w:spacing w:line="240" w:lineRule="auto" w:before="58"/>
        <w:ind w:left="838" w:right="0"/>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997"/>
        <w:gridCol w:w="3845"/>
        <w:gridCol w:w="1818"/>
        <w:gridCol w:w="998"/>
        <w:gridCol w:w="1618"/>
      </w:tblGrid>
      <w:tr>
        <w:trPr>
          <w:trHeight w:val="572" w:hRule="exact"/>
        </w:trPr>
        <w:tc>
          <w:tcPr>
            <w:tcW w:w="1997" w:type="dxa"/>
            <w:tcBorders>
              <w:top w:val="single" w:sz="12" w:space="0" w:color="ACA899"/>
              <w:left w:val="single" w:sz="6" w:space="0" w:color="EBE9D7"/>
              <w:bottom w:val="single" w:sz="12" w:space="0" w:color="ACA899"/>
              <w:right w:val="single" w:sz="12" w:space="0" w:color="ACA899"/>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3845"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18"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00"/>
              <w:ind w:left="-3" w:right="105"/>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998" w:type="dxa"/>
            <w:tcBorders>
              <w:top w:val="single" w:sz="12" w:space="0" w:color="ACA899"/>
              <w:left w:val="single" w:sz="12" w:space="0" w:color="ACA899"/>
              <w:bottom w:val="single" w:sz="12" w:space="0" w:color="ACA899"/>
              <w:right w:val="single" w:sz="12" w:space="0" w:color="ACA899"/>
            </w:tcBorders>
          </w:tcPr>
          <w:p>
            <w:pPr>
              <w:pStyle w:val="TableParagraph"/>
              <w:spacing w:line="238" w:lineRule="exact"/>
              <w:ind w:left="115" w:right="0" w:hanging="53"/>
              <w:jc w:val="left"/>
              <w:rPr>
                <w:rFonts w:ascii="宋体" w:hAnsi="宋体" w:cs="宋体" w:eastAsia="宋体" w:hint="default"/>
                <w:sz w:val="21"/>
                <w:szCs w:val="21"/>
              </w:rPr>
            </w:pPr>
            <w:r>
              <w:rPr>
                <w:rFonts w:ascii="宋体" w:hAnsi="宋体" w:cs="宋体" w:eastAsia="宋体" w:hint="default"/>
                <w:sz w:val="21"/>
                <w:szCs w:val="21"/>
              </w:rPr>
              <w:t>期末持股</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618"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76" w:hRule="exact"/>
        </w:trPr>
        <w:tc>
          <w:tcPr>
            <w:tcW w:w="1997" w:type="dxa"/>
            <w:tcBorders>
              <w:top w:val="single" w:sz="12" w:space="0" w:color="ACA899"/>
              <w:left w:val="single" w:sz="6" w:space="0" w:color="EBE9D7"/>
              <w:bottom w:val="single" w:sz="6" w:space="0" w:color="ACA899"/>
              <w:right w:val="single" w:sz="12" w:space="0" w:color="ACA899"/>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浙江广天构件股份有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3845" w:type="dxa"/>
            <w:tcBorders>
              <w:top w:val="single" w:sz="12" w:space="0" w:color="ACA899"/>
              <w:left w:val="single" w:sz="12" w:space="0" w:color="ACA899"/>
              <w:bottom w:val="single" w:sz="6" w:space="0" w:color="ACA899"/>
              <w:right w:val="single" w:sz="12" w:space="0" w:color="ACA899"/>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预拌商品混凝土生产，水泥预制构件、钢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结构件的加工、制作</w:t>
            </w:r>
          </w:p>
        </w:tc>
        <w:tc>
          <w:tcPr>
            <w:tcW w:w="1818" w:type="dxa"/>
            <w:tcBorders>
              <w:top w:val="single" w:sz="12" w:space="0" w:color="ACA899"/>
              <w:left w:val="single" w:sz="12" w:space="0" w:color="ACA899"/>
              <w:bottom w:val="single" w:sz="6" w:space="0" w:color="ACA899"/>
              <w:right w:val="single" w:sz="12" w:space="0" w:color="ACA899"/>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82,800,000</w:t>
            </w:r>
          </w:p>
        </w:tc>
        <w:tc>
          <w:tcPr>
            <w:tcW w:w="998" w:type="dxa"/>
            <w:tcBorders>
              <w:top w:val="single" w:sz="12" w:space="0" w:color="ACA899"/>
              <w:left w:val="single" w:sz="12" w:space="0" w:color="ACA899"/>
              <w:bottom w:val="single" w:sz="6" w:space="0" w:color="ACA899"/>
              <w:right w:val="single" w:sz="12" w:space="0" w:color="ACA899"/>
            </w:tcBorders>
          </w:tcPr>
          <w:p>
            <w:pPr>
              <w:pStyle w:val="TableParagraph"/>
              <w:spacing w:line="240" w:lineRule="auto" w:before="103"/>
              <w:ind w:left="3" w:right="0"/>
              <w:jc w:val="center"/>
              <w:rPr>
                <w:rFonts w:ascii="宋体" w:hAnsi="宋体" w:cs="宋体" w:eastAsia="宋体" w:hint="default"/>
                <w:sz w:val="21"/>
                <w:szCs w:val="21"/>
              </w:rPr>
            </w:pPr>
            <w:r>
              <w:rPr>
                <w:rFonts w:ascii="宋体"/>
                <w:sz w:val="21"/>
              </w:rPr>
              <w:t>74.77</w:t>
            </w:r>
          </w:p>
        </w:tc>
        <w:tc>
          <w:tcPr>
            <w:tcW w:w="1618" w:type="dxa"/>
            <w:tcBorders>
              <w:top w:val="single" w:sz="12" w:space="0" w:color="ACA899"/>
              <w:left w:val="single" w:sz="12" w:space="0" w:color="ACA899"/>
              <w:bottom w:val="single" w:sz="6" w:space="0" w:color="ACA899"/>
              <w:right w:val="single" w:sz="6" w:space="0" w:color="ACA899"/>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增资及受让股权</w:t>
            </w:r>
          </w:p>
        </w:tc>
      </w:tr>
      <w:tr>
        <w:trPr>
          <w:trHeight w:val="301" w:hRule="exact"/>
        </w:trPr>
        <w:tc>
          <w:tcPr>
            <w:tcW w:w="1997" w:type="dxa"/>
            <w:tcBorders>
              <w:top w:val="single" w:sz="6" w:space="0" w:color="ACA899"/>
              <w:left w:val="single" w:sz="6" w:space="0" w:color="EBE9D7"/>
              <w:bottom w:val="single" w:sz="12" w:space="0" w:color="ACA899"/>
              <w:right w:val="single" w:sz="12" w:space="0" w:color="ACA899"/>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宁波市政工程建设集</w:t>
            </w:r>
          </w:p>
        </w:tc>
        <w:tc>
          <w:tcPr>
            <w:tcW w:w="3845" w:type="dxa"/>
            <w:tcBorders>
              <w:top w:val="single" w:sz="6" w:space="0" w:color="ACA899"/>
              <w:left w:val="single" w:sz="12" w:space="0" w:color="ACA899"/>
              <w:bottom w:val="single" w:sz="12" w:space="0" w:color="ACA899"/>
              <w:right w:val="single" w:sz="12" w:space="0" w:color="ACA899"/>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城市建设工程施工及其他建筑工程施工、</w:t>
            </w:r>
          </w:p>
        </w:tc>
        <w:tc>
          <w:tcPr>
            <w:tcW w:w="1818" w:type="dxa"/>
            <w:tcBorders>
              <w:top w:val="single" w:sz="6" w:space="0" w:color="ACA899"/>
              <w:left w:val="single" w:sz="12" w:space="0" w:color="ACA899"/>
              <w:bottom w:val="single" w:sz="12" w:space="0" w:color="ACA899"/>
              <w:right w:val="single" w:sz="12" w:space="0" w:color="ACA899"/>
            </w:tcBorders>
          </w:tcPr>
          <w:p>
            <w:pPr>
              <w:pStyle w:val="TableParagraph"/>
              <w:spacing w:line="248" w:lineRule="exact"/>
              <w:ind w:right="0"/>
              <w:jc w:val="center"/>
              <w:rPr>
                <w:rFonts w:ascii="宋体" w:hAnsi="宋体" w:cs="宋体" w:eastAsia="宋体" w:hint="default"/>
                <w:sz w:val="21"/>
                <w:szCs w:val="21"/>
              </w:rPr>
            </w:pPr>
            <w:r>
              <w:rPr>
                <w:rFonts w:ascii="宋体"/>
                <w:sz w:val="21"/>
              </w:rPr>
              <w:t>190,475,000</w:t>
            </w:r>
          </w:p>
        </w:tc>
        <w:tc>
          <w:tcPr>
            <w:tcW w:w="998" w:type="dxa"/>
            <w:tcBorders>
              <w:top w:val="single" w:sz="6" w:space="0" w:color="ACA899"/>
              <w:left w:val="single" w:sz="12" w:space="0" w:color="ACA899"/>
              <w:bottom w:val="single" w:sz="12" w:space="0" w:color="ACA899"/>
              <w:right w:val="single" w:sz="12" w:space="0" w:color="ACA899"/>
            </w:tcBorders>
          </w:tcPr>
          <w:p>
            <w:pPr>
              <w:pStyle w:val="TableParagraph"/>
              <w:spacing w:line="248" w:lineRule="exact"/>
              <w:ind w:right="1"/>
              <w:jc w:val="center"/>
              <w:rPr>
                <w:rFonts w:ascii="宋体" w:hAnsi="宋体" w:cs="宋体" w:eastAsia="宋体" w:hint="default"/>
                <w:sz w:val="21"/>
                <w:szCs w:val="21"/>
              </w:rPr>
            </w:pPr>
            <w:r>
              <w:rPr>
                <w:rFonts w:ascii="宋体"/>
                <w:sz w:val="21"/>
              </w:rPr>
              <w:t>95</w:t>
            </w:r>
          </w:p>
        </w:tc>
        <w:tc>
          <w:tcPr>
            <w:tcW w:w="1618" w:type="dxa"/>
            <w:tcBorders>
              <w:top w:val="single" w:sz="6" w:space="0" w:color="ACA899"/>
              <w:left w:val="single" w:sz="12" w:space="0" w:color="ACA899"/>
              <w:bottom w:val="single" w:sz="12" w:space="0" w:color="ACA899"/>
              <w:right w:val="single" w:sz="6" w:space="0" w:color="ACA899"/>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增资</w:t>
            </w:r>
          </w:p>
        </w:tc>
      </w:tr>
    </w:tbl>
    <w:p>
      <w:pPr>
        <w:spacing w:after="0" w:line="248" w:lineRule="exact"/>
        <w:jc w:val="center"/>
        <w:rPr>
          <w:rFonts w:ascii="宋体" w:hAnsi="宋体" w:cs="宋体" w:eastAsia="宋体" w:hint="default"/>
          <w:sz w:val="21"/>
          <w:szCs w:val="21"/>
        </w:rPr>
        <w:sectPr>
          <w:type w:val="continuous"/>
          <w:pgSz w:w="11910" w:h="16840"/>
          <w:pgMar w:top="1120" w:bottom="1380" w:left="960" w:right="4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997"/>
        <w:gridCol w:w="3845"/>
        <w:gridCol w:w="1818"/>
        <w:gridCol w:w="998"/>
        <w:gridCol w:w="1618"/>
      </w:tblGrid>
      <w:tr>
        <w:trPr>
          <w:trHeight w:val="304" w:hRule="exact"/>
        </w:trPr>
        <w:tc>
          <w:tcPr>
            <w:tcW w:w="1997" w:type="dxa"/>
            <w:tcBorders>
              <w:top w:val="single" w:sz="12" w:space="0" w:color="ACA899"/>
              <w:left w:val="single" w:sz="6" w:space="0" w:color="EBE9D7"/>
              <w:bottom w:val="single" w:sz="12" w:space="0" w:color="ACA899"/>
              <w:right w:val="single" w:sz="12" w:space="0" w:color="ACA899"/>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团股份有限公司</w:t>
            </w:r>
          </w:p>
        </w:tc>
        <w:tc>
          <w:tcPr>
            <w:tcW w:w="3845" w:type="dxa"/>
            <w:tcBorders>
              <w:top w:val="single" w:sz="12" w:space="0" w:color="ACA899"/>
              <w:left w:val="single" w:sz="12" w:space="0" w:color="ACA899"/>
              <w:bottom w:val="single" w:sz="12" w:space="0" w:color="ACA899"/>
              <w:right w:val="single" w:sz="12" w:space="0" w:color="ACA899"/>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园林工程、公路工程环保工程施工</w:t>
            </w:r>
          </w:p>
        </w:tc>
        <w:tc>
          <w:tcPr>
            <w:tcW w:w="1818" w:type="dxa"/>
            <w:tcBorders>
              <w:top w:val="single" w:sz="12" w:space="0" w:color="ACA899"/>
              <w:left w:val="single" w:sz="12" w:space="0" w:color="ACA899"/>
              <w:bottom w:val="single" w:sz="12" w:space="0" w:color="ACA899"/>
              <w:right w:val="single" w:sz="12" w:space="0" w:color="ACA899"/>
            </w:tcBorders>
          </w:tcPr>
          <w:p>
            <w:pPr/>
          </w:p>
        </w:tc>
        <w:tc>
          <w:tcPr>
            <w:tcW w:w="998" w:type="dxa"/>
            <w:tcBorders>
              <w:top w:val="single" w:sz="12" w:space="0" w:color="ACA899"/>
              <w:left w:val="single" w:sz="12" w:space="0" w:color="ACA899"/>
              <w:bottom w:val="single" w:sz="12" w:space="0" w:color="ACA899"/>
              <w:right w:val="single" w:sz="12" w:space="0" w:color="ACA899"/>
            </w:tcBorders>
          </w:tcPr>
          <w:p>
            <w:pPr/>
          </w:p>
        </w:tc>
        <w:tc>
          <w:tcPr>
            <w:tcW w:w="1618" w:type="dxa"/>
            <w:tcBorders>
              <w:top w:val="single" w:sz="12" w:space="0" w:color="ACA899"/>
              <w:left w:val="single" w:sz="12" w:space="0" w:color="ACA899"/>
              <w:bottom w:val="single" w:sz="12" w:space="0" w:color="ACA899"/>
              <w:right w:val="single" w:sz="6" w:space="0" w:color="ACA899"/>
            </w:tcBorders>
          </w:tcPr>
          <w:p>
            <w:pPr/>
          </w:p>
        </w:tc>
      </w:tr>
      <w:tr>
        <w:trPr>
          <w:trHeight w:val="574" w:hRule="exact"/>
        </w:trPr>
        <w:tc>
          <w:tcPr>
            <w:tcW w:w="1997" w:type="dxa"/>
            <w:tcBorders>
              <w:top w:val="single" w:sz="12" w:space="0" w:color="ACA899"/>
              <w:left w:val="single" w:sz="6" w:space="0" w:color="EBE9D7"/>
              <w:bottom w:val="single" w:sz="6" w:space="0" w:color="ACA899"/>
              <w:right w:val="single" w:sz="12" w:space="0" w:color="ACA899"/>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宁波市明州建筑设计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院有限公司</w:t>
            </w:r>
          </w:p>
        </w:tc>
        <w:tc>
          <w:tcPr>
            <w:tcW w:w="3845" w:type="dxa"/>
            <w:tcBorders>
              <w:top w:val="single" w:sz="12" w:space="0" w:color="ACA899"/>
              <w:left w:val="single" w:sz="12" w:space="0" w:color="ACA899"/>
              <w:bottom w:val="single" w:sz="6" w:space="0" w:color="ACA899"/>
              <w:right w:val="single" w:sz="12" w:space="0" w:color="ACA899"/>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sz w:val="21"/>
                <w:szCs w:val="21"/>
              </w:rPr>
              <w:t>建筑工程勘察、设计、咨询，市政工程设</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计，园林景观设计，建筑节能研究、评估</w:t>
            </w:r>
          </w:p>
        </w:tc>
        <w:tc>
          <w:tcPr>
            <w:tcW w:w="1818" w:type="dxa"/>
            <w:tcBorders>
              <w:top w:val="single" w:sz="12" w:space="0" w:color="ACA899"/>
              <w:left w:val="single" w:sz="12" w:space="0" w:color="ACA899"/>
              <w:bottom w:val="single" w:sz="6" w:space="0" w:color="ACA899"/>
              <w:right w:val="single" w:sz="12" w:space="0" w:color="ACA899"/>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5,500,000</w:t>
            </w:r>
          </w:p>
        </w:tc>
        <w:tc>
          <w:tcPr>
            <w:tcW w:w="998" w:type="dxa"/>
            <w:tcBorders>
              <w:top w:val="single" w:sz="12" w:space="0" w:color="ACA899"/>
              <w:left w:val="single" w:sz="12" w:space="0" w:color="ACA899"/>
              <w:bottom w:val="single" w:sz="6" w:space="0" w:color="ACA899"/>
              <w:right w:val="single" w:sz="12" w:space="0" w:color="ACA899"/>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100</w:t>
            </w:r>
          </w:p>
        </w:tc>
        <w:tc>
          <w:tcPr>
            <w:tcW w:w="1618" w:type="dxa"/>
            <w:tcBorders>
              <w:top w:val="single" w:sz="12" w:space="0" w:color="ACA899"/>
              <w:left w:val="single" w:sz="12" w:space="0" w:color="ACA899"/>
              <w:bottom w:val="single" w:sz="6" w:space="0" w:color="ACA899"/>
              <w:right w:val="single" w:sz="6" w:space="0" w:color="ACA899"/>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增资</w:t>
            </w:r>
          </w:p>
        </w:tc>
      </w:tr>
      <w:tr>
        <w:trPr>
          <w:trHeight w:val="576" w:hRule="exact"/>
        </w:trPr>
        <w:tc>
          <w:tcPr>
            <w:tcW w:w="1997" w:type="dxa"/>
            <w:tcBorders>
              <w:top w:val="single" w:sz="6" w:space="0" w:color="ACA899"/>
              <w:left w:val="single" w:sz="6" w:space="0" w:color="EBE9D7"/>
              <w:bottom w:val="single" w:sz="12" w:space="0" w:color="ACA899"/>
              <w:right w:val="single" w:sz="12" w:space="0" w:color="ACA899"/>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上海雍胜投资管理有</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3845" w:type="dxa"/>
            <w:tcBorders>
              <w:top w:val="single" w:sz="6" w:space="0" w:color="ACA899"/>
              <w:left w:val="single" w:sz="12" w:space="0" w:color="ACA899"/>
              <w:bottom w:val="single" w:sz="12" w:space="0" w:color="ACA899"/>
              <w:right w:val="single" w:sz="12" w:space="0" w:color="ACA899"/>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实业投资，投资管理，资产管理</w:t>
            </w:r>
          </w:p>
        </w:tc>
        <w:tc>
          <w:tcPr>
            <w:tcW w:w="1818" w:type="dxa"/>
            <w:tcBorders>
              <w:top w:val="single" w:sz="6" w:space="0" w:color="ACA899"/>
              <w:left w:val="single" w:sz="12" w:space="0" w:color="ACA899"/>
              <w:bottom w:val="single" w:sz="12" w:space="0" w:color="ACA899"/>
              <w:right w:val="single" w:sz="12" w:space="0" w:color="ACA899"/>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5,159,000</w:t>
            </w:r>
          </w:p>
        </w:tc>
        <w:tc>
          <w:tcPr>
            <w:tcW w:w="998" w:type="dxa"/>
            <w:tcBorders>
              <w:top w:val="single" w:sz="6" w:space="0" w:color="ACA899"/>
              <w:left w:val="single" w:sz="12" w:space="0" w:color="ACA899"/>
              <w:bottom w:val="single" w:sz="12" w:space="0" w:color="ACA899"/>
              <w:right w:val="single" w:sz="12" w:space="0" w:color="ACA899"/>
            </w:tcBorders>
          </w:tcPr>
          <w:p>
            <w:pPr>
              <w:pStyle w:val="TableParagraph"/>
              <w:spacing w:line="240" w:lineRule="auto" w:before="110"/>
              <w:ind w:left="3" w:right="0"/>
              <w:jc w:val="center"/>
              <w:rPr>
                <w:rFonts w:ascii="宋体" w:hAnsi="宋体" w:cs="宋体" w:eastAsia="宋体" w:hint="default"/>
                <w:sz w:val="21"/>
                <w:szCs w:val="21"/>
              </w:rPr>
            </w:pPr>
            <w:r>
              <w:rPr>
                <w:rFonts w:ascii="宋体"/>
                <w:sz w:val="21"/>
              </w:rPr>
              <w:t>78.40</w:t>
            </w:r>
          </w:p>
        </w:tc>
        <w:tc>
          <w:tcPr>
            <w:tcW w:w="1618" w:type="dxa"/>
            <w:tcBorders>
              <w:top w:val="single" w:sz="6" w:space="0" w:color="ACA899"/>
              <w:left w:val="single" w:sz="12" w:space="0" w:color="ACA899"/>
              <w:bottom w:val="single" w:sz="12" w:space="0" w:color="ACA899"/>
              <w:right w:val="single" w:sz="6" w:space="0" w:color="ACA899"/>
            </w:tcBorders>
          </w:tcPr>
          <w:p>
            <w:pPr>
              <w:pStyle w:val="TableParagraph"/>
              <w:spacing w:line="240" w:lineRule="auto" w:before="110"/>
              <w:ind w:right="6"/>
              <w:jc w:val="center"/>
              <w:rPr>
                <w:rFonts w:ascii="宋体" w:hAnsi="宋体" w:cs="宋体" w:eastAsia="宋体" w:hint="default"/>
                <w:sz w:val="21"/>
                <w:szCs w:val="21"/>
              </w:rPr>
            </w:pPr>
            <w:r>
              <w:rPr>
                <w:rFonts w:ascii="宋体" w:hAnsi="宋体" w:cs="宋体" w:eastAsia="宋体" w:hint="default"/>
                <w:sz w:val="21"/>
                <w:szCs w:val="21"/>
              </w:rPr>
              <w:t>股权受让</w:t>
            </w:r>
          </w:p>
        </w:tc>
      </w:tr>
      <w:tr>
        <w:trPr>
          <w:trHeight w:val="301" w:hRule="exact"/>
        </w:trPr>
        <w:tc>
          <w:tcPr>
            <w:tcW w:w="1997" w:type="dxa"/>
            <w:tcBorders>
              <w:top w:val="single" w:sz="12" w:space="0" w:color="ACA899"/>
              <w:left w:val="single" w:sz="6" w:space="0" w:color="EBE9D7"/>
              <w:bottom w:val="single" w:sz="12" w:space="0" w:color="ACA899"/>
              <w:right w:val="single" w:sz="12" w:space="0" w:color="ACA899"/>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45" w:type="dxa"/>
            <w:tcBorders>
              <w:top w:val="single" w:sz="12" w:space="0" w:color="ACA899"/>
              <w:left w:val="single" w:sz="12" w:space="0" w:color="ACA899"/>
              <w:bottom w:val="single" w:sz="12" w:space="0" w:color="ACA899"/>
              <w:right w:val="single" w:sz="12" w:space="0" w:color="ACA899"/>
            </w:tcBorders>
          </w:tcPr>
          <w:p>
            <w:pPr/>
          </w:p>
        </w:tc>
        <w:tc>
          <w:tcPr>
            <w:tcW w:w="1818" w:type="dxa"/>
            <w:tcBorders>
              <w:top w:val="single" w:sz="12" w:space="0" w:color="ACA899"/>
              <w:left w:val="single" w:sz="12" w:space="0" w:color="ACA899"/>
              <w:bottom w:val="single" w:sz="12" w:space="0" w:color="ACA899"/>
              <w:right w:val="single" w:sz="12" w:space="0" w:color="ACA899"/>
            </w:tcBorders>
          </w:tcPr>
          <w:p>
            <w:pPr>
              <w:pStyle w:val="TableParagraph"/>
              <w:spacing w:line="241" w:lineRule="exact"/>
              <w:ind w:right="0"/>
              <w:jc w:val="center"/>
              <w:rPr>
                <w:rFonts w:ascii="宋体" w:hAnsi="宋体" w:cs="宋体" w:eastAsia="宋体" w:hint="default"/>
                <w:sz w:val="21"/>
                <w:szCs w:val="21"/>
              </w:rPr>
            </w:pPr>
            <w:r>
              <w:rPr>
                <w:rFonts w:ascii="宋体"/>
                <w:sz w:val="21"/>
              </w:rPr>
              <w:t>283,934,000</w:t>
            </w:r>
          </w:p>
        </w:tc>
        <w:tc>
          <w:tcPr>
            <w:tcW w:w="998" w:type="dxa"/>
            <w:tcBorders>
              <w:top w:val="single" w:sz="12" w:space="0" w:color="ACA899"/>
              <w:left w:val="single" w:sz="12" w:space="0" w:color="ACA899"/>
              <w:bottom w:val="single" w:sz="12" w:space="0" w:color="ACA899"/>
              <w:right w:val="single" w:sz="12" w:space="0" w:color="ACA899"/>
            </w:tcBorders>
          </w:tcPr>
          <w:p>
            <w:pPr/>
          </w:p>
        </w:tc>
        <w:tc>
          <w:tcPr>
            <w:tcW w:w="1618" w:type="dxa"/>
            <w:tcBorders>
              <w:top w:val="single" w:sz="12" w:space="0" w:color="ACA899"/>
              <w:left w:val="single" w:sz="12" w:space="0" w:color="ACA899"/>
              <w:bottom w:val="single" w:sz="12" w:space="0" w:color="ACA899"/>
              <w:right w:val="single" w:sz="6" w:space="0" w:color="ACA899"/>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8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680" w:val="left" w:leader="none"/>
        </w:tabs>
        <w:spacing w:line="240" w:lineRule="auto" w:before="56"/>
        <w:ind w:left="838" w:right="0"/>
        <w:jc w:val="left"/>
      </w:pPr>
      <w:r>
        <w:rPr/>
        <w:t>□适用</w:t>
        <w:tab/>
        <w:t>√不适用</w:t>
      </w:r>
    </w:p>
    <w:p>
      <w:pPr>
        <w:spacing w:line="240" w:lineRule="auto" w:before="1"/>
        <w:rPr>
          <w:rFonts w:ascii="宋体" w:hAnsi="宋体" w:cs="宋体" w:eastAsia="宋体" w:hint="default"/>
          <w:sz w:val="23"/>
          <w:szCs w:val="23"/>
        </w:rPr>
      </w:pPr>
    </w:p>
    <w:p>
      <w:pPr>
        <w:pStyle w:val="Heading3"/>
        <w:spacing w:line="240" w:lineRule="auto" w:before="0"/>
        <w:ind w:left="83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680" w:val="left" w:leader="none"/>
        </w:tabs>
        <w:spacing w:line="240" w:lineRule="auto" w:before="56"/>
        <w:ind w:left="838" w:right="0"/>
        <w:jc w:val="left"/>
      </w:pPr>
      <w:r>
        <w:rPr/>
        <w:t>□适用</w:t>
        <w:tab/>
        <w:t>√不适用</w:t>
      </w:r>
    </w:p>
    <w:p>
      <w:pPr>
        <w:spacing w:line="240" w:lineRule="auto" w:before="11"/>
        <w:rPr>
          <w:rFonts w:ascii="宋体" w:hAnsi="宋体" w:cs="宋体" w:eastAsia="宋体" w:hint="default"/>
          <w:sz w:val="22"/>
          <w:szCs w:val="22"/>
        </w:rPr>
      </w:pPr>
    </w:p>
    <w:p>
      <w:pPr>
        <w:pStyle w:val="Heading3"/>
        <w:tabs>
          <w:tab w:pos="1677" w:val="left" w:leader="none"/>
        </w:tabs>
        <w:spacing w:line="240" w:lineRule="auto" w:before="0"/>
        <w:ind w:left="8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680" w:val="left" w:leader="none"/>
        </w:tabs>
        <w:spacing w:line="273" w:lineRule="exact" w:before="58"/>
        <w:ind w:left="838" w:right="0"/>
        <w:jc w:val="left"/>
      </w:pPr>
      <w:r>
        <w:rPr/>
        <w:t>√适用</w:t>
        <w:tab/>
        <w:t>□不适用</w:t>
      </w:r>
    </w:p>
    <w:p>
      <w:pPr>
        <w:pStyle w:val="BodyText"/>
        <w:spacing w:line="237" w:lineRule="auto"/>
        <w:ind w:left="838" w:right="862" w:firstLine="419"/>
        <w:jc w:val="both"/>
      </w:pPr>
      <w:r>
        <w:rPr/>
        <w:t>为实现投资收益，公司将持有的万邦德医疗科技有限公司</w:t>
      </w:r>
      <w:r>
        <w:rPr>
          <w:spacing w:val="-55"/>
        </w:rPr>
        <w:t> </w:t>
      </w:r>
      <w:r>
        <w:rPr>
          <w:rFonts w:ascii="宋体" w:hAnsi="宋体" w:cs="宋体" w:eastAsia="宋体" w:hint="default"/>
        </w:rPr>
        <w:t>10%</w:t>
      </w:r>
      <w:r>
        <w:rPr/>
        <w:t>的股权转让给浙江栋梁新材股</w:t>
      </w:r>
      <w:r>
        <w:rPr>
          <w:w w:val="100"/>
        </w:rPr>
        <w:t> </w:t>
      </w:r>
      <w:r>
        <w:rPr/>
        <w:t>份有限公司，转让价格为人民币</w:t>
      </w:r>
      <w:r>
        <w:rPr>
          <w:spacing w:val="-53"/>
        </w:rPr>
        <w:t> </w:t>
      </w:r>
      <w:r>
        <w:rPr>
          <w:rFonts w:ascii="宋体" w:hAnsi="宋体" w:cs="宋体" w:eastAsia="宋体" w:hint="default"/>
        </w:rPr>
        <w:t>5100</w:t>
      </w:r>
      <w:r>
        <w:rPr>
          <w:rFonts w:ascii="宋体" w:hAnsi="宋体" w:cs="宋体" w:eastAsia="宋体" w:hint="default"/>
          <w:spacing w:val="-54"/>
        </w:rPr>
        <w:t> </w:t>
      </w:r>
      <w:r>
        <w:rPr/>
        <w:t>万元，详见公司披露于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5"/>
        </w:rPr>
        <w:t> </w:t>
      </w:r>
      <w:r>
        <w:rPr/>
        <w:t>日的相关公告，报</w:t>
      </w:r>
      <w:r>
        <w:rPr>
          <w:w w:val="100"/>
        </w:rPr>
        <w:t> </w:t>
      </w:r>
      <w:r>
        <w:rPr/>
        <w:t>告期公司已按协议约定收到该股权转让进度款。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tabs>
          <w:tab w:pos="1677" w:val="left" w:leader="none"/>
        </w:tabs>
        <w:spacing w:line="240" w:lineRule="auto" w:before="0"/>
        <w:ind w:left="83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680" w:val="left" w:leader="none"/>
        </w:tabs>
        <w:spacing w:line="274" w:lineRule="exact" w:before="56"/>
        <w:ind w:left="838" w:right="0"/>
        <w:jc w:val="left"/>
      </w:pPr>
      <w:r>
        <w:rPr/>
        <w:t>√适用</w:t>
        <w:tab/>
        <w:t>□不适用</w:t>
      </w:r>
    </w:p>
    <w:p>
      <w:pPr>
        <w:pStyle w:val="BodyText"/>
        <w:spacing w:line="237" w:lineRule="auto" w:before="2"/>
        <w:ind w:left="838" w:right="847"/>
        <w:jc w:val="both"/>
        <w:rPr>
          <w:rFonts w:ascii="宋体" w:hAnsi="宋体" w:cs="宋体" w:eastAsia="宋体" w:hint="default"/>
        </w:rPr>
      </w:pPr>
      <w:r>
        <w:rPr>
          <w:rFonts w:ascii="宋体" w:hAnsi="宋体" w:cs="宋体" w:eastAsia="宋体" w:hint="default"/>
        </w:rPr>
        <w:t>1</w:t>
      </w:r>
      <w:r>
        <w:rPr/>
        <w:t>）宁波建工工程集团有限公司，注册资金</w:t>
      </w:r>
      <w:r>
        <w:rPr>
          <w:spacing w:val="-54"/>
        </w:rPr>
        <w:t> </w:t>
      </w:r>
      <w:r>
        <w:rPr>
          <w:rFonts w:ascii="宋体" w:hAnsi="宋体" w:cs="宋体" w:eastAsia="宋体" w:hint="default"/>
        </w:rPr>
        <w:t>1,000,000,000</w:t>
      </w:r>
      <w:r>
        <w:rPr>
          <w:rFonts w:ascii="宋体" w:hAnsi="宋体" w:cs="宋体" w:eastAsia="宋体" w:hint="default"/>
          <w:spacing w:val="-56"/>
        </w:rPr>
        <w:t> </w:t>
      </w:r>
      <w:r>
        <w:rPr/>
        <w:t>元，公司持有</w:t>
      </w:r>
      <w:r>
        <w:rPr>
          <w:spacing w:val="-56"/>
        </w:rPr>
        <w:t> </w:t>
      </w:r>
      <w:r>
        <w:rPr>
          <w:rFonts w:ascii="宋体" w:hAnsi="宋体" w:cs="宋体" w:eastAsia="宋体" w:hint="default"/>
        </w:rPr>
        <w:t>100%</w:t>
      </w:r>
      <w:r>
        <w:rPr/>
        <w:t>股份，主要业务工</w:t>
      </w:r>
      <w:r>
        <w:rPr>
          <w:w w:val="100"/>
        </w:rPr>
        <w:t> </w:t>
      </w:r>
      <w:r>
        <w:rPr>
          <w:spacing w:val="-2"/>
        </w:rPr>
        <w:t>程总承包，房屋和土木工程建筑业，建筑安装业，建筑智能化工程施工，建筑设备及建筑周转材</w:t>
      </w:r>
      <w:r>
        <w:rPr>
          <w:spacing w:val="-25"/>
        </w:rPr>
        <w:t> </w:t>
      </w:r>
      <w:r>
        <w:rPr>
          <w:spacing w:val="-25"/>
        </w:rPr>
      </w:r>
      <w:r>
        <w:rPr>
          <w:spacing w:val="-16"/>
          <w:w w:val="100"/>
        </w:rPr>
        <w:t>料租赁，钢结构件制作安装。截止</w:t>
      </w:r>
      <w:r>
        <w:rPr>
          <w:spacing w:val="-72"/>
          <w:w w:val="100"/>
        </w:rPr>
        <w:t> </w:t>
      </w:r>
      <w:r>
        <w:rPr>
          <w:rFonts w:ascii="宋体" w:hAnsi="宋体" w:cs="宋体" w:eastAsia="宋体" w:hint="default"/>
          <w:spacing w:val="-1"/>
          <w:w w:val="100"/>
        </w:rPr>
        <w:t>2017</w:t>
      </w:r>
      <w:r>
        <w:rPr>
          <w:rFonts w:ascii="宋体" w:hAnsi="宋体" w:cs="宋体" w:eastAsia="宋体" w:hint="default"/>
          <w:spacing w:val="-72"/>
          <w:w w:val="100"/>
        </w:rPr>
        <w:t> </w:t>
      </w:r>
      <w:r>
        <w:rPr>
          <w:w w:val="100"/>
        </w:rPr>
        <w:t>年</w:t>
      </w:r>
      <w:r>
        <w:rPr>
          <w:spacing w:val="-72"/>
          <w:w w:val="100"/>
        </w:rPr>
        <w:t> </w:t>
      </w:r>
      <w:r>
        <w:rPr>
          <w:rFonts w:ascii="宋体" w:hAnsi="宋体" w:cs="宋体" w:eastAsia="宋体" w:hint="default"/>
          <w:w w:val="100"/>
        </w:rPr>
        <w:t>12</w:t>
      </w:r>
      <w:r>
        <w:rPr>
          <w:rFonts w:ascii="宋体" w:hAnsi="宋体" w:cs="宋体" w:eastAsia="宋体" w:hint="default"/>
          <w:spacing w:val="-72"/>
          <w:w w:val="100"/>
        </w:rPr>
        <w:t> </w:t>
      </w:r>
      <w:r>
        <w:rPr>
          <w:w w:val="100"/>
        </w:rPr>
        <w:t>月</w:t>
      </w:r>
      <w:r>
        <w:rPr>
          <w:spacing w:val="-76"/>
          <w:w w:val="100"/>
        </w:rPr>
        <w:t> </w:t>
      </w:r>
      <w:r>
        <w:rPr>
          <w:rFonts w:ascii="宋体" w:hAnsi="宋体" w:cs="宋体" w:eastAsia="宋体" w:hint="default"/>
          <w:w w:val="100"/>
        </w:rPr>
        <w:t>31</w:t>
      </w:r>
      <w:r>
        <w:rPr>
          <w:rFonts w:ascii="宋体" w:hAnsi="宋体" w:cs="宋体" w:eastAsia="宋体" w:hint="default"/>
          <w:spacing w:val="-72"/>
          <w:w w:val="100"/>
        </w:rPr>
        <w:t> </w:t>
      </w:r>
      <w:r>
        <w:rPr>
          <w:spacing w:val="-9"/>
          <w:w w:val="100"/>
        </w:rPr>
        <w:t>日，该公司经审计后的资产总额</w:t>
      </w:r>
      <w:r>
        <w:rPr>
          <w:spacing w:val="-72"/>
          <w:w w:val="100"/>
        </w:rPr>
        <w:t> </w:t>
      </w:r>
      <w:r>
        <w:rPr>
          <w:rFonts w:ascii="宋体" w:hAnsi="宋体" w:cs="宋体" w:eastAsia="宋体" w:hint="default"/>
          <w:spacing w:val="-1"/>
          <w:w w:val="100"/>
        </w:rPr>
        <w:t>5,343,150,788.9</w:t>
      </w:r>
    </w:p>
    <w:p>
      <w:pPr>
        <w:pStyle w:val="BodyText"/>
        <w:spacing w:line="271" w:lineRule="exact"/>
        <w:ind w:left="838" w:right="0"/>
        <w:jc w:val="left"/>
        <w:rPr>
          <w:rFonts w:ascii="宋体" w:hAnsi="宋体" w:cs="宋体" w:eastAsia="宋体" w:hint="default"/>
        </w:rPr>
      </w:pPr>
      <w:r>
        <w:rPr/>
        <w:t>元，负债总额</w:t>
      </w:r>
      <w:r>
        <w:rPr>
          <w:spacing w:val="-56"/>
        </w:rPr>
        <w:t> </w:t>
      </w:r>
      <w:r>
        <w:rPr>
          <w:rFonts w:ascii="宋体" w:hAnsi="宋体" w:cs="宋体" w:eastAsia="宋体" w:hint="default"/>
        </w:rPr>
        <w:t>4,076,990,456.15</w:t>
      </w:r>
      <w:r>
        <w:rPr>
          <w:rFonts w:ascii="宋体" w:hAnsi="宋体" w:cs="宋体" w:eastAsia="宋体" w:hint="default"/>
          <w:spacing w:val="-55"/>
        </w:rPr>
        <w:t> </w:t>
      </w:r>
      <w:r>
        <w:rPr/>
        <w:t>元，净资产</w:t>
      </w:r>
      <w:r>
        <w:rPr>
          <w:spacing w:val="-56"/>
        </w:rPr>
        <w:t> </w:t>
      </w:r>
      <w:r>
        <w:rPr>
          <w:rFonts w:ascii="宋体" w:hAnsi="宋体" w:cs="宋体" w:eastAsia="宋体" w:hint="default"/>
        </w:rPr>
        <w:t>1,266,160,332.75</w:t>
      </w:r>
      <w:r>
        <w:rPr>
          <w:rFonts w:ascii="宋体" w:hAnsi="宋体" w:cs="宋体" w:eastAsia="宋体" w:hint="default"/>
          <w:spacing w:val="-56"/>
        </w:rPr>
        <w:t> </w:t>
      </w:r>
      <w:r>
        <w:rPr/>
        <w:t>元，资产负债率为</w:t>
      </w:r>
      <w:r>
        <w:rPr>
          <w:spacing w:val="-55"/>
        </w:rPr>
        <w:t> </w:t>
      </w:r>
      <w:r>
        <w:rPr>
          <w:rFonts w:ascii="宋体" w:hAnsi="宋体" w:cs="宋体" w:eastAsia="宋体" w:hint="default"/>
        </w:rPr>
        <w:t>76.3%</w:t>
      </w:r>
      <w:r>
        <w:rPr/>
        <w:t>。</w:t>
      </w:r>
      <w:r>
        <w:rPr>
          <w:rFonts w:ascii="宋体" w:hAnsi="宋体" w:cs="宋体" w:eastAsia="宋体" w:hint="default"/>
        </w:rPr>
        <w:t>2017</w:t>
      </w:r>
    </w:p>
    <w:p>
      <w:pPr>
        <w:pStyle w:val="BodyText"/>
        <w:spacing w:line="237" w:lineRule="auto" w:before="2"/>
        <w:ind w:left="838" w:right="0"/>
        <w:jc w:val="left"/>
      </w:pPr>
      <w:r>
        <w:rPr/>
        <w:t>年度实现营业收入</w:t>
      </w:r>
      <w:r>
        <w:rPr>
          <w:spacing w:val="-54"/>
        </w:rPr>
        <w:t> </w:t>
      </w:r>
      <w:r>
        <w:rPr>
          <w:rFonts w:ascii="宋体" w:hAnsi="宋体" w:cs="宋体" w:eastAsia="宋体" w:hint="default"/>
        </w:rPr>
        <w:t>7,135,384,493.13</w:t>
      </w:r>
      <w:r>
        <w:rPr>
          <w:rFonts w:ascii="宋体" w:hAnsi="宋体" w:cs="宋体" w:eastAsia="宋体" w:hint="default"/>
          <w:spacing w:val="-53"/>
        </w:rPr>
        <w:t> </w:t>
      </w:r>
      <w:r>
        <w:rPr/>
        <w:t>元，净利润</w:t>
      </w:r>
      <w:r>
        <w:rPr>
          <w:spacing w:val="-53"/>
        </w:rPr>
        <w:t> </w:t>
      </w:r>
      <w:r>
        <w:rPr>
          <w:rFonts w:ascii="宋体" w:hAnsi="宋体" w:cs="宋体" w:eastAsia="宋体" w:hint="default"/>
        </w:rPr>
        <w:t>119,169,987.53</w:t>
      </w:r>
      <w:r>
        <w:rPr>
          <w:rFonts w:ascii="宋体" w:hAnsi="宋体" w:cs="宋体" w:eastAsia="宋体" w:hint="default"/>
          <w:spacing w:val="-56"/>
        </w:rPr>
        <w:t> </w:t>
      </w:r>
      <w:r>
        <w:rPr/>
        <w:t>元。</w:t>
      </w:r>
      <w:r>
        <w:rPr>
          <w:w w:val="100"/>
        </w:rPr>
        <w:t> </w:t>
      </w:r>
      <w:r>
        <w:rPr>
          <w:rFonts w:ascii="宋体" w:hAnsi="宋体" w:cs="宋体" w:eastAsia="宋体" w:hint="default"/>
        </w:rPr>
        <w:t>2</w:t>
      </w:r>
      <w:r>
        <w:rPr/>
        <w:t>）宁波市政工程建设集团股份有限公司，注册资金</w:t>
      </w:r>
      <w:r>
        <w:rPr>
          <w:spacing w:val="-58"/>
        </w:rPr>
        <w:t> </w:t>
      </w:r>
      <w:r>
        <w:rPr>
          <w:rFonts w:ascii="宋体" w:hAnsi="宋体" w:cs="宋体" w:eastAsia="宋体" w:hint="default"/>
        </w:rPr>
        <w:t>500,500,000.00</w:t>
      </w:r>
      <w:r>
        <w:rPr>
          <w:rFonts w:ascii="宋体" w:hAnsi="宋体" w:cs="宋体" w:eastAsia="宋体" w:hint="default"/>
          <w:spacing w:val="-56"/>
        </w:rPr>
        <w:t> </w:t>
      </w:r>
      <w:r>
        <w:rPr/>
        <w:t>元，公司持有</w:t>
      </w:r>
      <w:r>
        <w:rPr>
          <w:spacing w:val="-55"/>
        </w:rPr>
        <w:t> </w:t>
      </w:r>
      <w:r>
        <w:rPr>
          <w:rFonts w:ascii="宋体" w:hAnsi="宋体" w:cs="宋体" w:eastAsia="宋体" w:hint="default"/>
        </w:rPr>
        <w:t>95%</w:t>
      </w:r>
      <w:r>
        <w:rPr/>
        <w:t>股份，宁</w:t>
      </w:r>
      <w:r>
        <w:rPr>
          <w:w w:val="100"/>
        </w:rPr>
        <w:t> </w:t>
      </w:r>
      <w:r>
        <w:rPr/>
        <w:t>波建工全资子公司宁波建工投资有限公司持有其</w:t>
      </w:r>
      <w:r>
        <w:rPr>
          <w:spacing w:val="-24"/>
        </w:rPr>
        <w:t> </w:t>
      </w:r>
      <w:r>
        <w:rPr>
          <w:rFonts w:ascii="宋体" w:hAnsi="宋体" w:cs="宋体" w:eastAsia="宋体" w:hint="default"/>
          <w:spacing w:val="-4"/>
        </w:rPr>
        <w:t>5%</w:t>
      </w:r>
      <w:r>
        <w:rPr>
          <w:spacing w:val="-4"/>
        </w:rPr>
        <w:t>股份。主要业务：城市建设工程施工及其他建</w:t>
      </w:r>
      <w:r>
        <w:rPr>
          <w:spacing w:val="-94"/>
        </w:rPr>
        <w:t> </w:t>
      </w:r>
      <w:r>
        <w:rPr>
          <w:spacing w:val="-94"/>
        </w:rPr>
      </w:r>
      <w:r>
        <w:rPr>
          <w:spacing w:val="-5"/>
        </w:rPr>
        <w:t>筑工程施工、园林工程、公路工程环保工程施工。截止</w:t>
      </w:r>
      <w:r>
        <w:rPr>
          <w:spacing w:val="-41"/>
        </w:rPr>
        <w:t> </w:t>
      </w: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4"/>
        </w:rPr>
        <w:t>日，该公司经审计后的资</w:t>
      </w:r>
    </w:p>
    <w:p>
      <w:pPr>
        <w:pStyle w:val="BodyText"/>
        <w:spacing w:line="272" w:lineRule="exact"/>
        <w:ind w:left="838" w:right="0"/>
        <w:jc w:val="left"/>
      </w:pPr>
      <w:r>
        <w:rPr/>
        <w:t>产总额</w:t>
      </w:r>
      <w:r>
        <w:rPr>
          <w:spacing w:val="-50"/>
        </w:rPr>
        <w:t> </w:t>
      </w:r>
      <w:r>
        <w:rPr>
          <w:rFonts w:ascii="宋体" w:hAnsi="宋体" w:cs="宋体" w:eastAsia="宋体" w:hint="default"/>
        </w:rPr>
        <w:t>4,057,683,968.47</w:t>
      </w:r>
      <w:r>
        <w:rPr>
          <w:rFonts w:ascii="宋体" w:hAnsi="宋体" w:cs="宋体" w:eastAsia="宋体" w:hint="default"/>
          <w:spacing w:val="-52"/>
        </w:rPr>
        <w:t> </w:t>
      </w:r>
      <w:r>
        <w:rPr>
          <w:spacing w:val="-7"/>
        </w:rPr>
        <w:t>元，负债总额</w:t>
      </w:r>
      <w:r>
        <w:rPr>
          <w:spacing w:val="-50"/>
        </w:rPr>
        <w:t> </w:t>
      </w:r>
      <w:r>
        <w:rPr>
          <w:rFonts w:ascii="宋体" w:hAnsi="宋体" w:cs="宋体" w:eastAsia="宋体" w:hint="default"/>
        </w:rPr>
        <w:t>3,363,391,800.41</w:t>
      </w:r>
      <w:r>
        <w:rPr>
          <w:rFonts w:ascii="宋体" w:hAnsi="宋体" w:cs="宋体" w:eastAsia="宋体" w:hint="default"/>
          <w:spacing w:val="-52"/>
        </w:rPr>
        <w:t> </w:t>
      </w:r>
      <w:r>
        <w:rPr>
          <w:spacing w:val="-8"/>
        </w:rPr>
        <w:t>元，净资产</w:t>
      </w:r>
      <w:r>
        <w:rPr>
          <w:spacing w:val="-50"/>
        </w:rPr>
        <w:t> </w:t>
      </w:r>
      <w:r>
        <w:rPr>
          <w:rFonts w:ascii="宋体" w:hAnsi="宋体" w:cs="宋体" w:eastAsia="宋体" w:hint="default"/>
        </w:rPr>
        <w:t>694,292,168.06</w:t>
      </w:r>
      <w:r>
        <w:rPr>
          <w:rFonts w:ascii="宋体" w:hAnsi="宋体" w:cs="宋体" w:eastAsia="宋体" w:hint="default"/>
          <w:spacing w:val="-49"/>
        </w:rPr>
        <w:t> </w:t>
      </w:r>
      <w:r>
        <w:rPr>
          <w:spacing w:val="-10"/>
        </w:rPr>
        <w:t>元，资产</w:t>
      </w:r>
    </w:p>
    <w:p>
      <w:pPr>
        <w:pStyle w:val="BodyText"/>
        <w:spacing w:line="237" w:lineRule="auto"/>
        <w:ind w:left="838" w:right="0"/>
        <w:jc w:val="left"/>
      </w:pPr>
      <w:r>
        <w:rPr/>
        <w:t>负债率为</w:t>
      </w:r>
      <w:r>
        <w:rPr>
          <w:spacing w:val="-54"/>
        </w:rPr>
        <w:t> </w:t>
      </w:r>
      <w:r>
        <w:rPr>
          <w:rFonts w:ascii="宋体" w:hAnsi="宋体" w:cs="宋体" w:eastAsia="宋体" w:hint="default"/>
        </w:rPr>
        <w:t>82.89%</w:t>
      </w:r>
      <w:r>
        <w:rPr/>
        <w:t>。</w:t>
      </w:r>
      <w:r>
        <w:rPr>
          <w:rFonts w:ascii="宋体" w:hAnsi="宋体" w:cs="宋体" w:eastAsia="宋体" w:hint="default"/>
        </w:rPr>
        <w:t>2017</w:t>
      </w:r>
      <w:r>
        <w:rPr>
          <w:rFonts w:ascii="宋体" w:hAnsi="宋体" w:cs="宋体" w:eastAsia="宋体" w:hint="default"/>
          <w:spacing w:val="-56"/>
        </w:rPr>
        <w:t> </w:t>
      </w:r>
      <w:r>
        <w:rPr/>
        <w:t>年度实现营业收入</w:t>
      </w:r>
      <w:r>
        <w:rPr>
          <w:spacing w:val="-54"/>
        </w:rPr>
        <w:t> </w:t>
      </w:r>
      <w:r>
        <w:rPr>
          <w:rFonts w:ascii="宋体" w:hAnsi="宋体" w:cs="宋体" w:eastAsia="宋体" w:hint="default"/>
        </w:rPr>
        <w:t>2,910,257,916.90</w:t>
      </w:r>
      <w:r>
        <w:rPr>
          <w:rFonts w:ascii="宋体" w:hAnsi="宋体" w:cs="宋体" w:eastAsia="宋体" w:hint="default"/>
          <w:spacing w:val="-56"/>
        </w:rPr>
        <w:t> </w:t>
      </w:r>
      <w:r>
        <w:rPr/>
        <w:t>元，净利润</w:t>
      </w:r>
      <w:r>
        <w:rPr>
          <w:spacing w:val="-54"/>
        </w:rPr>
        <w:t> </w:t>
      </w:r>
      <w:r>
        <w:rPr>
          <w:rFonts w:ascii="宋体" w:hAnsi="宋体" w:cs="宋体" w:eastAsia="宋体" w:hint="default"/>
        </w:rPr>
        <w:t>49,624,880.48</w:t>
      </w:r>
      <w:r>
        <w:rPr>
          <w:rFonts w:ascii="宋体" w:hAnsi="宋体" w:cs="宋体" w:eastAsia="宋体" w:hint="default"/>
          <w:spacing w:val="-56"/>
        </w:rPr>
        <w:t> </w:t>
      </w:r>
      <w:r>
        <w:rPr/>
        <w:t>元。</w:t>
      </w:r>
      <w:r>
        <w:rPr>
          <w:w w:val="100"/>
        </w:rPr>
        <w:t> </w:t>
      </w:r>
      <w:r>
        <w:rPr>
          <w:rFonts w:ascii="宋体" w:hAnsi="宋体" w:cs="宋体" w:eastAsia="宋体" w:hint="default"/>
          <w:spacing w:val="-3"/>
        </w:rPr>
        <w:t>3</w:t>
      </w:r>
      <w:r>
        <w:rPr>
          <w:spacing w:val="-3"/>
        </w:rPr>
        <w:t>）宁波建工建乐工程有限公司，注册资金</w:t>
      </w:r>
      <w:r>
        <w:rPr>
          <w:spacing w:val="-38"/>
        </w:rPr>
        <w:t> </w:t>
      </w:r>
      <w:r>
        <w:rPr>
          <w:rFonts w:ascii="宋体" w:hAnsi="宋体" w:cs="宋体" w:eastAsia="宋体" w:hint="default"/>
        </w:rPr>
        <w:t>338,000,000.00</w:t>
      </w:r>
      <w:r>
        <w:rPr>
          <w:rFonts w:ascii="宋体" w:hAnsi="宋体" w:cs="宋体" w:eastAsia="宋体" w:hint="default"/>
          <w:spacing w:val="-38"/>
        </w:rPr>
        <w:t> </w:t>
      </w:r>
      <w:r>
        <w:rPr>
          <w:spacing w:val="-3"/>
        </w:rPr>
        <w:t>元，公司持股</w:t>
      </w:r>
      <w:r>
        <w:rPr>
          <w:spacing w:val="-38"/>
        </w:rPr>
        <w:t> </w:t>
      </w:r>
      <w:r>
        <w:rPr>
          <w:rFonts w:ascii="宋体" w:hAnsi="宋体" w:cs="宋体" w:eastAsia="宋体" w:hint="default"/>
          <w:spacing w:val="-3"/>
        </w:rPr>
        <w:t>100%</w:t>
      </w:r>
      <w:r>
        <w:rPr>
          <w:spacing w:val="-3"/>
        </w:rPr>
        <w:t>，主要业务：房屋</w:t>
      </w:r>
      <w:r>
        <w:rPr>
          <w:spacing w:val="-98"/>
        </w:rPr>
        <w:t> </w:t>
      </w:r>
      <w:r>
        <w:rPr>
          <w:spacing w:val="-98"/>
        </w:rPr>
      </w:r>
      <w:r>
        <w:rPr/>
        <w:t>建筑工程、室内装饰工程的施工。截止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日，该公司经审计后的资产总额</w:t>
      </w:r>
    </w:p>
    <w:p>
      <w:pPr>
        <w:pStyle w:val="BodyText"/>
        <w:spacing w:line="271" w:lineRule="exact"/>
        <w:ind w:left="838" w:right="0"/>
        <w:jc w:val="left"/>
      </w:pPr>
      <w:r>
        <w:rPr>
          <w:rFonts w:ascii="宋体" w:hAnsi="宋体" w:cs="宋体" w:eastAsia="宋体" w:hint="default"/>
        </w:rPr>
        <w:t>2,617,388,709.85</w:t>
      </w:r>
      <w:r>
        <w:rPr>
          <w:rFonts w:ascii="宋体" w:hAnsi="宋体" w:cs="宋体" w:eastAsia="宋体" w:hint="default"/>
          <w:spacing w:val="-52"/>
        </w:rPr>
        <w:t> </w:t>
      </w:r>
      <w:r>
        <w:rPr>
          <w:spacing w:val="-7"/>
        </w:rPr>
        <w:t>元，负债总额</w:t>
      </w:r>
      <w:r>
        <w:rPr>
          <w:spacing w:val="-49"/>
        </w:rPr>
        <w:t> </w:t>
      </w:r>
      <w:r>
        <w:rPr>
          <w:rFonts w:ascii="宋体" w:hAnsi="宋体" w:cs="宋体" w:eastAsia="宋体" w:hint="default"/>
        </w:rPr>
        <w:t>2,022,977,129.99</w:t>
      </w:r>
      <w:r>
        <w:rPr>
          <w:rFonts w:ascii="宋体" w:hAnsi="宋体" w:cs="宋体" w:eastAsia="宋体" w:hint="default"/>
          <w:spacing w:val="-52"/>
        </w:rPr>
        <w:t> </w:t>
      </w:r>
      <w:r>
        <w:rPr>
          <w:spacing w:val="-7"/>
        </w:rPr>
        <w:t>元，净资产</w:t>
      </w:r>
      <w:r>
        <w:rPr>
          <w:spacing w:val="-52"/>
        </w:rPr>
        <w:t> </w:t>
      </w:r>
      <w:r>
        <w:rPr>
          <w:rFonts w:ascii="宋体" w:hAnsi="宋体" w:cs="宋体" w:eastAsia="宋体" w:hint="default"/>
        </w:rPr>
        <w:t>594,411,579.86</w:t>
      </w:r>
      <w:r>
        <w:rPr>
          <w:rFonts w:ascii="宋体" w:hAnsi="宋体" w:cs="宋体" w:eastAsia="宋体" w:hint="default"/>
          <w:spacing w:val="7"/>
        </w:rPr>
        <w:t> </w:t>
      </w:r>
      <w:r>
        <w:rPr>
          <w:spacing w:val="-6"/>
        </w:rPr>
        <w:t>元，资产负债率</w:t>
      </w:r>
    </w:p>
    <w:p>
      <w:pPr>
        <w:pStyle w:val="BodyText"/>
        <w:spacing w:line="237" w:lineRule="auto" w:before="2"/>
        <w:ind w:left="838" w:right="745"/>
        <w:jc w:val="left"/>
      </w:pPr>
      <w:r>
        <w:rPr/>
        <w:t>为</w:t>
      </w:r>
      <w:r>
        <w:rPr>
          <w:spacing w:val="-53"/>
        </w:rPr>
        <w:t> </w:t>
      </w:r>
      <w:r>
        <w:rPr>
          <w:rFonts w:ascii="宋体" w:hAnsi="宋体" w:cs="宋体" w:eastAsia="宋体" w:hint="default"/>
        </w:rPr>
        <w:t>77.29%</w:t>
      </w:r>
      <w:r>
        <w:rPr/>
        <w:t>。实现营业收入</w:t>
      </w:r>
      <w:r>
        <w:rPr>
          <w:spacing w:val="-55"/>
        </w:rPr>
        <w:t> </w:t>
      </w:r>
      <w:r>
        <w:rPr>
          <w:rFonts w:ascii="宋体" w:hAnsi="宋体" w:cs="宋体" w:eastAsia="宋体" w:hint="default"/>
        </w:rPr>
        <w:t>3,844,537,337.26</w:t>
      </w:r>
      <w:r>
        <w:rPr>
          <w:rFonts w:ascii="宋体" w:hAnsi="宋体" w:cs="宋体" w:eastAsia="宋体" w:hint="default"/>
          <w:spacing w:val="-55"/>
        </w:rPr>
        <w:t> </w:t>
      </w:r>
      <w:r>
        <w:rPr/>
        <w:t>元，净利润</w:t>
      </w:r>
      <w:r>
        <w:rPr>
          <w:spacing w:val="-52"/>
        </w:rPr>
        <w:t> </w:t>
      </w:r>
      <w:r>
        <w:rPr>
          <w:rFonts w:ascii="宋体" w:hAnsi="宋体" w:cs="宋体" w:eastAsia="宋体" w:hint="default"/>
        </w:rPr>
        <w:t>56,266,695.24</w:t>
      </w:r>
      <w:r>
        <w:rPr>
          <w:rFonts w:ascii="宋体" w:hAnsi="宋体" w:cs="宋体" w:eastAsia="宋体" w:hint="default"/>
          <w:spacing w:val="-3"/>
        </w:rPr>
        <w:t> </w:t>
      </w:r>
      <w:r>
        <w:rPr>
          <w:spacing w:val="-3"/>
        </w:rPr>
        <w:t>元。</w:t>
      </w:r>
      <w:r>
        <w:rPr>
          <w:spacing w:val="-3"/>
          <w:w w:val="100"/>
        </w:rPr>
        <w:t> </w:t>
      </w:r>
      <w:r>
        <w:rPr>
          <w:rFonts w:ascii="宋体" w:hAnsi="宋体" w:cs="宋体" w:eastAsia="宋体" w:hint="default"/>
        </w:rPr>
        <w:t>4</w:t>
      </w:r>
      <w:r>
        <w:rPr/>
        <w:t>）浙江广天构件股份有限公司，注册资金</w:t>
      </w:r>
      <w:r>
        <w:rPr>
          <w:spacing w:val="-39"/>
        </w:rPr>
        <w:t> </w:t>
      </w:r>
      <w:r>
        <w:rPr>
          <w:rFonts w:ascii="宋体" w:hAnsi="宋体" w:cs="宋体" w:eastAsia="宋体" w:hint="default"/>
        </w:rPr>
        <w:t>53,645,000</w:t>
      </w:r>
      <w:r>
        <w:rPr>
          <w:rFonts w:ascii="宋体" w:hAnsi="宋体" w:cs="宋体" w:eastAsia="宋体" w:hint="default"/>
          <w:spacing w:val="-34"/>
        </w:rPr>
        <w:t> </w:t>
      </w:r>
      <w:r>
        <w:rPr/>
        <w:t>万元，公司持有</w:t>
      </w:r>
      <w:r>
        <w:rPr>
          <w:spacing w:val="-34"/>
        </w:rPr>
        <w:t> </w:t>
      </w:r>
      <w:r>
        <w:rPr>
          <w:rFonts w:ascii="宋体" w:hAnsi="宋体" w:cs="宋体" w:eastAsia="宋体" w:hint="default"/>
        </w:rPr>
        <w:t>74.77%</w:t>
      </w:r>
      <w:r>
        <w:rPr/>
        <w:t>股份，主要业务：</w:t>
      </w:r>
      <w:r>
        <w:rPr>
          <w:spacing w:val="-101"/>
        </w:rPr>
        <w:t> </w:t>
      </w:r>
      <w:r>
        <w:rPr>
          <w:spacing w:val="-101"/>
        </w:rPr>
      </w:r>
      <w:r>
        <w:rPr>
          <w:spacing w:val="-4"/>
        </w:rPr>
        <w:t>预拌商品混凝土生产，水泥预制构件、钢结构件的加工、制作。截止</w:t>
      </w:r>
      <w:r>
        <w:rPr>
          <w:spacing w:val="-47"/>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6"/>
        </w:rPr>
        <w:t>日，该公司</w:t>
      </w:r>
    </w:p>
    <w:p>
      <w:pPr>
        <w:pStyle w:val="BodyText"/>
        <w:spacing w:line="271" w:lineRule="exact"/>
        <w:ind w:left="838" w:right="0"/>
        <w:jc w:val="left"/>
        <w:rPr>
          <w:rFonts w:ascii="宋体" w:hAnsi="宋体" w:cs="宋体" w:eastAsia="宋体" w:hint="default"/>
        </w:rPr>
      </w:pPr>
      <w:r>
        <w:rPr/>
        <w:t>经审计后的资产总额</w:t>
      </w:r>
      <w:r>
        <w:rPr>
          <w:spacing w:val="-51"/>
        </w:rPr>
        <w:t> </w:t>
      </w:r>
      <w:r>
        <w:rPr>
          <w:rFonts w:ascii="宋体" w:hAnsi="宋体" w:cs="宋体" w:eastAsia="宋体" w:hint="default"/>
        </w:rPr>
        <w:t>836,053,289.76</w:t>
      </w:r>
      <w:r>
        <w:rPr>
          <w:rFonts w:ascii="宋体" w:hAnsi="宋体" w:cs="宋体" w:eastAsia="宋体" w:hint="default"/>
          <w:spacing w:val="-51"/>
        </w:rPr>
        <w:t> </w:t>
      </w:r>
      <w:r>
        <w:rPr>
          <w:spacing w:val="-5"/>
        </w:rPr>
        <w:t>元，负债总额</w:t>
      </w:r>
      <w:r>
        <w:rPr>
          <w:spacing w:val="-53"/>
        </w:rPr>
        <w:t> </w:t>
      </w:r>
      <w:r>
        <w:rPr>
          <w:rFonts w:ascii="宋体" w:hAnsi="宋体" w:cs="宋体" w:eastAsia="宋体" w:hint="default"/>
        </w:rPr>
        <w:t>568,183,761.94</w:t>
      </w:r>
      <w:r>
        <w:rPr>
          <w:rFonts w:ascii="宋体" w:hAnsi="宋体" w:cs="宋体" w:eastAsia="宋体" w:hint="default"/>
          <w:spacing w:val="-51"/>
        </w:rPr>
        <w:t> </w:t>
      </w:r>
      <w:r>
        <w:rPr>
          <w:spacing w:val="-6"/>
        </w:rPr>
        <w:t>元，净资产</w:t>
      </w:r>
      <w:r>
        <w:rPr>
          <w:spacing w:val="-50"/>
        </w:rPr>
        <w:t> </w:t>
      </w:r>
      <w:r>
        <w:rPr>
          <w:rFonts w:ascii="宋体" w:hAnsi="宋体" w:cs="宋体" w:eastAsia="宋体" w:hint="default"/>
        </w:rPr>
        <w:t>267,869,527.82</w:t>
      </w:r>
    </w:p>
    <w:p>
      <w:pPr>
        <w:pStyle w:val="BodyText"/>
        <w:spacing w:line="272" w:lineRule="exact" w:before="27"/>
        <w:ind w:left="838" w:right="914"/>
        <w:jc w:val="left"/>
      </w:pPr>
      <w:r>
        <w:rPr/>
        <w:t>元，资产负债率为</w:t>
      </w:r>
      <w:r>
        <w:rPr>
          <w:spacing w:val="-55"/>
        </w:rPr>
        <w:t> </w:t>
      </w:r>
      <w:r>
        <w:rPr>
          <w:rFonts w:ascii="宋体" w:hAnsi="宋体" w:cs="宋体" w:eastAsia="宋体" w:hint="default"/>
        </w:rPr>
        <w:t>67.96%</w:t>
      </w:r>
      <w:r>
        <w:rPr/>
        <w:t>。</w:t>
      </w:r>
      <w:r>
        <w:rPr>
          <w:rFonts w:ascii="宋体" w:hAnsi="宋体" w:cs="宋体" w:eastAsia="宋体" w:hint="default"/>
        </w:rPr>
        <w:t>2017</w:t>
      </w:r>
      <w:r>
        <w:rPr>
          <w:rFonts w:ascii="宋体" w:hAnsi="宋体" w:cs="宋体" w:eastAsia="宋体" w:hint="default"/>
          <w:spacing w:val="-55"/>
        </w:rPr>
        <w:t> </w:t>
      </w:r>
      <w:r>
        <w:rPr/>
        <w:t>年度实现营业收入</w:t>
      </w:r>
      <w:r>
        <w:rPr>
          <w:spacing w:val="-57"/>
        </w:rPr>
        <w:t> </w:t>
      </w:r>
      <w:r>
        <w:rPr>
          <w:rFonts w:ascii="宋体" w:hAnsi="宋体" w:cs="宋体" w:eastAsia="宋体" w:hint="default"/>
        </w:rPr>
        <w:t>692,852,291.13</w:t>
      </w:r>
      <w:r>
        <w:rPr>
          <w:rFonts w:ascii="宋体" w:hAnsi="宋体" w:cs="宋体" w:eastAsia="宋体" w:hint="default"/>
          <w:spacing w:val="-55"/>
        </w:rPr>
        <w:t> </w:t>
      </w:r>
      <w:r>
        <w:rPr/>
        <w:t>元，净利润</w:t>
      </w:r>
      <w:r>
        <w:rPr>
          <w:spacing w:val="-54"/>
        </w:rPr>
        <w:t> </w:t>
      </w:r>
      <w:r>
        <w:rPr>
          <w:rFonts w:ascii="宋体" w:hAnsi="宋体" w:cs="宋体" w:eastAsia="宋体" w:hint="default"/>
        </w:rPr>
        <w:t>24,408,869.97</w:t>
      </w:r>
      <w:r>
        <w:rPr>
          <w:rFonts w:ascii="宋体" w:hAnsi="宋体" w:cs="宋体" w:eastAsia="宋体" w:hint="default"/>
          <w:w w:val="100"/>
        </w:rPr>
        <w:t> </w:t>
      </w:r>
      <w:r>
        <w:rPr/>
        <w:t>元。</w:t>
      </w:r>
    </w:p>
    <w:p>
      <w:pPr>
        <w:pStyle w:val="BodyText"/>
        <w:spacing w:line="272" w:lineRule="exact" w:before="1"/>
        <w:ind w:left="838" w:right="0"/>
        <w:jc w:val="left"/>
      </w:pPr>
      <w:r>
        <w:rPr>
          <w:rFonts w:ascii="宋体" w:hAnsi="宋体" w:cs="宋体" w:eastAsia="宋体" w:hint="default"/>
        </w:rPr>
        <w:t>5</w:t>
      </w:r>
      <w:r>
        <w:rPr/>
        <w:t>）宁波冶金勘察设计研究股份有限公司，注册资金</w:t>
      </w:r>
      <w:r>
        <w:rPr>
          <w:spacing w:val="-57"/>
        </w:rPr>
        <w:t> </w:t>
      </w:r>
      <w:r>
        <w:rPr>
          <w:rFonts w:ascii="宋体" w:hAnsi="宋体" w:cs="宋体" w:eastAsia="宋体" w:hint="default"/>
        </w:rPr>
        <w:t>22,000,000</w:t>
      </w:r>
      <w:r>
        <w:rPr>
          <w:rFonts w:ascii="宋体" w:hAnsi="宋体" w:cs="宋体" w:eastAsia="宋体" w:hint="default"/>
          <w:spacing w:val="-55"/>
        </w:rPr>
        <w:t> </w:t>
      </w:r>
      <w:r>
        <w:rPr/>
        <w:t>元，公司持有</w:t>
      </w:r>
      <w:r>
        <w:rPr>
          <w:spacing w:val="-57"/>
        </w:rPr>
        <w:t> </w:t>
      </w:r>
      <w:r>
        <w:rPr>
          <w:rFonts w:ascii="宋体" w:hAnsi="宋体" w:cs="宋体" w:eastAsia="宋体" w:hint="default"/>
        </w:rPr>
        <w:t>85%</w:t>
      </w:r>
      <w:r>
        <w:rPr/>
        <w:t>股份，主要业</w:t>
      </w:r>
      <w:r>
        <w:rPr>
          <w:w w:val="100"/>
        </w:rPr>
        <w:t> </w:t>
      </w:r>
      <w:r>
        <w:rPr>
          <w:spacing w:val="-2"/>
        </w:rPr>
        <w:t>务：测绘，工程地质和水文地质勘察，岩土工程，土石方，预应力工程、特种专业工程施工；地</w:t>
      </w:r>
    </w:p>
    <w:p>
      <w:pPr>
        <w:pStyle w:val="BodyText"/>
        <w:spacing w:line="247" w:lineRule="exact"/>
        <w:ind w:left="838" w:right="0"/>
        <w:jc w:val="left"/>
        <w:rPr>
          <w:rFonts w:ascii="宋体" w:hAnsi="宋体" w:cs="宋体" w:eastAsia="宋体" w:hint="default"/>
        </w:rPr>
      </w:pPr>
      <w:r>
        <w:rPr>
          <w:spacing w:val="-3"/>
        </w:rPr>
        <w:t>基基础检测；地质灾害危险性评估，地质灾害治理工程设计、勘察、施工。截止</w:t>
      </w:r>
      <w:r>
        <w:rPr>
          <w:spacing w:val="-42"/>
        </w:rPr>
        <w:t> </w:t>
      </w: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spacing w:val="-3"/>
        </w:rPr>
        <w:t>31</w:t>
      </w:r>
      <w:r>
        <w:rPr>
          <w:rFonts w:ascii="宋体" w:hAnsi="宋体" w:cs="宋体" w:eastAsia="宋体" w:hint="default"/>
        </w:rPr>
      </w:r>
    </w:p>
    <w:p>
      <w:pPr>
        <w:pStyle w:val="BodyText"/>
        <w:spacing w:line="273" w:lineRule="exact"/>
        <w:ind w:left="838" w:right="0"/>
        <w:jc w:val="left"/>
      </w:pPr>
      <w:r>
        <w:rPr/>
        <w:t>日，该公司经审计后的资产总额</w:t>
      </w:r>
      <w:r>
        <w:rPr>
          <w:spacing w:val="-55"/>
        </w:rPr>
        <w:t> </w:t>
      </w:r>
      <w:r>
        <w:rPr>
          <w:rFonts w:ascii="宋体" w:hAnsi="宋体" w:cs="宋体" w:eastAsia="宋体" w:hint="default"/>
        </w:rPr>
        <w:t>212,403,126.82</w:t>
      </w:r>
      <w:r>
        <w:rPr>
          <w:rFonts w:ascii="宋体" w:hAnsi="宋体" w:cs="宋体" w:eastAsia="宋体" w:hint="default"/>
          <w:spacing w:val="-57"/>
        </w:rPr>
        <w:t> </w:t>
      </w:r>
      <w:r>
        <w:rPr/>
        <w:t>元，负债总额</w:t>
      </w:r>
      <w:r>
        <w:rPr>
          <w:spacing w:val="-55"/>
        </w:rPr>
        <w:t> </w:t>
      </w:r>
      <w:r>
        <w:rPr>
          <w:rFonts w:ascii="宋体" w:hAnsi="宋体" w:cs="宋体" w:eastAsia="宋体" w:hint="default"/>
        </w:rPr>
        <w:t>141,224,826.61</w:t>
      </w:r>
      <w:r>
        <w:rPr>
          <w:rFonts w:ascii="宋体" w:hAnsi="宋体" w:cs="宋体" w:eastAsia="宋体" w:hint="default"/>
          <w:spacing w:val="-54"/>
        </w:rPr>
        <w:t> </w:t>
      </w:r>
      <w:r>
        <w:rPr/>
        <w:t>元，净资产</w:t>
      </w:r>
    </w:p>
    <w:p>
      <w:pPr>
        <w:pStyle w:val="BodyText"/>
        <w:spacing w:line="273" w:lineRule="exact"/>
        <w:ind w:left="838" w:right="0"/>
        <w:jc w:val="left"/>
      </w:pPr>
      <w:r>
        <w:rPr>
          <w:rFonts w:ascii="宋体" w:hAnsi="宋体" w:cs="宋体" w:eastAsia="宋体" w:hint="default"/>
        </w:rPr>
        <w:t>71,178,300.21</w:t>
      </w:r>
      <w:r>
        <w:rPr>
          <w:rFonts w:ascii="宋体" w:hAnsi="宋体" w:cs="宋体" w:eastAsia="宋体" w:hint="default"/>
          <w:spacing w:val="-6"/>
        </w:rPr>
        <w:t> </w:t>
      </w:r>
      <w:r>
        <w:rPr/>
        <w:t>元，资产负债率为</w:t>
      </w:r>
      <w:r>
        <w:rPr>
          <w:spacing w:val="-54"/>
        </w:rPr>
        <w:t> </w:t>
      </w:r>
      <w:r>
        <w:rPr>
          <w:rFonts w:ascii="宋体" w:hAnsi="宋体" w:cs="宋体" w:eastAsia="宋体" w:hint="default"/>
        </w:rPr>
        <w:t>66.49%</w:t>
      </w:r>
      <w:r>
        <w:rPr/>
        <w:t>。</w:t>
      </w:r>
      <w:r>
        <w:rPr>
          <w:rFonts w:ascii="宋体" w:hAnsi="宋体" w:cs="宋体" w:eastAsia="宋体" w:hint="default"/>
        </w:rPr>
        <w:t>2017</w:t>
      </w:r>
      <w:r>
        <w:rPr>
          <w:rFonts w:ascii="宋体" w:hAnsi="宋体" w:cs="宋体" w:eastAsia="宋体" w:hint="default"/>
          <w:spacing w:val="-56"/>
        </w:rPr>
        <w:t> </w:t>
      </w:r>
      <w:r>
        <w:rPr/>
        <w:t>年度实现营业收入</w:t>
      </w:r>
      <w:r>
        <w:rPr>
          <w:spacing w:val="-55"/>
        </w:rPr>
        <w:t> </w:t>
      </w:r>
      <w:r>
        <w:rPr>
          <w:rFonts w:ascii="宋体" w:hAnsi="宋体" w:cs="宋体" w:eastAsia="宋体" w:hint="default"/>
        </w:rPr>
        <w:t>375,996,519.47</w:t>
      </w:r>
      <w:r>
        <w:rPr>
          <w:rFonts w:ascii="宋体" w:hAnsi="宋体" w:cs="宋体" w:eastAsia="宋体" w:hint="default"/>
          <w:spacing w:val="-54"/>
        </w:rPr>
        <w:t> </w:t>
      </w:r>
      <w:r>
        <w:rPr/>
        <w:t>元，净利润</w:t>
      </w:r>
    </w:p>
    <w:p>
      <w:pPr>
        <w:pStyle w:val="BodyText"/>
        <w:spacing w:line="273" w:lineRule="exact"/>
        <w:ind w:left="838" w:right="0"/>
        <w:jc w:val="left"/>
      </w:pPr>
      <w:r>
        <w:rPr>
          <w:rFonts w:ascii="宋体" w:hAnsi="宋体" w:cs="宋体" w:eastAsia="宋体" w:hint="default"/>
        </w:rPr>
        <w:t>5,053,583.99</w:t>
      </w:r>
      <w:r>
        <w:rPr>
          <w:rFonts w:ascii="宋体" w:hAnsi="宋体" w:cs="宋体" w:eastAsia="宋体" w:hint="default"/>
          <w:spacing w:val="-52"/>
        </w:rPr>
        <w:t> </w:t>
      </w:r>
      <w:r>
        <w:rPr/>
        <w:t>元。</w:t>
      </w:r>
    </w:p>
    <w:p>
      <w:pPr>
        <w:spacing w:after="0" w:line="273" w:lineRule="exact"/>
        <w:jc w:val="left"/>
        <w:sectPr>
          <w:pgSz w:w="11910" w:h="16840"/>
          <w:pgMar w:header="880" w:footer="1195" w:top="1120" w:bottom="1380" w:left="960" w:right="420"/>
        </w:sectPr>
      </w:pPr>
    </w:p>
    <w:p>
      <w:pPr>
        <w:spacing w:line="240" w:lineRule="auto" w:before="4"/>
        <w:rPr>
          <w:rFonts w:ascii="宋体" w:hAnsi="宋体" w:cs="宋体" w:eastAsia="宋体" w:hint="default"/>
          <w:sz w:val="25"/>
          <w:szCs w:val="25"/>
        </w:rPr>
      </w:pPr>
    </w:p>
    <w:p>
      <w:pPr>
        <w:pStyle w:val="BodyText"/>
        <w:spacing w:line="240" w:lineRule="auto" w:before="36"/>
        <w:ind w:right="105"/>
        <w:jc w:val="left"/>
        <w:rPr>
          <w:rFonts w:ascii="宋体" w:hAnsi="宋体" w:cs="宋体" w:eastAsia="宋体" w:hint="default"/>
        </w:rPr>
      </w:pPr>
      <w:r>
        <w:rPr>
          <w:rFonts w:ascii="宋体" w:hAnsi="宋体" w:cs="宋体" w:eastAsia="宋体" w:hint="default"/>
        </w:rPr>
        <w:t>6</w:t>
      </w:r>
      <w:r>
        <w:rPr/>
        <w:t>）宁波市明州建筑设计院有限公司，注册资金</w:t>
      </w:r>
      <w:r>
        <w:rPr>
          <w:spacing w:val="-39"/>
        </w:rPr>
        <w:t> </w:t>
      </w:r>
      <w:r>
        <w:rPr>
          <w:rFonts w:ascii="宋体" w:hAnsi="宋体" w:cs="宋体" w:eastAsia="宋体" w:hint="default"/>
        </w:rPr>
        <w:t>10,000,000</w:t>
      </w:r>
      <w:r>
        <w:rPr>
          <w:rFonts w:ascii="宋体" w:hAnsi="宋体" w:cs="宋体" w:eastAsia="宋体" w:hint="default"/>
          <w:spacing w:val="-33"/>
        </w:rPr>
        <w:t> </w:t>
      </w:r>
      <w:r>
        <w:rPr/>
        <w:t>元，公司持有</w:t>
      </w:r>
      <w:r>
        <w:rPr>
          <w:spacing w:val="-35"/>
        </w:rPr>
        <w:t> </w:t>
      </w:r>
      <w:r>
        <w:rPr>
          <w:rFonts w:ascii="宋体" w:hAnsi="宋体" w:cs="宋体" w:eastAsia="宋体" w:hint="default"/>
        </w:rPr>
        <w:t>100%</w:t>
      </w:r>
      <w:r>
        <w:rPr/>
        <w:t>股份，主要业务：</w:t>
      </w:r>
      <w:r>
        <w:rPr>
          <w:spacing w:val="-101"/>
        </w:rPr>
        <w:t> </w:t>
      </w:r>
      <w:r>
        <w:rPr>
          <w:spacing w:val="-101"/>
        </w:rPr>
      </w:r>
      <w:r>
        <w:rPr>
          <w:spacing w:val="-2"/>
        </w:rPr>
        <w:t>建筑工程勘察、设计、咨询，市政工程设计，园林景观设计，建筑节能研究、评估。截止</w:t>
      </w:r>
      <w:r>
        <w:rPr>
          <w:spacing w:val="24"/>
        </w:rPr>
        <w:t> </w:t>
      </w:r>
      <w:r>
        <w:rPr>
          <w:rFonts w:ascii="宋体" w:hAnsi="宋体" w:cs="宋体" w:eastAsia="宋体" w:hint="default"/>
          <w:spacing w:val="-1"/>
        </w:rPr>
        <w:t>2017</w:t>
      </w:r>
    </w:p>
    <w:p>
      <w:pPr>
        <w:pStyle w:val="BodyText"/>
        <w:spacing w:line="271" w:lineRule="exact"/>
        <w:ind w:right="105"/>
        <w:jc w:val="left"/>
        <w:rPr>
          <w:rFonts w:ascii="宋体" w:hAnsi="宋体" w:cs="宋体" w:eastAsia="宋体" w:hint="default"/>
        </w:rPr>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日，该公司经审计后的资产总额</w:t>
      </w:r>
      <w:r>
        <w:rPr>
          <w:spacing w:val="-54"/>
        </w:rPr>
        <w:t> </w:t>
      </w:r>
      <w:r>
        <w:rPr>
          <w:rFonts w:ascii="宋体" w:hAnsi="宋体" w:cs="宋体" w:eastAsia="宋体" w:hint="default"/>
        </w:rPr>
        <w:t>22,044,139.77</w:t>
      </w:r>
      <w:r>
        <w:rPr>
          <w:rFonts w:ascii="宋体" w:hAnsi="宋体" w:cs="宋体" w:eastAsia="宋体" w:hint="default"/>
          <w:spacing w:val="-54"/>
        </w:rPr>
        <w:t> </w:t>
      </w:r>
      <w:r>
        <w:rPr/>
        <w:t>元，负债总额</w:t>
      </w:r>
      <w:r>
        <w:rPr>
          <w:spacing w:val="-54"/>
        </w:rPr>
        <w:t> </w:t>
      </w:r>
      <w:r>
        <w:rPr>
          <w:rFonts w:ascii="宋体" w:hAnsi="宋体" w:cs="宋体" w:eastAsia="宋体" w:hint="default"/>
        </w:rPr>
        <w:t>8,130,634.85</w:t>
      </w:r>
    </w:p>
    <w:p>
      <w:pPr>
        <w:pStyle w:val="BodyText"/>
        <w:spacing w:line="272" w:lineRule="exact"/>
        <w:ind w:right="105"/>
        <w:jc w:val="left"/>
        <w:rPr>
          <w:rFonts w:ascii="宋体" w:hAnsi="宋体" w:cs="宋体" w:eastAsia="宋体" w:hint="default"/>
        </w:rPr>
      </w:pPr>
      <w:r>
        <w:rPr/>
        <w:t>元，净资产</w:t>
      </w:r>
      <w:r>
        <w:rPr>
          <w:spacing w:val="-55"/>
        </w:rPr>
        <w:t> </w:t>
      </w:r>
      <w:r>
        <w:rPr>
          <w:rFonts w:ascii="宋体" w:hAnsi="宋体" w:cs="宋体" w:eastAsia="宋体" w:hint="default"/>
        </w:rPr>
        <w:t>13,913,504.92</w:t>
      </w:r>
      <w:r>
        <w:rPr>
          <w:rFonts w:ascii="宋体" w:hAnsi="宋体" w:cs="宋体" w:eastAsia="宋体" w:hint="default"/>
          <w:spacing w:val="-54"/>
        </w:rPr>
        <w:t> </w:t>
      </w:r>
      <w:r>
        <w:rPr/>
        <w:t>元，资产负债率为</w:t>
      </w:r>
      <w:r>
        <w:rPr>
          <w:spacing w:val="-57"/>
        </w:rPr>
        <w:t> </w:t>
      </w:r>
      <w:r>
        <w:rPr>
          <w:rFonts w:ascii="宋体" w:hAnsi="宋体" w:cs="宋体" w:eastAsia="宋体" w:hint="default"/>
        </w:rPr>
        <w:t>36.88%</w:t>
      </w:r>
      <w:r>
        <w:rPr/>
        <w:t>。</w:t>
      </w:r>
      <w:r>
        <w:rPr>
          <w:rFonts w:ascii="宋体" w:hAnsi="宋体" w:cs="宋体" w:eastAsia="宋体" w:hint="default"/>
        </w:rPr>
        <w:t>2017</w:t>
      </w:r>
      <w:r>
        <w:rPr>
          <w:rFonts w:ascii="宋体" w:hAnsi="宋体" w:cs="宋体" w:eastAsia="宋体" w:hint="default"/>
          <w:spacing w:val="-55"/>
        </w:rPr>
        <w:t> </w:t>
      </w:r>
      <w:r>
        <w:rPr/>
        <w:t>年度实现营业收入</w:t>
      </w:r>
      <w:r>
        <w:rPr>
          <w:spacing w:val="-54"/>
        </w:rPr>
        <w:t> </w:t>
      </w:r>
      <w:r>
        <w:rPr>
          <w:rFonts w:ascii="宋体" w:hAnsi="宋体" w:cs="宋体" w:eastAsia="宋体" w:hint="default"/>
        </w:rPr>
        <w:t>18,618,528.03</w:t>
      </w:r>
    </w:p>
    <w:p>
      <w:pPr>
        <w:pStyle w:val="BodyText"/>
        <w:spacing w:line="272" w:lineRule="exact"/>
        <w:ind w:right="105"/>
        <w:jc w:val="left"/>
      </w:pPr>
      <w:r>
        <w:rPr/>
        <w:t>元，净利润</w:t>
      </w:r>
      <w:r>
        <w:rPr>
          <w:spacing w:val="-53"/>
        </w:rPr>
        <w:t> </w:t>
      </w:r>
      <w:r>
        <w:rPr>
          <w:rFonts w:ascii="宋体" w:hAnsi="宋体" w:cs="宋体" w:eastAsia="宋体" w:hint="default"/>
        </w:rPr>
        <w:t>1,819,725.83</w:t>
      </w:r>
      <w:r>
        <w:rPr>
          <w:rFonts w:ascii="宋体" w:hAnsi="宋体" w:cs="宋体" w:eastAsia="宋体" w:hint="default"/>
          <w:spacing w:val="-55"/>
        </w:rPr>
        <w:t> </w:t>
      </w:r>
      <w:r>
        <w:rPr/>
        <w:t>元。</w:t>
      </w:r>
    </w:p>
    <w:p>
      <w:pPr>
        <w:pStyle w:val="BodyText"/>
        <w:spacing w:line="237" w:lineRule="auto" w:before="2"/>
        <w:ind w:right="207"/>
        <w:jc w:val="both"/>
      </w:pPr>
      <w:r>
        <w:rPr>
          <w:rFonts w:ascii="宋体" w:hAnsi="宋体" w:cs="宋体" w:eastAsia="宋体" w:hint="default"/>
        </w:rPr>
        <w:t>7</w:t>
      </w:r>
      <w:r>
        <w:rPr/>
        <w:t>）上海雍胜投资管理有限公司，注册资本</w:t>
      </w:r>
      <w:r>
        <w:rPr>
          <w:spacing w:val="-56"/>
        </w:rPr>
        <w:t> </w:t>
      </w:r>
      <w:r>
        <w:rPr>
          <w:rFonts w:ascii="宋体" w:hAnsi="宋体" w:cs="宋体" w:eastAsia="宋体" w:hint="default"/>
        </w:rPr>
        <w:t>50,000,000</w:t>
      </w:r>
      <w:r>
        <w:rPr>
          <w:rFonts w:ascii="宋体" w:hAnsi="宋体" w:cs="宋体" w:eastAsia="宋体" w:hint="default"/>
          <w:spacing w:val="-56"/>
        </w:rPr>
        <w:t> </w:t>
      </w:r>
      <w:r>
        <w:rPr/>
        <w:t>元，公司持有</w:t>
      </w:r>
      <w:r>
        <w:rPr>
          <w:spacing w:val="-56"/>
        </w:rPr>
        <w:t> </w:t>
      </w:r>
      <w:r>
        <w:rPr>
          <w:rFonts w:ascii="宋体" w:hAnsi="宋体" w:cs="宋体" w:eastAsia="宋体" w:hint="default"/>
        </w:rPr>
        <w:t>78.4%</w:t>
      </w:r>
      <w:r>
        <w:rPr/>
        <w:t>股份，主要业务：实</w:t>
      </w:r>
      <w:r>
        <w:rPr>
          <w:w w:val="100"/>
        </w:rPr>
        <w:t> </w:t>
      </w:r>
      <w:r>
        <w:rPr>
          <w:spacing w:val="-4"/>
        </w:rPr>
        <w:t>业投资，投资管理，资产管理，市场营销策划，企业形象策划，商务信息咨询</w:t>
      </w:r>
      <w:r>
        <w:rPr>
          <w:rFonts w:ascii="宋体" w:hAnsi="宋体" w:cs="宋体" w:eastAsia="宋体" w:hint="default"/>
          <w:spacing w:val="-4"/>
        </w:rPr>
        <w:t>,</w:t>
      </w:r>
      <w:r>
        <w:rPr>
          <w:spacing w:val="-4"/>
        </w:rPr>
        <w:t>企业管理咨询。截</w:t>
      </w:r>
      <w:r>
        <w:rPr>
          <w:spacing w:val="-36"/>
        </w:rPr>
        <w:t> </w:t>
      </w:r>
      <w:r>
        <w:rPr>
          <w:spacing w:val="-36"/>
        </w:rPr>
      </w:r>
      <w:r>
        <w:rPr/>
        <w:t>止</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3"/>
        </w:rPr>
        <w:t>日，该公司经审计后的资产总额</w:t>
      </w:r>
      <w:r>
        <w:rPr>
          <w:spacing w:val="-52"/>
        </w:rPr>
        <w:t> </w:t>
      </w:r>
      <w:r>
        <w:rPr>
          <w:rFonts w:ascii="宋体" w:hAnsi="宋体" w:cs="宋体" w:eastAsia="宋体" w:hint="default"/>
        </w:rPr>
        <w:t>76,744,734.01</w:t>
      </w:r>
      <w:r>
        <w:rPr>
          <w:rFonts w:ascii="宋体" w:hAnsi="宋体" w:cs="宋体" w:eastAsia="宋体" w:hint="default"/>
          <w:spacing w:val="-52"/>
        </w:rPr>
        <w:t> </w:t>
      </w:r>
      <w:r>
        <w:rPr>
          <w:spacing w:val="-5"/>
        </w:rPr>
        <w:t>元，负债总额</w:t>
      </w:r>
      <w:r>
        <w:rPr>
          <w:spacing w:val="-49"/>
        </w:rPr>
        <w:t> </w:t>
      </w:r>
      <w:r>
        <w:rPr>
          <w:rFonts w:ascii="宋体" w:hAnsi="宋体" w:cs="宋体" w:eastAsia="宋体" w:hint="default"/>
        </w:rPr>
        <w:t>33,100,605.30</w:t>
      </w:r>
      <w:r>
        <w:rPr>
          <w:rFonts w:ascii="宋体" w:hAnsi="宋体" w:cs="宋体" w:eastAsia="宋体" w:hint="default"/>
          <w:w w:val="100"/>
        </w:rPr>
        <w:t> </w:t>
      </w:r>
      <w:r>
        <w:rPr/>
        <w:t>元，净资产</w:t>
      </w:r>
      <w:r>
        <w:rPr>
          <w:spacing w:val="-55"/>
        </w:rPr>
        <w:t> </w:t>
      </w:r>
      <w:r>
        <w:rPr>
          <w:rFonts w:ascii="宋体" w:hAnsi="宋体" w:cs="宋体" w:eastAsia="宋体" w:hint="default"/>
        </w:rPr>
        <w:t>43,644,128.71</w:t>
      </w:r>
      <w:r>
        <w:rPr>
          <w:rFonts w:ascii="宋体" w:hAnsi="宋体" w:cs="宋体" w:eastAsia="宋体" w:hint="default"/>
          <w:spacing w:val="-54"/>
        </w:rPr>
        <w:t> </w:t>
      </w:r>
      <w:r>
        <w:rPr/>
        <w:t>元，资产负债率为</w:t>
      </w:r>
      <w:r>
        <w:rPr>
          <w:spacing w:val="-57"/>
        </w:rPr>
        <w:t> </w:t>
      </w:r>
      <w:r>
        <w:rPr>
          <w:rFonts w:ascii="宋体" w:hAnsi="宋体" w:cs="宋体" w:eastAsia="宋体" w:hint="default"/>
        </w:rPr>
        <w:t>43.13%</w:t>
      </w:r>
      <w:r>
        <w:rPr/>
        <w:t>。</w:t>
      </w:r>
      <w:r>
        <w:rPr>
          <w:rFonts w:ascii="宋体" w:hAnsi="宋体" w:cs="宋体" w:eastAsia="宋体" w:hint="default"/>
        </w:rPr>
        <w:t>2017</w:t>
      </w:r>
      <w:r>
        <w:rPr>
          <w:rFonts w:ascii="宋体" w:hAnsi="宋体" w:cs="宋体" w:eastAsia="宋体" w:hint="default"/>
          <w:spacing w:val="-55"/>
        </w:rPr>
        <w:t> </w:t>
      </w:r>
      <w:r>
        <w:rPr/>
        <w:t>年度实现营业收入</w:t>
      </w:r>
      <w:r>
        <w:rPr>
          <w:spacing w:val="-54"/>
        </w:rPr>
        <w:t> </w:t>
      </w:r>
      <w:r>
        <w:rPr>
          <w:rFonts w:ascii="宋体" w:hAnsi="宋体" w:cs="宋体" w:eastAsia="宋体" w:hint="default"/>
        </w:rPr>
        <w:t>0</w:t>
      </w:r>
      <w:r>
        <w:rPr>
          <w:rFonts w:ascii="宋体" w:hAnsi="宋体" w:cs="宋体" w:eastAsia="宋体" w:hint="default"/>
          <w:spacing w:val="-55"/>
        </w:rPr>
        <w:t> </w:t>
      </w:r>
      <w:r>
        <w:rPr/>
        <w:t>元，净利润</w:t>
      </w:r>
    </w:p>
    <w:p>
      <w:pPr>
        <w:pStyle w:val="BodyText"/>
        <w:spacing w:line="272" w:lineRule="exact"/>
        <w:ind w:right="105"/>
        <w:jc w:val="left"/>
      </w:pPr>
      <w:r>
        <w:rPr>
          <w:rFonts w:ascii="宋体" w:hAnsi="宋体" w:cs="宋体" w:eastAsia="宋体" w:hint="default"/>
        </w:rPr>
        <w:t>-17,284,158.97</w:t>
      </w:r>
      <w:r>
        <w:rPr>
          <w:rFonts w:ascii="宋体" w:hAnsi="宋体" w:cs="宋体" w:eastAsia="宋体" w:hint="default"/>
          <w:spacing w:val="-52"/>
        </w:rPr>
        <w:t> </w:t>
      </w:r>
      <w:r>
        <w:rPr>
          <w:spacing w:val="-3"/>
        </w:rPr>
        <w:t>元。</w:t>
      </w:r>
      <w:r>
        <w:rPr/>
      </w:r>
    </w:p>
    <w:p>
      <w:pPr>
        <w:pStyle w:val="BodyText"/>
        <w:spacing w:line="237" w:lineRule="auto"/>
        <w:ind w:right="105"/>
        <w:jc w:val="left"/>
      </w:pPr>
      <w:r>
        <w:rPr>
          <w:rFonts w:ascii="宋体" w:hAnsi="宋体" w:cs="宋体" w:eastAsia="宋体" w:hint="default"/>
          <w:spacing w:val="-3"/>
        </w:rPr>
        <w:t>8</w:t>
      </w:r>
      <w:r>
        <w:rPr>
          <w:spacing w:val="-3"/>
        </w:rPr>
        <w:t>）上海安旌投资管理有限公司，注册资本</w:t>
      </w:r>
      <w:r>
        <w:rPr>
          <w:spacing w:val="-36"/>
        </w:rPr>
        <w:t> </w:t>
      </w:r>
      <w:r>
        <w:rPr>
          <w:rFonts w:ascii="宋体" w:hAnsi="宋体" w:cs="宋体" w:eastAsia="宋体" w:hint="default"/>
        </w:rPr>
        <w:t>50,000,000</w:t>
      </w:r>
      <w:r>
        <w:rPr>
          <w:rFonts w:ascii="宋体" w:hAnsi="宋体" w:cs="宋体" w:eastAsia="宋体" w:hint="default"/>
          <w:spacing w:val="-36"/>
        </w:rPr>
        <w:t> </w:t>
      </w:r>
      <w:r>
        <w:rPr>
          <w:spacing w:val="-3"/>
        </w:rPr>
        <w:t>元，公司持有</w:t>
      </w:r>
      <w:r>
        <w:rPr>
          <w:spacing w:val="-36"/>
        </w:rPr>
        <w:t> </w:t>
      </w:r>
      <w:r>
        <w:rPr>
          <w:rFonts w:ascii="宋体" w:hAnsi="宋体" w:cs="宋体" w:eastAsia="宋体" w:hint="default"/>
          <w:spacing w:val="-3"/>
        </w:rPr>
        <w:t>100%</w:t>
      </w:r>
      <w:r>
        <w:rPr>
          <w:spacing w:val="-3"/>
        </w:rPr>
        <w:t>股份，主要业务：实业</w:t>
      </w:r>
      <w:r>
        <w:rPr>
          <w:spacing w:val="-97"/>
        </w:rPr>
        <w:t> </w:t>
      </w:r>
      <w:r>
        <w:rPr>
          <w:spacing w:val="-97"/>
        </w:rPr>
      </w:r>
      <w:r>
        <w:rPr>
          <w:spacing w:val="-2"/>
        </w:rPr>
        <w:t>投资，投资管理，资产管理，市场营销策划，企业形象策划，商务信息咨询，企业管理咨询，投</w:t>
      </w:r>
      <w:r>
        <w:rPr>
          <w:spacing w:val="-25"/>
        </w:rPr>
        <w:t> </w:t>
      </w:r>
      <w:r>
        <w:rPr>
          <w:spacing w:val="-25"/>
        </w:rPr>
      </w:r>
      <w:r>
        <w:rPr/>
        <w:t>资咨询。截止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日，该公司经审计后的资产总额</w:t>
      </w:r>
      <w:r>
        <w:rPr>
          <w:spacing w:val="-54"/>
        </w:rPr>
        <w:t> </w:t>
      </w:r>
      <w:r>
        <w:rPr>
          <w:rFonts w:ascii="宋体" w:hAnsi="宋体" w:cs="宋体" w:eastAsia="宋体" w:hint="default"/>
        </w:rPr>
        <w:t>49,963,987.84</w:t>
      </w:r>
      <w:r>
        <w:rPr>
          <w:rFonts w:ascii="宋体" w:hAnsi="宋体" w:cs="宋体" w:eastAsia="宋体" w:hint="default"/>
          <w:spacing w:val="-53"/>
        </w:rPr>
        <w:t> </w:t>
      </w:r>
      <w:r>
        <w:rPr/>
        <w:t>元，负债总额</w:t>
      </w:r>
      <w:r>
        <w:rPr>
          <w:spacing w:val="-56"/>
        </w:rPr>
        <w:t> </w:t>
      </w:r>
      <w:r>
        <w:rPr>
          <w:rFonts w:ascii="宋体" w:hAnsi="宋体" w:cs="宋体" w:eastAsia="宋体" w:hint="default"/>
        </w:rPr>
        <w:t>0</w:t>
      </w:r>
      <w:r>
        <w:rPr>
          <w:rFonts w:ascii="宋体" w:hAnsi="宋体" w:cs="宋体" w:eastAsia="宋体" w:hint="default"/>
          <w:w w:val="100"/>
        </w:rPr>
        <w:t> </w:t>
      </w:r>
      <w:r>
        <w:rPr>
          <w:spacing w:val="-11"/>
        </w:rPr>
        <w:t>元，净资产</w:t>
      </w:r>
      <w:r>
        <w:rPr>
          <w:spacing w:val="-47"/>
        </w:rPr>
        <w:t> </w:t>
      </w:r>
      <w:r>
        <w:rPr>
          <w:rFonts w:ascii="宋体" w:hAnsi="宋体" w:cs="宋体" w:eastAsia="宋体" w:hint="default"/>
        </w:rPr>
        <w:t>49,963,987.84</w:t>
      </w:r>
      <w:r>
        <w:rPr>
          <w:rFonts w:ascii="宋体" w:hAnsi="宋体" w:cs="宋体" w:eastAsia="宋体" w:hint="default"/>
          <w:spacing w:val="-46"/>
        </w:rPr>
        <w:t> </w:t>
      </w:r>
      <w:r>
        <w:rPr>
          <w:spacing w:val="-8"/>
        </w:rPr>
        <w:t>元，资产负债率为</w:t>
      </w:r>
      <w:r>
        <w:rPr>
          <w:spacing w:val="-47"/>
        </w:rPr>
        <w:t> </w:t>
      </w:r>
      <w:r>
        <w:rPr>
          <w:rFonts w:ascii="宋体" w:hAnsi="宋体" w:cs="宋体" w:eastAsia="宋体" w:hint="default"/>
          <w:spacing w:val="-8"/>
        </w:rPr>
        <w:t>0%</w:t>
      </w:r>
      <w:r>
        <w:rPr>
          <w:spacing w:val="-8"/>
        </w:rPr>
        <w:t>。</w:t>
      </w:r>
      <w:r>
        <w:rPr>
          <w:rFonts w:ascii="宋体" w:hAnsi="宋体" w:cs="宋体" w:eastAsia="宋体" w:hint="default"/>
          <w:spacing w:val="-8"/>
        </w:rPr>
        <w:t>2017</w:t>
      </w:r>
      <w:r>
        <w:rPr>
          <w:rFonts w:ascii="宋体" w:hAnsi="宋体" w:cs="宋体" w:eastAsia="宋体" w:hint="default"/>
          <w:spacing w:val="-46"/>
        </w:rPr>
        <w:t> </w:t>
      </w:r>
      <w:r>
        <w:rPr/>
        <w:t>年度实现营业收入</w:t>
      </w:r>
      <w:r>
        <w:rPr>
          <w:spacing w:val="-47"/>
        </w:rPr>
        <w:t> </w:t>
      </w:r>
      <w:r>
        <w:rPr>
          <w:rFonts w:ascii="宋体" w:hAnsi="宋体" w:cs="宋体" w:eastAsia="宋体" w:hint="default"/>
        </w:rPr>
        <w:t>0</w:t>
      </w:r>
      <w:r>
        <w:rPr>
          <w:rFonts w:ascii="宋体" w:hAnsi="宋体" w:cs="宋体" w:eastAsia="宋体" w:hint="default"/>
          <w:spacing w:val="-50"/>
        </w:rPr>
        <w:t> </w:t>
      </w:r>
      <w:r>
        <w:rPr>
          <w:spacing w:val="-5"/>
        </w:rPr>
        <w:t>元，净利润</w:t>
      </w:r>
      <w:r>
        <w:rPr>
          <w:rFonts w:ascii="宋体" w:hAnsi="宋体" w:cs="宋体" w:eastAsia="宋体" w:hint="default"/>
          <w:spacing w:val="-5"/>
        </w:rPr>
        <w:t>-6,867.53</w:t>
      </w:r>
      <w:r>
        <w:rPr>
          <w:rFonts w:ascii="宋体" w:hAnsi="宋体" w:cs="宋体" w:eastAsia="宋体" w:hint="default"/>
          <w:spacing w:val="-103"/>
        </w:rPr>
        <w:t> </w:t>
      </w:r>
      <w:r>
        <w:rPr>
          <w:rFonts w:ascii="宋体" w:hAnsi="宋体" w:cs="宋体" w:eastAsia="宋体" w:hint="default"/>
          <w:spacing w:val="-103"/>
        </w:rPr>
      </w:r>
      <w:r>
        <w:rPr/>
        <w:t>元。</w:t>
      </w:r>
    </w:p>
    <w:p>
      <w:pPr>
        <w:pStyle w:val="BodyText"/>
        <w:spacing w:line="237" w:lineRule="auto" w:before="1"/>
        <w:ind w:right="105"/>
        <w:jc w:val="left"/>
      </w:pPr>
      <w:r>
        <w:rPr>
          <w:rFonts w:ascii="宋体" w:hAnsi="宋体" w:cs="宋体" w:eastAsia="宋体" w:hint="default"/>
          <w:spacing w:val="-8"/>
        </w:rPr>
        <w:t>9</w:t>
      </w:r>
      <w:r>
        <w:rPr>
          <w:spacing w:val="-8"/>
        </w:rPr>
        <w:t>）宁波建工投资有限公司，注册资本</w:t>
      </w:r>
      <w:r>
        <w:rPr>
          <w:spacing w:val="-33"/>
        </w:rPr>
        <w:t> </w:t>
      </w:r>
      <w:r>
        <w:rPr>
          <w:rFonts w:ascii="宋体" w:hAnsi="宋体" w:cs="宋体" w:eastAsia="宋体" w:hint="default"/>
        </w:rPr>
        <w:t>35,000,000</w:t>
      </w:r>
      <w:r>
        <w:rPr>
          <w:rFonts w:ascii="宋体" w:hAnsi="宋体" w:cs="宋体" w:eastAsia="宋体" w:hint="default"/>
          <w:spacing w:val="-30"/>
        </w:rPr>
        <w:t> </w:t>
      </w:r>
      <w:r>
        <w:rPr>
          <w:spacing w:val="-10"/>
        </w:rPr>
        <w:t>元，公司持有</w:t>
      </w:r>
      <w:r>
        <w:rPr>
          <w:spacing w:val="-33"/>
        </w:rPr>
        <w:t> </w:t>
      </w:r>
      <w:r>
        <w:rPr>
          <w:rFonts w:ascii="宋体" w:hAnsi="宋体" w:cs="宋体" w:eastAsia="宋体" w:hint="default"/>
          <w:spacing w:val="-8"/>
        </w:rPr>
        <w:t>100%</w:t>
      </w:r>
      <w:r>
        <w:rPr>
          <w:spacing w:val="-8"/>
        </w:rPr>
        <w:t>股份，主要业务：实业投资，</w:t>
      </w:r>
      <w:r>
        <w:rPr>
          <w:spacing w:val="-96"/>
        </w:rPr>
        <w:t> </w:t>
      </w:r>
      <w:r>
        <w:rPr>
          <w:spacing w:val="-96"/>
        </w:rPr>
      </w:r>
      <w:r>
        <w:rPr>
          <w:spacing w:val="-6"/>
        </w:rPr>
        <w:t>投资管理，资产管理，市场营销策划，企业形象策划，商务信息咨询，企业管理咨询，投资咨询。</w:t>
      </w:r>
      <w:r>
        <w:rPr>
          <w:spacing w:val="-48"/>
        </w:rPr>
        <w:t> </w:t>
      </w:r>
      <w:r>
        <w:rPr>
          <w:spacing w:val="-48"/>
        </w:rPr>
      </w:r>
      <w:r>
        <w:rPr/>
        <w:t>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日，该公司经审计后的资产总额</w:t>
      </w:r>
      <w:r>
        <w:rPr>
          <w:spacing w:val="-53"/>
        </w:rPr>
        <w:t> </w:t>
      </w:r>
      <w:r>
        <w:rPr>
          <w:rFonts w:ascii="宋体" w:hAnsi="宋体" w:cs="宋体" w:eastAsia="宋体" w:hint="default"/>
        </w:rPr>
        <w:t>45,737,549.10</w:t>
      </w:r>
      <w:r>
        <w:rPr>
          <w:rFonts w:ascii="宋体" w:hAnsi="宋体" w:cs="宋体" w:eastAsia="宋体" w:hint="default"/>
          <w:spacing w:val="-54"/>
        </w:rPr>
        <w:t> </w:t>
      </w:r>
      <w:r>
        <w:rPr/>
        <w:t>元，负债总额</w:t>
      </w:r>
      <w:r>
        <w:rPr>
          <w:spacing w:val="-53"/>
        </w:rPr>
        <w:t> </w:t>
      </w:r>
      <w:r>
        <w:rPr>
          <w:rFonts w:ascii="宋体" w:hAnsi="宋体" w:cs="宋体" w:eastAsia="宋体" w:hint="default"/>
        </w:rPr>
        <w:t>586.00</w:t>
      </w:r>
      <w:r>
        <w:rPr>
          <w:rFonts w:ascii="宋体" w:hAnsi="宋体" w:cs="宋体" w:eastAsia="宋体" w:hint="default"/>
          <w:spacing w:val="-56"/>
        </w:rPr>
        <w:t> </w:t>
      </w:r>
      <w:r>
        <w:rPr/>
        <w:t>元，</w:t>
      </w:r>
      <w:r>
        <w:rPr>
          <w:w w:val="100"/>
        </w:rPr>
        <w:t> </w:t>
      </w:r>
      <w:r>
        <w:rPr/>
        <w:t>净资产</w:t>
      </w:r>
      <w:r>
        <w:rPr>
          <w:spacing w:val="-53"/>
        </w:rPr>
        <w:t> </w:t>
      </w:r>
      <w:r>
        <w:rPr>
          <w:rFonts w:ascii="宋体" w:hAnsi="宋体" w:cs="宋体" w:eastAsia="宋体" w:hint="default"/>
        </w:rPr>
        <w:t>45,736,963.10</w:t>
      </w:r>
      <w:r>
        <w:rPr>
          <w:rFonts w:ascii="宋体" w:hAnsi="宋体" w:cs="宋体" w:eastAsia="宋体" w:hint="default"/>
          <w:spacing w:val="-52"/>
        </w:rPr>
        <w:t> </w:t>
      </w:r>
      <w:r>
        <w:rPr/>
        <w:t>元，资产负债率为</w:t>
      </w:r>
      <w:r>
        <w:rPr>
          <w:spacing w:val="-53"/>
        </w:rPr>
        <w:t> </w:t>
      </w:r>
      <w:r>
        <w:rPr>
          <w:rFonts w:ascii="宋体" w:hAnsi="宋体" w:cs="宋体" w:eastAsia="宋体" w:hint="default"/>
        </w:rPr>
        <w:t>0.001%</w:t>
      </w:r>
      <w:r>
        <w:rPr/>
        <w:t>。</w:t>
      </w:r>
      <w:r>
        <w:rPr>
          <w:rFonts w:ascii="宋体" w:hAnsi="宋体" w:cs="宋体" w:eastAsia="宋体" w:hint="default"/>
        </w:rPr>
        <w:t>2017</w:t>
      </w:r>
      <w:r>
        <w:rPr>
          <w:rFonts w:ascii="宋体" w:hAnsi="宋体" w:cs="宋体" w:eastAsia="宋体" w:hint="default"/>
          <w:spacing w:val="-55"/>
        </w:rPr>
        <w:t> </w:t>
      </w:r>
      <w:r>
        <w:rPr/>
        <w:t>年度实现营业收入</w:t>
      </w:r>
      <w:r>
        <w:rPr>
          <w:spacing w:val="-55"/>
        </w:rPr>
        <w:t> </w:t>
      </w:r>
      <w:r>
        <w:rPr>
          <w:rFonts w:ascii="宋体" w:hAnsi="宋体" w:cs="宋体" w:eastAsia="宋体" w:hint="default"/>
        </w:rPr>
        <w:t>0</w:t>
      </w:r>
      <w:r>
        <w:rPr>
          <w:rFonts w:ascii="宋体" w:hAnsi="宋体" w:cs="宋体" w:eastAsia="宋体" w:hint="default"/>
          <w:spacing w:val="-55"/>
        </w:rPr>
        <w:t> </w:t>
      </w:r>
      <w:r>
        <w:rPr/>
        <w:t>元，净利润</w:t>
      </w:r>
      <w:r>
        <w:rPr>
          <w:w w:val="100"/>
        </w:rPr>
        <w:t> </w:t>
      </w:r>
      <w:r>
        <w:rPr>
          <w:rFonts w:ascii="宋体" w:hAnsi="宋体" w:cs="宋体" w:eastAsia="宋体" w:hint="default"/>
        </w:rPr>
        <w:t>10,027,995.69</w:t>
      </w:r>
      <w:r>
        <w:rPr>
          <w:rFonts w:ascii="宋体" w:hAnsi="宋体" w:cs="宋体" w:eastAsia="宋体" w:hint="default"/>
          <w:spacing w:val="-51"/>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3"/>
        <w:tabs>
          <w:tab w:pos="977" w:val="left" w:leader="none"/>
        </w:tabs>
        <w:spacing w:line="240" w:lineRule="auto" w:before="0"/>
        <w:ind w:left="138" w:right="10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8"/>
        <w:ind w:right="105"/>
        <w:jc w:val="left"/>
      </w:pPr>
      <w:r>
        <w:rPr/>
        <w:t>□适用</w:t>
        <w:tab/>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tabs>
          <w:tab w:pos="977" w:val="left" w:leader="none"/>
        </w:tabs>
        <w:spacing w:line="290" w:lineRule="auto" w:before="0"/>
        <w:ind w:left="138"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40" w:lineRule="auto" w:before="12"/>
        <w:ind w:left="558" w:right="213" w:hanging="420"/>
        <w:jc w:val="left"/>
      </w:pPr>
      <w:r>
        <w:rPr/>
        <w:t>√适用</w:t>
        <w:tab/>
        <w:t>□不适用</w:t>
      </w:r>
      <w:r>
        <w:rPr>
          <w:w w:val="100"/>
        </w:rPr>
        <w:t> </w:t>
      </w:r>
      <w:r>
        <w:rPr>
          <w:color w:val="333333"/>
          <w:spacing w:val="-7"/>
          <w:w w:val="100"/>
        </w:rPr>
        <w:t>随着我国社会发展和经济建设进入新常态，宏观环境、市场格局也发生了一系列</w:t>
      </w:r>
      <w:r>
        <w:rPr>
          <w:spacing w:val="-7"/>
          <w:w w:val="100"/>
        </w:rPr>
        <w:t>深刻的变化，</w:t>
      </w:r>
    </w:p>
    <w:p>
      <w:pPr>
        <w:pStyle w:val="BodyText"/>
        <w:spacing w:line="237" w:lineRule="auto"/>
        <w:ind w:right="217"/>
        <w:jc w:val="both"/>
      </w:pPr>
      <w:r>
        <w:rPr>
          <w:spacing w:val="-2"/>
        </w:rPr>
        <w:t>在坚持稳中求进工作</w:t>
      </w:r>
      <w:r>
        <w:rPr>
          <w:color w:val="333333"/>
          <w:spacing w:val="-2"/>
        </w:rPr>
        <w:t>总基调下深化改革与转型发展成为促进经济稳定增长的动力之源。随着供给</w:t>
      </w:r>
      <w:r>
        <w:rPr>
          <w:color w:val="333333"/>
          <w:spacing w:val="-24"/>
        </w:rPr>
        <w:t> </w:t>
      </w:r>
      <w:r>
        <w:rPr>
          <w:color w:val="333333"/>
          <w:spacing w:val="-24"/>
        </w:rPr>
      </w:r>
      <w:r>
        <w:rPr>
          <w:color w:val="333333"/>
          <w:spacing w:val="-2"/>
        </w:rPr>
        <w:t>侧结构性改革深入推进，中国经济已由高速增长阶段转向高质量发展阶段，产业结构不断优化，</w:t>
      </w:r>
      <w:r>
        <w:rPr>
          <w:color w:val="333333"/>
          <w:spacing w:val="-25"/>
        </w:rPr>
        <w:t> </w:t>
      </w:r>
      <w:r>
        <w:rPr>
          <w:color w:val="333333"/>
          <w:spacing w:val="-25"/>
        </w:rPr>
      </w:r>
      <w:r>
        <w:rPr>
          <w:color w:val="333333"/>
        </w:rPr>
        <w:t>建筑行业新的发展机遇正在孕育形成。</w:t>
      </w:r>
      <w:r>
        <w:rPr/>
      </w:r>
    </w:p>
    <w:p>
      <w:pPr>
        <w:pStyle w:val="BodyText"/>
        <w:spacing w:line="237" w:lineRule="auto" w:before="1"/>
        <w:ind w:right="208" w:firstLine="419"/>
        <w:jc w:val="both"/>
      </w:pPr>
      <w:r>
        <w:rPr>
          <w:rFonts w:ascii="MS UI Gothic" w:hAnsi="MS UI Gothic" w:cs="MS UI Gothic" w:eastAsia="MS UI Gothic" w:hint="default"/>
          <w:spacing w:val="-2"/>
        </w:rPr>
        <w:t>目前正</w:t>
      </w:r>
      <w:r>
        <w:rPr>
          <w:spacing w:val="-2"/>
        </w:rPr>
        <w:t>处</w:t>
      </w:r>
      <w:r>
        <w:rPr>
          <w:rFonts w:ascii="MS UI Gothic" w:hAnsi="MS UI Gothic" w:cs="MS UI Gothic" w:eastAsia="MS UI Gothic" w:hint="default"/>
          <w:spacing w:val="-2"/>
        </w:rPr>
        <w:t>于全面建成小康社会的决</w:t>
      </w:r>
      <w:r>
        <w:rPr>
          <w:spacing w:val="-2"/>
        </w:rPr>
        <w:t>胜</w:t>
      </w:r>
      <w:r>
        <w:rPr>
          <w:rFonts w:ascii="MS UI Gothic" w:hAnsi="MS UI Gothic" w:cs="MS UI Gothic" w:eastAsia="MS UI Gothic" w:hint="default"/>
          <w:spacing w:val="-2"/>
        </w:rPr>
        <w:t>期，中国（浙江）自由</w:t>
      </w:r>
      <w:r>
        <w:rPr>
          <w:spacing w:val="-2"/>
        </w:rPr>
        <w:t>贸易试验区总体方案获国务院批</w:t>
      </w:r>
      <w:r>
        <w:rPr>
          <w:w w:val="100"/>
        </w:rPr>
        <w:t> </w:t>
      </w:r>
      <w:r>
        <w:rPr>
          <w:spacing w:val="-2"/>
        </w:rPr>
        <w:t>复并加快建设，浙江省确定了推进“两富”现代化浙江建设新目标，要加快建设大湾区大花园大</w:t>
      </w:r>
      <w:r>
        <w:rPr>
          <w:spacing w:val="-25"/>
        </w:rPr>
        <w:t> </w:t>
      </w:r>
      <w:r>
        <w:rPr>
          <w:spacing w:val="-25"/>
        </w:rPr>
      </w:r>
      <w:r>
        <w:rPr>
          <w:spacing w:val="-6"/>
        </w:rPr>
        <w:t>通道大都市区，打造现代化先行区，突出接轨上海，聚焦杭州宁波一体化发展，做强做大杭州湾。</w:t>
      </w:r>
      <w:r>
        <w:rPr>
          <w:spacing w:val="-52"/>
        </w:rPr>
        <w:t> </w:t>
      </w:r>
      <w:r>
        <w:rPr>
          <w:spacing w:val="-52"/>
        </w:rPr>
      </w:r>
      <w:r>
        <w:rPr>
          <w:spacing w:val="-2"/>
        </w:rPr>
        <w:t>宁波市委确立了打造“名城名都”战略发展目标，中国（杭州、宁波）跨境电子商务综合试验区</w:t>
      </w:r>
      <w:r>
        <w:rPr>
          <w:spacing w:val="-25"/>
        </w:rPr>
        <w:t> </w:t>
      </w:r>
      <w:r>
        <w:rPr>
          <w:spacing w:val="-25"/>
        </w:rPr>
      </w:r>
      <w:r>
        <w:rPr/>
        <w:t>建设深入推进，这都将为建筑业加快发展提供广阔的市场空间。</w:t>
      </w:r>
    </w:p>
    <w:p>
      <w:pPr>
        <w:pStyle w:val="BodyText"/>
        <w:spacing w:line="237" w:lineRule="auto" w:before="1"/>
        <w:ind w:right="207" w:firstLine="419"/>
        <w:jc w:val="both"/>
      </w:pPr>
      <w:r>
        <w:rPr>
          <w:spacing w:val="-7"/>
        </w:rPr>
        <w:t>从全国经济宏观大势看，深化供给侧结构性改革、培育先进制造业集群必将对强水利、铁路、</w:t>
      </w:r>
      <w:r>
        <w:rPr>
          <w:w w:val="100"/>
        </w:rPr>
        <w:t> </w:t>
      </w:r>
      <w:r>
        <w:rPr>
          <w:spacing w:val="-6"/>
        </w:rPr>
        <w:t>公路、水运、航空、管道、城市交通、园林市政等基础设施建设提出新要求。 </w:t>
      </w:r>
      <w:r>
        <w:rPr>
          <w:spacing w:val="-12"/>
        </w:rPr>
        <w:t>“一带一路”、“京</w:t>
      </w:r>
      <w:r>
        <w:rPr>
          <w:spacing w:val="-95"/>
        </w:rPr>
        <w:t> </w:t>
      </w:r>
      <w:r>
        <w:rPr>
          <w:spacing w:val="-95"/>
        </w:rPr>
      </w:r>
      <w:r>
        <w:rPr>
          <w:spacing w:val="-2"/>
        </w:rPr>
        <w:t>津冀一体化”、“长江中游城市群”、“雄安新区”、“杭州湾大湾区”建设将继续为建筑业发</w:t>
      </w:r>
      <w:r>
        <w:rPr>
          <w:spacing w:val="-25"/>
        </w:rPr>
        <w:t> </w:t>
      </w:r>
      <w:r>
        <w:rPr>
          <w:spacing w:val="-25"/>
        </w:rPr>
      </w:r>
      <w:r>
        <w:rPr>
          <w:spacing w:val="-2"/>
        </w:rPr>
        <w:t>展提供广阔的市场空间。同时，新型城镇化的推进建设将更注重城市品质的提升和人居环境的优</w:t>
      </w:r>
      <w:r>
        <w:rPr>
          <w:spacing w:val="-25"/>
        </w:rPr>
        <w:t> </w:t>
      </w:r>
      <w:r>
        <w:rPr>
          <w:spacing w:val="-25"/>
        </w:rPr>
      </w:r>
      <w:r>
        <w:rPr>
          <w:spacing w:val="-6"/>
        </w:rPr>
        <w:t>化，“绿水青山就是金山银山”的理念深入人心，“海绵城市”、“智慧城市”、地下管廊建设、</w:t>
      </w:r>
      <w:r>
        <w:rPr>
          <w:spacing w:val="-53"/>
        </w:rPr>
        <w:t> </w:t>
      </w:r>
      <w:r>
        <w:rPr>
          <w:spacing w:val="-53"/>
        </w:rPr>
      </w:r>
      <w:r>
        <w:rPr/>
        <w:t>“互联网</w:t>
      </w:r>
      <w:r>
        <w:rPr>
          <w:rFonts w:ascii="宋体" w:hAnsi="宋体" w:cs="宋体" w:eastAsia="宋体" w:hint="default"/>
        </w:rPr>
        <w:t>+</w:t>
      </w:r>
      <w:r>
        <w:rPr/>
        <w:t>建筑”、绿色建筑、建筑产业化等新的建设领域和</w:t>
      </w:r>
      <w:r>
        <w:rPr>
          <w:spacing w:val="-56"/>
        </w:rPr>
        <w:t> </w:t>
      </w:r>
      <w:r>
        <w:rPr>
          <w:rFonts w:ascii="宋体" w:hAnsi="宋体" w:cs="宋体" w:eastAsia="宋体" w:hint="default"/>
        </w:rPr>
        <w:t>PPP</w:t>
      </w:r>
      <w:r>
        <w:rPr/>
        <w:t>、</w:t>
      </w:r>
      <w:r>
        <w:rPr>
          <w:rFonts w:ascii="宋体" w:hAnsi="宋体" w:cs="宋体" w:eastAsia="宋体" w:hint="default"/>
        </w:rPr>
        <w:t>EPC</w:t>
      </w:r>
      <w:r>
        <w:rPr>
          <w:rFonts w:ascii="宋体" w:hAnsi="宋体" w:cs="宋体" w:eastAsia="宋体" w:hint="default"/>
          <w:spacing w:val="-59"/>
        </w:rPr>
        <w:t> </w:t>
      </w:r>
      <w:r>
        <w:rPr/>
        <w:t>等业务模式对建筑企业的</w:t>
      </w:r>
      <w:r>
        <w:rPr>
          <w:w w:val="100"/>
        </w:rPr>
        <w:t> </w:t>
      </w:r>
      <w:r>
        <w:rPr/>
        <w:t>拓展方向、管理模式提出了新要求。</w:t>
      </w:r>
    </w:p>
    <w:p>
      <w:pPr>
        <w:pStyle w:val="BodyText"/>
        <w:spacing w:line="237" w:lineRule="auto"/>
        <w:ind w:right="208" w:firstLine="419"/>
        <w:jc w:val="both"/>
      </w:pPr>
      <w:r>
        <w:rPr>
          <w:spacing w:val="-2"/>
        </w:rPr>
        <w:t>建筑业转型升级和市场格局的变动既孕育机会，也充满挑战，供给侧改革和存量资源的优化</w:t>
      </w:r>
      <w:r>
        <w:rPr>
          <w:w w:val="100"/>
        </w:rPr>
        <w:t> </w:t>
      </w:r>
      <w:r>
        <w:rPr>
          <w:spacing w:val="-1"/>
        </w:rPr>
        <w:t>配置使业内传统企业竞争加剧。具备雄厚的资金实力和强大的融资能力、人才密集、管理先进、</w:t>
      </w:r>
      <w:r>
        <w:rPr>
          <w:spacing w:val="-55"/>
        </w:rPr>
        <w:t> </w:t>
      </w:r>
      <w:r>
        <w:rPr>
          <w:spacing w:val="-55"/>
        </w:rPr>
      </w:r>
      <w:r>
        <w:rPr>
          <w:spacing w:val="-1"/>
        </w:rPr>
        <w:t>技术领先、产业链完整，能够提供建设、运营、交付一体化综合服务，注重诚信和品牌建设的建</w:t>
      </w:r>
      <w:r>
        <w:rPr>
          <w:spacing w:val="-55"/>
        </w:rPr>
        <w:t> </w:t>
      </w:r>
      <w:r>
        <w:rPr>
          <w:spacing w:val="-55"/>
        </w:rPr>
      </w:r>
      <w:r>
        <w:rPr>
          <w:spacing w:val="-1"/>
        </w:rPr>
        <w:t>筑企业将具备较强的市场优势，占据高端建筑市场，大量技术含量低、资金实力薄弱、劳动力密</w:t>
      </w:r>
      <w:r>
        <w:rPr>
          <w:spacing w:val="-55"/>
        </w:rPr>
        <w:t> </w:t>
      </w:r>
      <w:r>
        <w:rPr>
          <w:spacing w:val="-55"/>
        </w:rPr>
      </w:r>
      <w:r>
        <w:rPr>
          <w:spacing w:val="-1"/>
        </w:rPr>
        <w:t>集、管理粗放的建筑企业市场空间将不断受到压缩。本公司具有完整的建筑业产业链，较强的经</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right="105"/>
        <w:jc w:val="left"/>
      </w:pPr>
      <w:r>
        <w:rPr>
          <w:spacing w:val="-1"/>
        </w:rPr>
        <w:t>营管理、资本运作和科技研发能力，属于区域市场行业龙头企业，在品牌、资本、业绩、走出去</w:t>
      </w:r>
      <w:r>
        <w:rPr>
          <w:spacing w:val="-56"/>
        </w:rPr>
        <w:t> </w:t>
      </w:r>
      <w:r>
        <w:rPr>
          <w:spacing w:val="-56"/>
        </w:rPr>
      </w:r>
      <w:r>
        <w:rPr/>
        <w:t>拓展等方面有明显的竞争优势。</w:t>
      </w:r>
    </w:p>
    <w:p>
      <w:pPr>
        <w:spacing w:line="240" w:lineRule="auto" w:before="11"/>
        <w:rPr>
          <w:rFonts w:ascii="宋体" w:hAnsi="宋体" w:cs="宋体" w:eastAsia="宋体" w:hint="default"/>
          <w:sz w:val="22"/>
          <w:szCs w:val="22"/>
        </w:rPr>
      </w:pPr>
    </w:p>
    <w:p>
      <w:pPr>
        <w:pStyle w:val="Heading3"/>
        <w:tabs>
          <w:tab w:pos="977" w:val="left" w:leader="none"/>
        </w:tabs>
        <w:spacing w:line="240" w:lineRule="auto" w:before="0"/>
        <w:ind w:left="138" w:right="10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40" w:lineRule="auto" w:before="56"/>
        <w:ind w:left="558" w:right="218" w:hanging="420"/>
        <w:jc w:val="left"/>
      </w:pPr>
      <w:r>
        <w:rPr/>
        <w:t>√适用</w:t>
        <w:tab/>
        <w:t>□不适用</w:t>
      </w:r>
      <w:r>
        <w:rPr>
          <w:w w:val="100"/>
        </w:rPr>
        <w:t> </w:t>
      </w:r>
      <w:r>
        <w:rPr>
          <w:spacing w:val="-2"/>
        </w:rPr>
        <w:t>公司将坚持以稳中求进为总基调、以深化改革为驱动，坚持产业结构优化、推进管理模式升</w:t>
      </w:r>
    </w:p>
    <w:p>
      <w:pPr>
        <w:pStyle w:val="BodyText"/>
        <w:spacing w:line="237" w:lineRule="auto"/>
        <w:ind w:right="204"/>
        <w:jc w:val="left"/>
      </w:pPr>
      <w:r>
        <w:rPr>
          <w:spacing w:val="-2"/>
        </w:rPr>
        <w:t>级、强化内控建设，坚定实施以房建和市政施工总承包为主体带动装饰、安装、城轨和园林等专</w:t>
      </w:r>
      <w:r>
        <w:rPr>
          <w:spacing w:val="-25"/>
        </w:rPr>
        <w:t> </w:t>
      </w:r>
      <w:r>
        <w:rPr>
          <w:spacing w:val="-25"/>
        </w:rPr>
      </w:r>
      <w:r>
        <w:rPr>
          <w:spacing w:val="-2"/>
        </w:rPr>
        <w:t>业承包，以专业设计和建筑产业化部品、构件制造及投资并购等外延扩展为两翼的“一体两翼”</w:t>
      </w:r>
      <w:r>
        <w:rPr>
          <w:spacing w:val="-25"/>
        </w:rPr>
        <w:t> </w:t>
      </w:r>
      <w:r>
        <w:rPr>
          <w:spacing w:val="-25"/>
        </w:rPr>
      </w:r>
      <w:r>
        <w:rPr>
          <w:spacing w:val="-6"/>
          <w:w w:val="100"/>
        </w:rPr>
        <w:t>发展战略，坚持推动总承包业务与专业承包业务两条腿走路，坚持实业经营与资本运作双轨发展。</w:t>
      </w:r>
      <w:r>
        <w:rPr>
          <w:w w:val="100"/>
        </w:rPr>
        <w:t> </w:t>
      </w:r>
      <w:r>
        <w:rPr>
          <w:spacing w:val="-4"/>
        </w:rPr>
        <w:t>密切关注一带一路，</w:t>
      </w:r>
      <w:r>
        <w:rPr>
          <w:rFonts w:ascii="宋体" w:hAnsi="宋体" w:cs="宋体" w:eastAsia="宋体" w:hint="default"/>
          <w:spacing w:val="-4"/>
        </w:rPr>
        <w:t>PPP </w:t>
      </w:r>
      <w:r>
        <w:rPr>
          <w:spacing w:val="-5"/>
        </w:rPr>
        <w:t>等国家鼓励、政策支持、发展前景广阔的业务市场，适时拓展海外业务。</w:t>
      </w:r>
      <w:r>
        <w:rPr>
          <w:spacing w:val="-97"/>
        </w:rPr>
        <w:t> </w:t>
      </w:r>
      <w:r>
        <w:rPr>
          <w:spacing w:val="-97"/>
        </w:rPr>
      </w:r>
      <w:r>
        <w:rPr>
          <w:spacing w:val="-6"/>
        </w:rPr>
        <w:t>通过努力，将公司打造成为综合集成高、专业竞争力强、区域布局合理的民营建筑区域龙头企业，</w:t>
      </w:r>
      <w:r>
        <w:rPr>
          <w:spacing w:val="-54"/>
        </w:rPr>
        <w:t> </w:t>
      </w:r>
      <w:r>
        <w:rPr>
          <w:spacing w:val="-54"/>
        </w:rPr>
      </w:r>
      <w:r>
        <w:rPr/>
        <w:t>进一步提高五大竞争能力：</w:t>
      </w:r>
      <w:r>
        <w:rPr>
          <w:w w:val="100"/>
        </w:rPr>
        <w:t> </w:t>
      </w:r>
      <w:r>
        <w:rPr>
          <w:spacing w:val="-2"/>
        </w:rPr>
        <w:t>通过加强技术创新，提高产业竞争力。即要通过承建高大难新项目，进行工程技术重点、难点的</w:t>
      </w:r>
      <w:r>
        <w:rPr>
          <w:spacing w:val="-25"/>
        </w:rPr>
        <w:t> </w:t>
      </w:r>
      <w:r>
        <w:rPr>
          <w:spacing w:val="-25"/>
        </w:rPr>
      </w:r>
      <w:r>
        <w:rPr>
          <w:spacing w:val="-2"/>
        </w:rPr>
        <w:t>攻关，强化科技创新奖励、加强技术交流总结，提升企业科技竞争力，多出科技成果、专利并推</w:t>
      </w:r>
      <w:r>
        <w:rPr>
          <w:spacing w:val="-25"/>
        </w:rPr>
        <w:t> </w:t>
      </w:r>
      <w:r>
        <w:rPr>
          <w:spacing w:val="-25"/>
        </w:rPr>
      </w:r>
      <w:r>
        <w:rPr/>
        <w:t>广应用。</w:t>
      </w:r>
    </w:p>
    <w:p>
      <w:pPr>
        <w:pStyle w:val="BodyText"/>
        <w:spacing w:line="237" w:lineRule="auto" w:before="1"/>
        <w:ind w:right="217" w:firstLine="419"/>
        <w:jc w:val="both"/>
      </w:pPr>
      <w:r>
        <w:rPr>
          <w:spacing w:val="-2"/>
        </w:rPr>
        <w:t>通过提升从业人员素质，加强人才竞争力。要强化人力资源管理能力，既要做好各类人才引</w:t>
      </w:r>
      <w:r>
        <w:rPr>
          <w:w w:val="100"/>
        </w:rPr>
        <w:t> </w:t>
      </w:r>
      <w:r>
        <w:rPr>
          <w:spacing w:val="-2"/>
        </w:rPr>
        <w:t>进，又要抓好人员的培训任用，并有效发挥企业文化的纽带作用，强化利益共同体，增强骨干人</w:t>
      </w:r>
      <w:r>
        <w:rPr>
          <w:spacing w:val="-25"/>
        </w:rPr>
        <w:t> </w:t>
      </w:r>
      <w:r>
        <w:rPr>
          <w:spacing w:val="-25"/>
        </w:rPr>
      </w:r>
      <w:r>
        <w:rPr>
          <w:spacing w:val="-2"/>
        </w:rPr>
        <w:t>员的凝聚力和向心力。要加强劳务用工管理，培育一批长期合作、业务能力好的务工队伍，同时</w:t>
      </w:r>
      <w:r>
        <w:rPr>
          <w:spacing w:val="-25"/>
        </w:rPr>
        <w:t> </w:t>
      </w:r>
      <w:r>
        <w:rPr>
          <w:spacing w:val="-25"/>
        </w:rPr>
      </w:r>
      <w:r>
        <w:rPr/>
        <w:t>积极组建和培养专业能力强、综合素质高的自有劳工队伍。</w:t>
      </w:r>
    </w:p>
    <w:p>
      <w:pPr>
        <w:pStyle w:val="BodyText"/>
        <w:spacing w:line="237" w:lineRule="auto" w:before="1"/>
        <w:ind w:right="217" w:firstLine="419"/>
        <w:jc w:val="both"/>
      </w:pPr>
      <w:r>
        <w:rPr>
          <w:spacing w:val="-2"/>
        </w:rPr>
        <w:t>通过优化产业结构，培育产业规模竞争力。继续做强房屋建筑及市政工程总承包能力，做大</w:t>
      </w:r>
      <w:r>
        <w:rPr>
          <w:w w:val="100"/>
        </w:rPr>
        <w:t> </w:t>
      </w:r>
      <w:r>
        <w:rPr>
          <w:spacing w:val="-2"/>
        </w:rPr>
        <w:t>总承包业务规模，创精品工程，出品牌队伍，加大力度拓展外地市场，推进外地市场区域化、本</w:t>
      </w:r>
      <w:r>
        <w:rPr>
          <w:spacing w:val="-25"/>
        </w:rPr>
        <w:t> </w:t>
      </w:r>
      <w:r>
        <w:rPr>
          <w:spacing w:val="-25"/>
        </w:rPr>
      </w:r>
      <w:r>
        <w:rPr>
          <w:spacing w:val="-2"/>
        </w:rPr>
        <w:t>地化管理。做精做细专业细分市场，充分发挥总承包业务的带动作用，重点扶持发展装修幕墙、</w:t>
      </w:r>
      <w:r>
        <w:rPr>
          <w:spacing w:val="-25"/>
        </w:rPr>
        <w:t> </w:t>
      </w:r>
      <w:r>
        <w:rPr>
          <w:spacing w:val="-25"/>
        </w:rPr>
      </w:r>
      <w:r>
        <w:rPr/>
        <w:t>安装、园林绿化、钢结构等专业业务的发展，提升企业整体盈利能力。</w:t>
      </w:r>
    </w:p>
    <w:p>
      <w:pPr>
        <w:pStyle w:val="BodyText"/>
        <w:spacing w:line="237" w:lineRule="auto" w:before="1"/>
        <w:ind w:right="217" w:firstLine="419"/>
        <w:jc w:val="both"/>
      </w:pPr>
      <w:r>
        <w:rPr>
          <w:spacing w:val="-2"/>
        </w:rPr>
        <w:t>通过管理创新和信息技术运用，强化管理竞争力。进一步强化现代企业治理，完善健全管理</w:t>
      </w:r>
      <w:r>
        <w:rPr>
          <w:w w:val="100"/>
        </w:rPr>
        <w:t> </w:t>
      </w:r>
      <w:r>
        <w:rPr>
          <w:spacing w:val="-2"/>
        </w:rPr>
        <w:t>制度，提升企业财务、工程建设的管控水平，尤其要借助企业信息化建设，实施管理流程优化，</w:t>
      </w:r>
      <w:r>
        <w:rPr>
          <w:spacing w:val="-25"/>
        </w:rPr>
        <w:t> </w:t>
      </w:r>
      <w:r>
        <w:rPr>
          <w:spacing w:val="-25"/>
        </w:rPr>
      </w:r>
      <w:r>
        <w:rPr>
          <w:spacing w:val="-2"/>
        </w:rPr>
        <w:t>谋求工程建设现场的集约化、精细化管理，提高企业信息传达的即时性、准确性，从而提升企业</w:t>
      </w:r>
      <w:r>
        <w:rPr>
          <w:spacing w:val="-25"/>
        </w:rPr>
        <w:t> </w:t>
      </w:r>
      <w:r>
        <w:rPr>
          <w:spacing w:val="-25"/>
        </w:rPr>
      </w:r>
      <w:r>
        <w:rPr/>
        <w:t>管理规范性、有效性。</w:t>
      </w:r>
    </w:p>
    <w:p>
      <w:pPr>
        <w:pStyle w:val="BodyText"/>
        <w:spacing w:line="237" w:lineRule="auto"/>
        <w:ind w:right="210" w:firstLine="419"/>
        <w:jc w:val="both"/>
      </w:pPr>
      <w:r>
        <w:rPr>
          <w:spacing w:val="-2"/>
        </w:rPr>
        <w:t>通过进一步优化资本结构，提升资本推动竞争力。要充分发挥多产业集群竞争优势和资金优</w:t>
      </w:r>
      <w:r>
        <w:rPr>
          <w:w w:val="100"/>
        </w:rPr>
        <w:t> </w:t>
      </w:r>
      <w:r>
        <w:rPr>
          <w:spacing w:val="-5"/>
        </w:rPr>
        <w:t>势，承接</w:t>
      </w:r>
      <w:r>
        <w:rPr>
          <w:spacing w:val="-24"/>
        </w:rPr>
        <w:t> </w:t>
      </w:r>
      <w:r>
        <w:rPr>
          <w:rFonts w:ascii="宋体" w:hAnsi="宋体" w:cs="宋体" w:eastAsia="宋体" w:hint="default"/>
          <w:spacing w:val="-3"/>
        </w:rPr>
        <w:t>EPC</w:t>
      </w:r>
      <w:r>
        <w:rPr>
          <w:spacing w:val="-3"/>
        </w:rPr>
        <w:t>、</w:t>
      </w:r>
      <w:r>
        <w:rPr>
          <w:rFonts w:ascii="宋体" w:hAnsi="宋体" w:cs="宋体" w:eastAsia="宋体" w:hint="default"/>
          <w:spacing w:val="-3"/>
        </w:rPr>
        <w:t>PPP</w:t>
      </w:r>
      <w:r>
        <w:rPr>
          <w:rFonts w:ascii="宋体" w:hAnsi="宋体" w:cs="宋体" w:eastAsia="宋体" w:hint="default"/>
          <w:spacing w:val="-21"/>
        </w:rPr>
        <w:t> </w:t>
      </w:r>
      <w:r>
        <w:rPr>
          <w:spacing w:val="-4"/>
        </w:rPr>
        <w:t>项目，提升建筑产业发展形态，形成差异化竞争能力。条件成熟情况下，实施</w:t>
      </w:r>
      <w:r>
        <w:rPr>
          <w:spacing w:val="-93"/>
        </w:rPr>
        <w:t> </w:t>
      </w:r>
      <w:r>
        <w:rPr>
          <w:spacing w:val="-93"/>
        </w:rPr>
      </w:r>
      <w:r>
        <w:rPr/>
        <w:t>产业并购重组，拓展其他专业业务竞争力，进一步增强整体竞争优势，提升公司盈利水平。</w:t>
      </w:r>
    </w:p>
    <w:p>
      <w:pPr>
        <w:spacing w:line="240" w:lineRule="auto" w:before="11"/>
        <w:rPr>
          <w:rFonts w:ascii="宋体" w:hAnsi="宋体" w:cs="宋体" w:eastAsia="宋体" w:hint="default"/>
          <w:sz w:val="22"/>
          <w:szCs w:val="22"/>
        </w:rPr>
      </w:pPr>
    </w:p>
    <w:p>
      <w:pPr>
        <w:pStyle w:val="Heading3"/>
        <w:tabs>
          <w:tab w:pos="977" w:val="left" w:leader="none"/>
        </w:tabs>
        <w:spacing w:line="240" w:lineRule="auto" w:before="0"/>
        <w:ind w:left="138" w:right="105"/>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3" w:lineRule="exact" w:before="58"/>
        <w:ind w:right="105"/>
        <w:jc w:val="left"/>
      </w:pPr>
      <w:r>
        <w:rPr/>
        <w:t>√适用</w:t>
        <w:tab/>
        <w:t>□不适用</w:t>
      </w:r>
    </w:p>
    <w:p>
      <w:pPr>
        <w:pStyle w:val="BodyText"/>
        <w:spacing w:line="237" w:lineRule="auto"/>
        <w:ind w:right="105" w:firstLine="419"/>
        <w:jc w:val="left"/>
      </w:pPr>
      <w:r>
        <w:rPr>
          <w:rFonts w:ascii="宋体" w:hAnsi="宋体" w:cs="宋体" w:eastAsia="宋体" w:hint="default"/>
        </w:rPr>
        <w:t>2018</w:t>
      </w:r>
      <w:r>
        <w:rPr>
          <w:rFonts w:ascii="宋体" w:hAnsi="宋体" w:cs="宋体" w:eastAsia="宋体" w:hint="default"/>
          <w:spacing w:val="-10"/>
        </w:rPr>
        <w:t> </w:t>
      </w:r>
      <w:r>
        <w:rPr/>
        <w:t>年公司将全面贯彻党的十九大精神，牢固树立新发展理念，紧扣高质量发展目标要求，</w:t>
      </w:r>
      <w:r>
        <w:rPr>
          <w:w w:val="100"/>
        </w:rPr>
        <w:t> </w:t>
      </w:r>
      <w:r>
        <w:rPr>
          <w:spacing w:val="-6"/>
        </w:rPr>
        <w:t>坚持稳中求进工作总基调；做强做优总承包主业，努力开拓工业化版块，扶持发展勘察设计版块；</w:t>
      </w:r>
      <w:r>
        <w:rPr>
          <w:spacing w:val="-54"/>
        </w:rPr>
        <w:t> </w:t>
      </w:r>
      <w:r>
        <w:rPr>
          <w:spacing w:val="-54"/>
        </w:rPr>
      </w:r>
      <w:r>
        <w:rPr/>
        <w:t>坚持转型升级发展方向，大力推动人才强企战略，稳健推进并购重组；全面完善企业管控体系，</w:t>
      </w:r>
      <w:r>
        <w:rPr>
          <w:w w:val="100"/>
        </w:rPr>
        <w:t> </w:t>
      </w:r>
      <w:r>
        <w:rPr/>
        <w:t>减支增效，推动企业平稳健康高质量发展。</w:t>
      </w:r>
    </w:p>
    <w:p>
      <w:pPr>
        <w:pStyle w:val="BodyText"/>
        <w:spacing w:line="271" w:lineRule="exact"/>
        <w:ind w:left="558" w:right="105"/>
        <w:jc w:val="left"/>
      </w:pPr>
      <w:r>
        <w:rPr>
          <w:rFonts w:ascii="宋体" w:hAnsi="宋体" w:cs="宋体" w:eastAsia="宋体" w:hint="default"/>
        </w:rPr>
        <w:t>1</w:t>
      </w:r>
      <w:r>
        <w:rPr/>
        <w:t>、提升发展质量，做强做优总承包主业</w:t>
      </w:r>
    </w:p>
    <w:p>
      <w:pPr>
        <w:pStyle w:val="BodyText"/>
        <w:spacing w:line="237" w:lineRule="auto" w:before="2"/>
        <w:ind w:right="208" w:firstLine="419"/>
        <w:jc w:val="both"/>
      </w:pPr>
      <w:r>
        <w:rPr>
          <w:spacing w:val="-4"/>
        </w:rPr>
        <w:t>（</w:t>
      </w:r>
      <w:r>
        <w:rPr>
          <w:rFonts w:ascii="宋体" w:hAnsi="宋体" w:cs="宋体" w:eastAsia="宋体" w:hint="default"/>
          <w:spacing w:val="-4"/>
        </w:rPr>
        <w:t>1</w:t>
      </w:r>
      <w:r>
        <w:rPr>
          <w:spacing w:val="-4"/>
        </w:rPr>
        <w:t>）支持建工集团加强成本管理，切实推进健康稳定发展。建工集团要推动从项目成本管理</w:t>
      </w:r>
      <w:r>
        <w:rPr>
          <w:w w:val="100"/>
        </w:rPr>
        <w:t> </w:t>
      </w:r>
      <w:r>
        <w:rPr>
          <w:spacing w:val="-6"/>
        </w:rPr>
        <w:t>向全过程成本管理的精细化模式转变。同时建立重大项目会审制度，重点对项目性质、合作伙伴、</w:t>
      </w:r>
      <w:r>
        <w:rPr>
          <w:spacing w:val="-54"/>
        </w:rPr>
        <w:t> </w:t>
      </w:r>
      <w:r>
        <w:rPr>
          <w:spacing w:val="-54"/>
        </w:rPr>
      </w:r>
      <w:r>
        <w:rPr/>
        <w:t>资信水平、盈利能力等进行跟踪把控，从经营源头提升项目品质和效益。</w:t>
      </w:r>
    </w:p>
    <w:p>
      <w:pPr>
        <w:pStyle w:val="BodyText"/>
        <w:spacing w:line="274" w:lineRule="exact" w:before="22"/>
        <w:ind w:right="208" w:firstLine="419"/>
        <w:jc w:val="both"/>
      </w:pPr>
      <w:r>
        <w:rPr>
          <w:spacing w:val="-4"/>
        </w:rPr>
        <w:t>（</w:t>
      </w:r>
      <w:r>
        <w:rPr>
          <w:rFonts w:ascii="宋体" w:hAnsi="宋体" w:cs="宋体" w:eastAsia="宋体" w:hint="default"/>
          <w:spacing w:val="-4"/>
        </w:rPr>
        <w:t>2</w:t>
      </w:r>
      <w:r>
        <w:rPr>
          <w:spacing w:val="-4"/>
        </w:rPr>
        <w:t>）支持市政集团继续加强市场开拓，争取规模和盈利同步做大。充分利用企业的资信、资</w:t>
      </w:r>
      <w:r>
        <w:rPr>
          <w:w w:val="100"/>
        </w:rPr>
        <w:t> </w:t>
      </w:r>
      <w:r>
        <w:rPr/>
        <w:t>金、资质平台优势，加大推动政府市场再发力，市外、省外市场再开拓。</w:t>
      </w:r>
    </w:p>
    <w:p>
      <w:pPr>
        <w:pStyle w:val="BodyText"/>
        <w:spacing w:line="245" w:lineRule="exact"/>
        <w:ind w:right="0" w:firstLine="419"/>
        <w:jc w:val="both"/>
      </w:pPr>
      <w:r>
        <w:rPr>
          <w:spacing w:val="-4"/>
        </w:rPr>
        <w:t>（</w:t>
      </w:r>
      <w:r>
        <w:rPr>
          <w:rFonts w:ascii="宋体" w:hAnsi="宋体" w:cs="宋体" w:eastAsia="宋体" w:hint="default"/>
          <w:spacing w:val="-4"/>
        </w:rPr>
        <w:t>3</w:t>
      </w:r>
      <w:r>
        <w:rPr>
          <w:spacing w:val="-4"/>
        </w:rPr>
        <w:t>）支持建工建乐强化核心竞争能力，积极启动升特准备工作。充分发挥建工建乐和建乐装</w:t>
      </w:r>
    </w:p>
    <w:p>
      <w:pPr>
        <w:pStyle w:val="BodyText"/>
        <w:spacing w:line="272" w:lineRule="exact" w:before="27"/>
        <w:ind w:right="105"/>
        <w:jc w:val="left"/>
      </w:pPr>
      <w:r>
        <w:rPr>
          <w:spacing w:val="-2"/>
        </w:rPr>
        <w:t>潢整合重组的资源优势，继续打造提升新的“建工建乐”名片。同时，抓住机遇积极研究推进房</w:t>
      </w:r>
      <w:r>
        <w:rPr>
          <w:spacing w:val="-25"/>
        </w:rPr>
        <w:t> </w:t>
      </w:r>
      <w:r>
        <w:rPr>
          <w:spacing w:val="-25"/>
        </w:rPr>
      </w:r>
      <w:r>
        <w:rPr/>
        <w:t>屋建筑工程总承包特级资质申报准备工作，争取在今明两年实现企业资质晋升。</w:t>
      </w:r>
    </w:p>
    <w:p>
      <w:pPr>
        <w:pStyle w:val="BodyText"/>
        <w:spacing w:line="247" w:lineRule="exact"/>
        <w:ind w:left="558" w:right="105"/>
        <w:jc w:val="left"/>
      </w:pPr>
      <w:r>
        <w:rPr>
          <w:rFonts w:ascii="宋体" w:hAnsi="宋体" w:cs="宋体" w:eastAsia="宋体" w:hint="default"/>
        </w:rPr>
        <w:t>2</w:t>
      </w:r>
      <w:r>
        <w:rPr/>
        <w:t>、抢抓发展机遇，凝心聚力开拓工业化版块</w:t>
      </w:r>
    </w:p>
    <w:p>
      <w:pPr>
        <w:pStyle w:val="BodyText"/>
        <w:spacing w:line="237" w:lineRule="auto" w:before="1"/>
        <w:ind w:right="210" w:firstLine="419"/>
        <w:jc w:val="both"/>
      </w:pPr>
      <w:r>
        <w:rPr>
          <w:spacing w:val="-9"/>
          <w:w w:val="100"/>
        </w:rPr>
        <w:t>（</w:t>
      </w:r>
      <w:r>
        <w:rPr>
          <w:rFonts w:ascii="宋体" w:hAnsi="宋体" w:cs="宋体" w:eastAsia="宋体" w:hint="default"/>
          <w:spacing w:val="-9"/>
          <w:w w:val="100"/>
        </w:rPr>
        <w:t>1</w:t>
      </w:r>
      <w:r>
        <w:rPr>
          <w:spacing w:val="-9"/>
          <w:w w:val="100"/>
        </w:rPr>
        <w:t>）支持广天构件公司强化科技引领，不断培育新的盈利点。推动余姚建筑工业化基地建设，</w:t>
      </w:r>
      <w:r>
        <w:rPr>
          <w:w w:val="100"/>
        </w:rPr>
        <w:t> </w:t>
      </w:r>
      <w:r>
        <w:rPr>
          <w:spacing w:val="-2"/>
        </w:rPr>
        <w:t>优化企业市场布局，做到本地各区域市场的有效覆盖。围绕绿色建筑、建筑工业化和轨道交通建</w:t>
      </w:r>
      <w:r>
        <w:rPr>
          <w:spacing w:val="-25"/>
        </w:rPr>
        <w:t> </w:t>
      </w:r>
      <w:r>
        <w:rPr>
          <w:spacing w:val="-25"/>
        </w:rPr>
      </w:r>
      <w:r>
        <w:rPr/>
        <w:t>设等重点领域，统筹推进关键技术和设备的研发、制造和推广应用。</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208" w:firstLine="419"/>
        <w:jc w:val="both"/>
      </w:pPr>
      <w:r>
        <w:rPr>
          <w:spacing w:val="-4"/>
        </w:rPr>
        <w:t>（</w:t>
      </w:r>
      <w:r>
        <w:rPr>
          <w:rFonts w:ascii="宋体" w:hAnsi="宋体" w:cs="宋体" w:eastAsia="宋体" w:hint="default"/>
          <w:spacing w:val="-4"/>
        </w:rPr>
        <w:t>2</w:t>
      </w:r>
      <w:r>
        <w:rPr>
          <w:spacing w:val="-4"/>
        </w:rPr>
        <w:t>）支持普利凯公司加快发展脚步，继续保持市内领先地位。围绕宁海建筑工业化基地的全</w:t>
      </w:r>
      <w:r>
        <w:rPr>
          <w:w w:val="100"/>
        </w:rPr>
        <w:t> </w:t>
      </w:r>
      <w:r>
        <w:rPr>
          <w:spacing w:val="-6"/>
        </w:rPr>
        <w:t>面建成投产，继续加强本地市场保有量，充分利用全国首批“装配式建筑产业基地”的先行优势，</w:t>
      </w:r>
      <w:r>
        <w:rPr>
          <w:spacing w:val="-52"/>
        </w:rPr>
        <w:t> </w:t>
      </w:r>
      <w:r>
        <w:rPr>
          <w:spacing w:val="-52"/>
        </w:rPr>
      </w:r>
      <w:r>
        <w:rPr/>
        <w:t>积极打造普利凯优质品牌。</w:t>
      </w:r>
    </w:p>
    <w:p>
      <w:pPr>
        <w:pStyle w:val="BodyText"/>
        <w:spacing w:line="272" w:lineRule="exact"/>
        <w:ind w:left="558" w:right="105"/>
        <w:jc w:val="left"/>
      </w:pPr>
      <w:r>
        <w:rPr>
          <w:rFonts w:ascii="宋体" w:hAnsi="宋体" w:cs="宋体" w:eastAsia="宋体" w:hint="default"/>
        </w:rPr>
        <w:t>3</w:t>
      </w:r>
      <w:r>
        <w:rPr/>
        <w:t>、整合资源提升勘察设计发展水平</w:t>
      </w:r>
    </w:p>
    <w:p>
      <w:pPr>
        <w:pStyle w:val="BodyText"/>
        <w:spacing w:line="237" w:lineRule="auto"/>
        <w:ind w:right="208" w:firstLine="419"/>
        <w:jc w:val="both"/>
      </w:pPr>
      <w:r>
        <w:rPr>
          <w:spacing w:val="-4"/>
        </w:rPr>
        <w:t>（</w:t>
      </w:r>
      <w:r>
        <w:rPr>
          <w:rFonts w:ascii="宋体" w:hAnsi="宋体" w:cs="宋体" w:eastAsia="宋体" w:hint="default"/>
          <w:spacing w:val="-4"/>
        </w:rPr>
        <w:t>1</w:t>
      </w:r>
      <w:r>
        <w:rPr>
          <w:spacing w:val="-4"/>
        </w:rPr>
        <w:t>）鼓励宁冶勘推进技术创新，努力开拓高端市场。传统勘察业务外，宁冶勘要大力发展岩</w:t>
      </w:r>
      <w:r>
        <w:rPr>
          <w:w w:val="100"/>
        </w:rPr>
        <w:t> </w:t>
      </w:r>
      <w:r>
        <w:rPr>
          <w:spacing w:val="-2"/>
        </w:rPr>
        <w:t>土工程、物探、房屋安全鉴定和治理、地下管廊、环境、地热、水资源、土壤治理等新兴业务，</w:t>
      </w:r>
      <w:r>
        <w:rPr>
          <w:spacing w:val="-25"/>
        </w:rPr>
        <w:t> </w:t>
      </w:r>
      <w:r>
        <w:rPr>
          <w:spacing w:val="-25"/>
        </w:rPr>
      </w:r>
      <w:r>
        <w:rPr>
          <w:spacing w:val="-2"/>
        </w:rPr>
        <w:t>把发展新兴业务作为突破发展瓶颈的重大战略任务来抓，拓展可持续发展的真正源泉和动力，实</w:t>
      </w:r>
      <w:r>
        <w:rPr>
          <w:spacing w:val="-25"/>
        </w:rPr>
        <w:t> </w:t>
      </w:r>
      <w:r>
        <w:rPr>
          <w:spacing w:val="-25"/>
        </w:rPr>
      </w:r>
      <w:r>
        <w:rPr/>
        <w:t>现高质量发展。</w:t>
      </w:r>
    </w:p>
    <w:p>
      <w:pPr>
        <w:pStyle w:val="BodyText"/>
        <w:spacing w:line="274" w:lineRule="exact" w:before="22"/>
        <w:ind w:right="208" w:firstLine="419"/>
        <w:jc w:val="both"/>
      </w:pPr>
      <w:r>
        <w:rPr>
          <w:spacing w:val="-4"/>
        </w:rPr>
        <w:t>（</w:t>
      </w:r>
      <w:r>
        <w:rPr>
          <w:rFonts w:ascii="宋体" w:hAnsi="宋体" w:cs="宋体" w:eastAsia="宋体" w:hint="default"/>
          <w:spacing w:val="-4"/>
        </w:rPr>
        <w:t>2</w:t>
      </w:r>
      <w:r>
        <w:rPr>
          <w:spacing w:val="-4"/>
        </w:rPr>
        <w:t>）鼓励明州院提升专业服务水平，打造自身特色能力。积极适应设计市场和竞争环境的变</w:t>
      </w:r>
      <w:r>
        <w:rPr>
          <w:w w:val="100"/>
        </w:rPr>
        <w:t> </w:t>
      </w:r>
      <w:r>
        <w:rPr/>
        <w:t>化，灵活转变经营思路，充分发挥联合团队专项技术优势增强市场竞争能力。</w:t>
      </w:r>
    </w:p>
    <w:p>
      <w:pPr>
        <w:pStyle w:val="BodyText"/>
        <w:spacing w:line="245" w:lineRule="exact"/>
        <w:ind w:left="558" w:right="105"/>
        <w:jc w:val="left"/>
      </w:pPr>
      <w:r>
        <w:rPr>
          <w:rFonts w:ascii="宋体" w:hAnsi="宋体" w:cs="宋体" w:eastAsia="宋体" w:hint="default"/>
        </w:rPr>
        <w:t>4</w:t>
      </w:r>
      <w:r>
        <w:rPr/>
        <w:t>、审慎把握机遇，稳健推进并购重组</w:t>
      </w:r>
    </w:p>
    <w:p>
      <w:pPr>
        <w:pStyle w:val="BodyText"/>
        <w:spacing w:line="237" w:lineRule="auto" w:before="2"/>
        <w:ind w:right="217" w:firstLine="419"/>
        <w:jc w:val="both"/>
      </w:pPr>
      <w:r>
        <w:rPr>
          <w:spacing w:val="-2"/>
        </w:rPr>
        <w:t>聚焦中西部开发、国企混改等机会积极寻求企业转型升级及走出去发展的可行路径，开拓和</w:t>
      </w:r>
      <w:r>
        <w:rPr>
          <w:w w:val="100"/>
        </w:rPr>
        <w:t> </w:t>
      </w:r>
      <w:r>
        <w:rPr>
          <w:spacing w:val="-2"/>
        </w:rPr>
        <w:t>培养新的业务增长点。积极利用资本市场稳健推进企业转型发展，坚定实施生产经营和资本经营</w:t>
      </w:r>
      <w:r>
        <w:rPr>
          <w:spacing w:val="-25"/>
        </w:rPr>
        <w:t> </w:t>
      </w:r>
      <w:r>
        <w:rPr>
          <w:spacing w:val="-25"/>
        </w:rPr>
      </w:r>
      <w:r>
        <w:rPr/>
        <w:t>两条腿走路的发展战略。</w:t>
      </w:r>
    </w:p>
    <w:p>
      <w:pPr>
        <w:pStyle w:val="BodyText"/>
        <w:spacing w:line="274" w:lineRule="exact" w:before="22"/>
        <w:ind w:left="558" w:right="105"/>
        <w:jc w:val="left"/>
      </w:pPr>
      <w:r>
        <w:rPr>
          <w:rFonts w:ascii="宋体" w:hAnsi="宋体" w:cs="宋体" w:eastAsia="宋体" w:hint="default"/>
        </w:rPr>
        <w:t>5</w:t>
      </w:r>
      <w:r>
        <w:rPr/>
        <w:t>、紧扣转型升级发展方向，推动人才强企</w:t>
      </w:r>
      <w:r>
        <w:rPr>
          <w:w w:val="100"/>
        </w:rPr>
        <w:t> </w:t>
      </w:r>
      <w:r>
        <w:rPr>
          <w:spacing w:val="-2"/>
        </w:rPr>
        <w:t>着眼企业长远稳定高质量发展，大力推动人才强企战略，逐步打造和培养好品牌项目经理、</w:t>
      </w:r>
    </w:p>
    <w:p>
      <w:pPr>
        <w:pStyle w:val="BodyText"/>
        <w:spacing w:line="245" w:lineRule="exact"/>
        <w:ind w:right="105"/>
        <w:jc w:val="left"/>
      </w:pPr>
      <w:r>
        <w:rPr/>
        <w:t>专业领军人物、优秀干部队伍和高校毕业生四支人才队伍。</w:t>
      </w:r>
    </w:p>
    <w:p>
      <w:pPr>
        <w:pStyle w:val="BodyText"/>
        <w:spacing w:line="272" w:lineRule="exact"/>
        <w:ind w:left="558" w:right="105"/>
        <w:jc w:val="left"/>
      </w:pPr>
      <w:r>
        <w:rPr>
          <w:rFonts w:ascii="宋体" w:hAnsi="宋体" w:cs="宋体" w:eastAsia="宋体" w:hint="default"/>
        </w:rPr>
        <w:t>6</w:t>
      </w:r>
      <w:r>
        <w:rPr/>
        <w:t>、提高发展质量，完善企业管控体系</w:t>
      </w:r>
    </w:p>
    <w:p>
      <w:pPr>
        <w:pStyle w:val="BodyText"/>
        <w:spacing w:line="272" w:lineRule="exact" w:before="26"/>
        <w:ind w:right="208" w:firstLine="419"/>
        <w:jc w:val="both"/>
      </w:pPr>
      <w:r>
        <w:rPr>
          <w:spacing w:val="-4"/>
        </w:rPr>
        <w:t>（</w:t>
      </w:r>
      <w:r>
        <w:rPr>
          <w:rFonts w:ascii="宋体" w:hAnsi="宋体" w:cs="宋体" w:eastAsia="宋体" w:hint="default"/>
          <w:spacing w:val="-4"/>
        </w:rPr>
        <w:t>1</w:t>
      </w:r>
      <w:r>
        <w:rPr>
          <w:spacing w:val="-4"/>
        </w:rPr>
        <w:t>）推进预算管理，加强企业财务与成本管控。全面落实从子公司本级到分公司、项目部的</w:t>
      </w:r>
      <w:r>
        <w:rPr>
          <w:w w:val="100"/>
        </w:rPr>
        <w:t> </w:t>
      </w:r>
      <w:r>
        <w:rPr/>
        <w:t>预算管理体系，完善三级单位财务负责人管理办法。</w:t>
      </w:r>
    </w:p>
    <w:p>
      <w:pPr>
        <w:pStyle w:val="BodyText"/>
        <w:spacing w:line="272" w:lineRule="exact" w:before="1"/>
        <w:ind w:right="105" w:firstLine="419"/>
        <w:jc w:val="left"/>
      </w:pPr>
      <w:r>
        <w:rPr>
          <w:spacing w:val="-2"/>
        </w:rPr>
        <w:t>（</w:t>
      </w:r>
      <w:r>
        <w:rPr>
          <w:rFonts w:ascii="宋体" w:hAnsi="宋体" w:cs="宋体" w:eastAsia="宋体" w:hint="default"/>
          <w:spacing w:val="-2"/>
        </w:rPr>
        <w:t>2</w:t>
      </w:r>
      <w:r>
        <w:rPr>
          <w:spacing w:val="-2"/>
        </w:rPr>
        <w:t>）加强企业党建与文化引领。企业各级党组织贯彻落实好各项民营企业党建方针、政策，</w:t>
      </w:r>
      <w:r>
        <w:rPr>
          <w:w w:val="100"/>
        </w:rPr>
        <w:t> </w:t>
      </w:r>
      <w:r>
        <w:rPr/>
        <w:t>牢固树立“党建也是生产力”理念，夯实基层基础，为企业高质量发展营造良好环境。</w:t>
      </w:r>
    </w:p>
    <w:p>
      <w:pPr>
        <w:spacing w:line="240" w:lineRule="auto" w:before="2"/>
        <w:rPr>
          <w:rFonts w:ascii="宋体" w:hAnsi="宋体" w:cs="宋体" w:eastAsia="宋体" w:hint="default"/>
          <w:sz w:val="21"/>
          <w:szCs w:val="21"/>
        </w:rPr>
      </w:pPr>
    </w:p>
    <w:p>
      <w:pPr>
        <w:pStyle w:val="Heading3"/>
        <w:tabs>
          <w:tab w:pos="977" w:val="left" w:leader="none"/>
        </w:tabs>
        <w:spacing w:line="240" w:lineRule="auto" w:before="0"/>
        <w:ind w:left="138" w:right="10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80" w:val="left" w:leader="none"/>
        </w:tabs>
        <w:spacing w:line="272" w:lineRule="exact" w:before="84"/>
        <w:ind w:left="558" w:right="213" w:hanging="420"/>
        <w:jc w:val="left"/>
      </w:pPr>
      <w:r>
        <w:rPr/>
        <w:t>√适用</w:t>
        <w:tab/>
        <w:t>□不适用</w:t>
      </w:r>
      <w:r>
        <w:rPr>
          <w:w w:val="100"/>
        </w:rPr>
        <w:t> </w:t>
      </w:r>
      <w:r>
        <w:rPr>
          <w:rFonts w:ascii="宋体" w:hAnsi="宋体" w:cs="宋体" w:eastAsia="宋体" w:hint="default"/>
          <w:spacing w:val="-4"/>
        </w:rPr>
        <w:t>1</w:t>
      </w:r>
      <w:r>
        <w:rPr>
          <w:spacing w:val="-4"/>
        </w:rPr>
        <w:t>、宏观经济波动引致的风险。建筑业的发展与国民经济的景气度有很强的关联性，受固定资</w:t>
      </w:r>
    </w:p>
    <w:p>
      <w:pPr>
        <w:pStyle w:val="BodyText"/>
        <w:spacing w:line="272" w:lineRule="exact" w:before="1"/>
        <w:ind w:right="105"/>
        <w:jc w:val="left"/>
      </w:pPr>
      <w:r>
        <w:rPr>
          <w:spacing w:val="-2"/>
        </w:rPr>
        <w:t>产投资规模、城市化进程及其节奏、房产调控等宏观经济因素的影响重大。公司将密切关注宏观</w:t>
      </w:r>
      <w:r>
        <w:rPr>
          <w:spacing w:val="-25"/>
        </w:rPr>
        <w:t> </w:t>
      </w:r>
      <w:r>
        <w:rPr>
          <w:spacing w:val="-25"/>
        </w:rPr>
      </w:r>
      <w:r>
        <w:rPr/>
        <w:t>经济运行及国家相关政策的变化，优化业务版块，调整公司经营策略，控制风险。</w:t>
      </w:r>
    </w:p>
    <w:p>
      <w:pPr>
        <w:pStyle w:val="BodyText"/>
        <w:spacing w:line="272" w:lineRule="exact" w:before="1"/>
        <w:ind w:right="208" w:firstLine="419"/>
        <w:jc w:val="both"/>
      </w:pPr>
      <w:r>
        <w:rPr>
          <w:rFonts w:ascii="宋体" w:hAnsi="宋体" w:cs="宋体" w:eastAsia="宋体" w:hint="default"/>
          <w:spacing w:val="-4"/>
        </w:rPr>
        <w:t>2</w:t>
      </w:r>
      <w:r>
        <w:rPr>
          <w:spacing w:val="-4"/>
        </w:rPr>
        <w:t>、应收账款风险。公司应收账款越多，与之相应的款项回收风险越大，尤其在当前房地产市</w:t>
      </w:r>
      <w:r>
        <w:rPr>
          <w:w w:val="100"/>
        </w:rPr>
        <w:t> </w:t>
      </w:r>
      <w:r>
        <w:rPr>
          <w:spacing w:val="-2"/>
        </w:rPr>
        <w:t>场低迷的情况下，房屋销售状况不佳导致房产开发单位工程款支付滞后及形成应收账款坏账的风</w:t>
      </w:r>
    </w:p>
    <w:p>
      <w:pPr>
        <w:pStyle w:val="BodyText"/>
        <w:spacing w:line="272" w:lineRule="exact" w:before="1"/>
        <w:ind w:right="105"/>
        <w:jc w:val="left"/>
      </w:pPr>
      <w:r>
        <w:rPr>
          <w:spacing w:val="-2"/>
        </w:rPr>
        <w:t>险加大。公司将强化应收款整体性管控，增强工程款核算、申报、回收及反馈的针对性，提升应</w:t>
      </w:r>
      <w:r>
        <w:rPr>
          <w:spacing w:val="-25"/>
        </w:rPr>
        <w:t> </w:t>
      </w:r>
      <w:r>
        <w:rPr>
          <w:spacing w:val="-25"/>
        </w:rPr>
      </w:r>
      <w:r>
        <w:rPr/>
        <w:t>收账款管理水平，确保企业应收账款在合理的范围内。</w:t>
      </w:r>
    </w:p>
    <w:p>
      <w:pPr>
        <w:pStyle w:val="BodyText"/>
        <w:spacing w:line="272" w:lineRule="exact" w:before="1"/>
        <w:ind w:right="208" w:firstLine="419"/>
        <w:jc w:val="both"/>
      </w:pPr>
      <w:r>
        <w:rPr>
          <w:rFonts w:ascii="宋体" w:hAnsi="宋体" w:cs="宋体" w:eastAsia="宋体" w:hint="default"/>
          <w:spacing w:val="-4"/>
        </w:rPr>
        <w:t>3</w:t>
      </w:r>
      <w:r>
        <w:rPr>
          <w:spacing w:val="-4"/>
        </w:rPr>
        <w:t>、原材料价格波动风险。建筑施工企业的原材料为钢材、水泥、电缆、木材、砂石料等，建</w:t>
      </w:r>
      <w:r>
        <w:rPr>
          <w:w w:val="100"/>
        </w:rPr>
        <w:t> </w:t>
      </w:r>
      <w:r>
        <w:rPr>
          <w:spacing w:val="-2"/>
        </w:rPr>
        <w:t>筑材料的价格波动一直受到国家宏观经济周期性变化的影响。工程施工周期较长，施工期内主要</w:t>
      </w:r>
    </w:p>
    <w:p>
      <w:pPr>
        <w:pStyle w:val="BodyText"/>
        <w:spacing w:line="272" w:lineRule="exact" w:before="1"/>
        <w:ind w:right="105"/>
        <w:jc w:val="left"/>
      </w:pPr>
      <w:r>
        <w:rPr>
          <w:spacing w:val="-2"/>
        </w:rPr>
        <w:t>原材料的价格上涨将直接导致施工成本的增加。公司将继续完善主材集供体系和成本控制体系，</w:t>
      </w:r>
      <w:r>
        <w:rPr>
          <w:spacing w:val="-25"/>
        </w:rPr>
        <w:t> </w:t>
      </w:r>
      <w:r>
        <w:rPr>
          <w:spacing w:val="-25"/>
        </w:rPr>
      </w:r>
      <w:r>
        <w:rPr>
          <w:spacing w:val="-2"/>
        </w:rPr>
        <w:t>推进预算管理和成本合约管理，建立成本费用预警和重大风险点防控机制，不断提高公司主要材</w:t>
      </w:r>
    </w:p>
    <w:p>
      <w:pPr>
        <w:pStyle w:val="BodyText"/>
        <w:spacing w:line="272" w:lineRule="exact" w:before="2"/>
        <w:ind w:left="558" w:right="105" w:hanging="420"/>
        <w:jc w:val="left"/>
      </w:pPr>
      <w:r>
        <w:rPr/>
        <w:t>料成本管理水平。</w:t>
      </w:r>
      <w:r>
        <w:rPr>
          <w:w w:val="100"/>
        </w:rPr>
        <w:t> </w:t>
      </w:r>
      <w:r>
        <w:rPr>
          <w:rFonts w:ascii="宋体" w:hAnsi="宋体" w:cs="宋体" w:eastAsia="宋体" w:hint="default"/>
          <w:spacing w:val="-9"/>
          <w:w w:val="100"/>
        </w:rPr>
        <w:t>4</w:t>
      </w:r>
      <w:r>
        <w:rPr>
          <w:spacing w:val="-9"/>
          <w:w w:val="100"/>
        </w:rPr>
        <w:t>、市场拓展风险。随着宁波城市化率的逐年提高和建筑设施的完善，本地建筑市场增长放缓，</w:t>
      </w:r>
    </w:p>
    <w:p>
      <w:pPr>
        <w:pStyle w:val="BodyText"/>
        <w:spacing w:line="272" w:lineRule="exact" w:before="1"/>
        <w:ind w:right="105"/>
        <w:jc w:val="left"/>
      </w:pPr>
      <w:r>
        <w:rPr>
          <w:spacing w:val="-2"/>
        </w:rPr>
        <w:t>公司虽然已经实施了外地拓展战略，但仍可能面临部分外地市场业务无法持续开展，难以形成稳</w:t>
      </w:r>
      <w:r>
        <w:rPr>
          <w:spacing w:val="-25"/>
        </w:rPr>
        <w:t> </w:t>
      </w:r>
      <w:r>
        <w:rPr>
          <w:spacing w:val="-25"/>
        </w:rPr>
      </w:r>
      <w:r>
        <w:rPr>
          <w:spacing w:val="-2"/>
        </w:rPr>
        <w:t>定的业务中心和盈利中心的局面。公司已经初步形成了较为有效的外地拓展业务模式，培养储备</w:t>
      </w:r>
    </w:p>
    <w:p>
      <w:pPr>
        <w:pStyle w:val="BodyText"/>
        <w:spacing w:line="272" w:lineRule="exact" w:before="1"/>
        <w:ind w:right="105"/>
        <w:jc w:val="left"/>
      </w:pPr>
      <w:r>
        <w:rPr>
          <w:spacing w:val="-6"/>
        </w:rPr>
        <w:t>了一批外地拓展人才，积累了一定的外地拓展经验，公司将继续坚持外地拓展“本土化、基地化、</w:t>
      </w:r>
      <w:r>
        <w:rPr>
          <w:spacing w:val="-53"/>
        </w:rPr>
        <w:t> </w:t>
      </w:r>
      <w:r>
        <w:rPr>
          <w:spacing w:val="-53"/>
        </w:rPr>
      </w:r>
      <w:r>
        <w:rPr/>
        <w:t>规模化”的方针，积极推动公司业务“走出去”。</w:t>
      </w:r>
    </w:p>
    <w:p>
      <w:pPr>
        <w:pStyle w:val="BodyText"/>
        <w:spacing w:line="272" w:lineRule="exact" w:before="1"/>
        <w:ind w:right="105" w:firstLine="419"/>
        <w:jc w:val="left"/>
      </w:pPr>
      <w:r>
        <w:rPr>
          <w:rFonts w:ascii="宋体" w:hAnsi="宋体" w:cs="宋体" w:eastAsia="宋体" w:hint="default"/>
          <w:spacing w:val="-2"/>
        </w:rPr>
        <w:t>5</w:t>
      </w:r>
      <w:r>
        <w:rPr>
          <w:spacing w:val="-2"/>
        </w:rPr>
        <w:t>、易涉诉风险。作为建筑施工企业，生产经营中可能发生项目建设资金不到位、质量纠纷、</w:t>
      </w:r>
      <w:r>
        <w:rPr>
          <w:w w:val="100"/>
        </w:rPr>
        <w:t> </w:t>
      </w:r>
      <w:r>
        <w:rPr>
          <w:spacing w:val="-6"/>
          <w:w w:val="100"/>
        </w:rPr>
        <w:t>工程材料及人工费支付纠纷等事项，导致潜在诉讼风险。公司将不断完善工程项目法务管理体系，</w:t>
      </w:r>
    </w:p>
    <w:p>
      <w:pPr>
        <w:pStyle w:val="BodyText"/>
        <w:spacing w:line="272" w:lineRule="exact" w:before="1"/>
        <w:ind w:right="105"/>
        <w:jc w:val="left"/>
      </w:pPr>
      <w:r>
        <w:rPr>
          <w:spacing w:val="-2"/>
        </w:rPr>
        <w:t>加强对重大项目收款情况的监管跟踪及法务指导，提高项目管理人员的法律意识，及时防范可能</w:t>
      </w:r>
      <w:r>
        <w:rPr>
          <w:spacing w:val="-25"/>
        </w:rPr>
        <w:t> </w:t>
      </w:r>
      <w:r>
        <w:rPr>
          <w:spacing w:val="-25"/>
        </w:rPr>
      </w:r>
      <w:r>
        <w:rPr/>
        <w:t>的法律风险，同时做好已涉诉项目的法务应对，依法维护公司权益。</w:t>
      </w:r>
    </w:p>
    <w:p>
      <w:pPr>
        <w:spacing w:line="240" w:lineRule="auto" w:before="13"/>
        <w:rPr>
          <w:rFonts w:ascii="宋体" w:hAnsi="宋体" w:cs="宋体" w:eastAsia="宋体" w:hint="default"/>
          <w:sz w:val="20"/>
          <w:szCs w:val="20"/>
        </w:rPr>
      </w:pPr>
    </w:p>
    <w:p>
      <w:pPr>
        <w:pStyle w:val="Heading3"/>
        <w:tabs>
          <w:tab w:pos="977" w:val="left" w:leader="none"/>
        </w:tabs>
        <w:spacing w:line="240" w:lineRule="auto" w:before="0"/>
        <w:ind w:left="138" w:right="10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80" w:val="left" w:leader="none"/>
        </w:tabs>
        <w:spacing w:line="240" w:lineRule="auto" w:before="58"/>
        <w:ind w:right="105"/>
        <w:jc w:val="left"/>
      </w:pPr>
      <w:r>
        <w:rPr/>
        <w:t>□适用</w:t>
        <w:tab/>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3"/>
        <w:spacing w:line="240" w:lineRule="auto"/>
        <w:ind w:left="138" w:right="105"/>
        <w:jc w:val="left"/>
        <w:rPr>
          <w:b w:val="0"/>
          <w:bCs w:val="0"/>
        </w:rPr>
      </w:pPr>
      <w:r>
        <w:rPr/>
        <w:t>四、公司因不适用准则规定或国家秘密、商业秘密等特殊原因，未按准则披露的情况和原因说明</w:t>
      </w:r>
      <w:r>
        <w:rPr>
          <w:b w:val="0"/>
          <w:bCs w:val="0"/>
        </w:rPr>
      </w:r>
    </w:p>
    <w:p>
      <w:pPr>
        <w:pStyle w:val="BodyText"/>
        <w:tabs>
          <w:tab w:pos="896" w:val="left" w:leader="none"/>
        </w:tabs>
        <w:spacing w:line="240" w:lineRule="auto" w:before="58"/>
        <w:ind w:right="1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259" w:val="left" w:leader="none"/>
        </w:tabs>
        <w:spacing w:line="240" w:lineRule="auto" w:before="0"/>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105"/>
        <w:jc w:val="left"/>
        <w:rPr>
          <w:b w:val="0"/>
          <w:bCs w:val="0"/>
        </w:rPr>
      </w:pPr>
      <w:r>
        <w:rPr/>
        <w:t>一、普通股利润分配或资本公积金转增预案</w:t>
      </w:r>
      <w:r>
        <w:rPr>
          <w:b w:val="0"/>
          <w:bCs w:val="0"/>
        </w:rPr>
      </w:r>
    </w:p>
    <w:p>
      <w:pPr>
        <w:pStyle w:val="Heading3"/>
        <w:spacing w:line="240" w:lineRule="auto" w:before="56"/>
        <w:ind w:left="138" w:right="10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884" w:val="left" w:leader="none"/>
        </w:tabs>
        <w:spacing w:line="272" w:lineRule="exact" w:before="59"/>
        <w:ind w:right="23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5"/>
          <w:w w:val="100"/>
        </w:rPr>
        <w:t>1</w:t>
      </w:r>
      <w:r>
        <w:rPr>
          <w:spacing w:val="-5"/>
          <w:w w:val="100"/>
        </w:rPr>
        <w:t>、分红政策：《公司章程》第一百五十五条规定本公司利润分配政策为：</w:t>
      </w:r>
    </w:p>
    <w:p>
      <w:pPr>
        <w:pStyle w:val="BodyText"/>
        <w:spacing w:line="246" w:lineRule="exact"/>
        <w:ind w:left="558" w:right="105"/>
        <w:jc w:val="left"/>
      </w:pPr>
      <w:r>
        <w:rPr/>
        <w:t>（一）公司应实行持续、稳定的利润分配政策，利润分配不得超过累计可分配利润的范围。</w:t>
      </w:r>
    </w:p>
    <w:p>
      <w:pPr>
        <w:pStyle w:val="BodyText"/>
        <w:spacing w:line="273" w:lineRule="exact"/>
        <w:ind w:right="105"/>
        <w:jc w:val="left"/>
      </w:pPr>
      <w:r>
        <w:rPr/>
        <w:t>公司的利润分配政策应当遵循重视投资者的合理投资回报和有利于公司长远发展的原则。</w:t>
      </w:r>
    </w:p>
    <w:p>
      <w:pPr>
        <w:pStyle w:val="BodyText"/>
        <w:spacing w:line="237" w:lineRule="auto"/>
        <w:ind w:right="208" w:firstLine="419"/>
        <w:jc w:val="both"/>
      </w:pPr>
      <w:r>
        <w:rPr>
          <w:spacing w:val="-7"/>
          <w:w w:val="100"/>
        </w:rPr>
        <w:t>（二）公司董事会在有关利润分配预案的论证和决策过程中，可以通过多种方式与独立董事、</w:t>
      </w:r>
      <w:r>
        <w:rPr>
          <w:w w:val="100"/>
        </w:rPr>
        <w:t> </w:t>
      </w:r>
      <w:r>
        <w:rPr>
          <w:spacing w:val="-6"/>
          <w:w w:val="100"/>
        </w:rPr>
        <w:t>中小股东进行沟通和交流（如电话、传真和邮件沟通或邀请中小股东参会等方式），充分听取独立</w:t>
      </w:r>
      <w:r>
        <w:rPr>
          <w:spacing w:val="-104"/>
          <w:w w:val="100"/>
        </w:rPr>
        <w:t> </w:t>
      </w:r>
      <w:r>
        <w:rPr>
          <w:spacing w:val="-104"/>
          <w:w w:val="100"/>
        </w:rPr>
      </w:r>
      <w:r>
        <w:rPr/>
        <w:t>董事和中小股东的意见和诉求。</w:t>
      </w:r>
    </w:p>
    <w:p>
      <w:pPr>
        <w:pStyle w:val="BodyText"/>
        <w:spacing w:line="272" w:lineRule="exact" w:before="26"/>
        <w:ind w:right="208" w:firstLine="419"/>
        <w:jc w:val="both"/>
      </w:pPr>
      <w:r>
        <w:rPr>
          <w:spacing w:val="-7"/>
        </w:rPr>
        <w:t>（三）公司可采用现金、股票、现金与股票相结合或者法律、法规允许的其他方式分配利润，</w:t>
      </w:r>
      <w:r>
        <w:rPr>
          <w:w w:val="100"/>
        </w:rPr>
        <w:t> </w:t>
      </w:r>
      <w:r>
        <w:rPr/>
        <w:t>并优先采用现金分红的利润分配方式。</w:t>
      </w:r>
    </w:p>
    <w:p>
      <w:pPr>
        <w:pStyle w:val="BodyText"/>
        <w:spacing w:line="272" w:lineRule="exact" w:before="1"/>
        <w:ind w:right="208" w:firstLine="419"/>
        <w:jc w:val="both"/>
      </w:pPr>
      <w:r>
        <w:rPr>
          <w:spacing w:val="-2"/>
        </w:rPr>
        <w:t>（四）在公司盈利、现金流满足公司正常经营和长期发展的前提下，近三年以现金方式累计</w:t>
      </w:r>
      <w:r>
        <w:rPr>
          <w:w w:val="100"/>
        </w:rPr>
        <w:t> </w:t>
      </w:r>
      <w:r>
        <w:rPr>
          <w:spacing w:val="-1"/>
        </w:rPr>
        <w:t>分配利润不少于最近三年实现的年均可分配利润的百分之三十，且每年以现金方式累计分配的股</w:t>
      </w:r>
    </w:p>
    <w:p>
      <w:pPr>
        <w:pStyle w:val="BodyText"/>
        <w:spacing w:line="272" w:lineRule="exact" w:before="1"/>
        <w:ind w:right="105"/>
        <w:jc w:val="left"/>
      </w:pPr>
      <w:r>
        <w:rPr>
          <w:spacing w:val="-2"/>
        </w:rPr>
        <w:t>利占当期实现可分配利润的比例不低于</w:t>
      </w:r>
      <w:r>
        <w:rPr/>
        <w:t> </w:t>
      </w:r>
      <w:r>
        <w:rPr>
          <w:rFonts w:ascii="Times New Roman" w:hAnsi="Times New Roman" w:cs="Times New Roman" w:eastAsia="Times New Roman" w:hint="default"/>
          <w:spacing w:val="-2"/>
        </w:rPr>
        <w:t>10%</w:t>
      </w:r>
      <w:r>
        <w:rPr>
          <w:spacing w:val="-2"/>
        </w:rPr>
        <w:t>；公司董事会未做出现金利润分配预案的，应当在定</w:t>
      </w:r>
      <w:r>
        <w:rPr>
          <w:spacing w:val="-84"/>
        </w:rPr>
        <w:t> </w:t>
      </w:r>
      <w:r>
        <w:rPr>
          <w:spacing w:val="-84"/>
        </w:rPr>
      </w:r>
      <w:r>
        <w:rPr/>
        <w:t>期报告中披露原因，独立董事应当对此发表独立意见；</w:t>
      </w:r>
    </w:p>
    <w:p>
      <w:pPr>
        <w:pStyle w:val="BodyText"/>
        <w:spacing w:line="272" w:lineRule="exact" w:before="1"/>
        <w:ind w:right="208" w:firstLine="419"/>
        <w:jc w:val="both"/>
      </w:pPr>
      <w:r>
        <w:rPr>
          <w:spacing w:val="-2"/>
        </w:rPr>
        <w:t>（五）在实际进行现金分红时，公司董事会应当综合考虑所处行业特点、发展阶段、自身经</w:t>
      </w:r>
      <w:r>
        <w:rPr>
          <w:w w:val="100"/>
        </w:rPr>
        <w:t> </w:t>
      </w:r>
      <w:r>
        <w:rPr>
          <w:spacing w:val="-1"/>
        </w:rPr>
        <w:t>营模式、盈利水平以及是否有重大资金支出安排等因素，并按照公司章程规定的程序，提出差异</w:t>
      </w:r>
    </w:p>
    <w:p>
      <w:pPr>
        <w:pStyle w:val="BodyText"/>
        <w:spacing w:line="247" w:lineRule="exact"/>
        <w:ind w:right="105"/>
        <w:jc w:val="left"/>
      </w:pPr>
      <w:r>
        <w:rPr/>
        <w:t>化的现金分红政策：</w:t>
      </w:r>
    </w:p>
    <w:p>
      <w:pPr>
        <w:pStyle w:val="BodyText"/>
        <w:spacing w:line="274" w:lineRule="exact" w:before="24"/>
        <w:ind w:right="208" w:firstLine="419"/>
        <w:jc w:val="both"/>
      </w:pPr>
      <w:r>
        <w:rPr>
          <w:rFonts w:ascii="Times New Roman" w:hAnsi="Times New Roman" w:cs="Times New Roman" w:eastAsia="Times New Roman" w:hint="default"/>
          <w:spacing w:val="-4"/>
        </w:rPr>
        <w:t>1</w:t>
      </w:r>
      <w:r>
        <w:rPr>
          <w:spacing w:val="-4"/>
        </w:rPr>
        <w:t>、公司发展阶段属成熟期且无重大资金支出安排的，进行利润分配时，现金分红在本次利润</w:t>
      </w:r>
      <w:r>
        <w:rPr>
          <w:w w:val="100"/>
        </w:rPr>
        <w:t> </w:t>
      </w:r>
      <w:r>
        <w:rPr/>
        <w:t>分配中所占比例最低应达到</w:t>
      </w:r>
      <w:r>
        <w:rPr>
          <w:spacing w:val="-55"/>
        </w:rPr>
        <w:t> </w:t>
      </w:r>
      <w:r>
        <w:rPr>
          <w:rFonts w:ascii="Times New Roman" w:hAnsi="Times New Roman" w:cs="Times New Roman" w:eastAsia="Times New Roman" w:hint="default"/>
        </w:rPr>
        <w:t>80%</w:t>
      </w:r>
      <w:r>
        <w:rPr/>
        <w:t>；</w:t>
      </w:r>
    </w:p>
    <w:p>
      <w:pPr>
        <w:pStyle w:val="BodyText"/>
        <w:spacing w:line="253" w:lineRule="exact"/>
        <w:ind w:left="558" w:right="105"/>
        <w:jc w:val="left"/>
      </w:pPr>
      <w:r>
        <w:rPr>
          <w:rFonts w:ascii="Times New Roman" w:hAnsi="Times New Roman" w:cs="Times New Roman" w:eastAsia="Times New Roman" w:hint="default"/>
          <w:spacing w:val="-4"/>
        </w:rPr>
        <w:t>2</w:t>
      </w:r>
      <w:r>
        <w:rPr>
          <w:spacing w:val="-4"/>
        </w:rPr>
        <w:t>、公司发展阶段属成熟期且有重大资金支出安排的，进行利润分配时，现金分红在本次利润</w:t>
      </w:r>
    </w:p>
    <w:p>
      <w:pPr>
        <w:pStyle w:val="BodyText"/>
        <w:spacing w:line="272" w:lineRule="exact" w:before="19"/>
        <w:ind w:left="558" w:right="105" w:hanging="420"/>
        <w:jc w:val="left"/>
      </w:pPr>
      <w:r>
        <w:rPr/>
        <w:t>分配中所占比例最低应达到</w:t>
      </w:r>
      <w:r>
        <w:rPr>
          <w:spacing w:val="-53"/>
        </w:rPr>
        <w:t> </w:t>
      </w:r>
      <w:r>
        <w:rPr>
          <w:rFonts w:ascii="Times New Roman" w:hAnsi="Times New Roman" w:cs="Times New Roman" w:eastAsia="Times New Roman" w:hint="default"/>
        </w:rPr>
        <w:t>40%</w:t>
      </w:r>
      <w:r>
        <w:rPr/>
        <w:t>；</w:t>
      </w:r>
      <w:r>
        <w:rPr>
          <w:w w:val="100"/>
        </w:rPr>
        <w:t> </w:t>
      </w:r>
      <w:r>
        <w:rPr>
          <w:rFonts w:ascii="Times New Roman" w:hAnsi="Times New Roman" w:cs="Times New Roman" w:eastAsia="Times New Roman" w:hint="default"/>
          <w:spacing w:val="-4"/>
        </w:rPr>
        <w:t>3</w:t>
      </w:r>
      <w:r>
        <w:rPr>
          <w:spacing w:val="-4"/>
        </w:rPr>
        <w:t>、公司发展阶段属成长期且有重大资金支出安排的，进行利润分配时，现金分红在本次利润</w:t>
      </w:r>
    </w:p>
    <w:p>
      <w:pPr>
        <w:pStyle w:val="BodyText"/>
        <w:spacing w:line="272" w:lineRule="exact" w:before="1"/>
        <w:ind w:left="558" w:right="97" w:hanging="420"/>
        <w:jc w:val="left"/>
      </w:pPr>
      <w:r>
        <w:rPr/>
        <w:t>分配中所占比例最低应达到</w:t>
      </w:r>
      <w:r>
        <w:rPr>
          <w:spacing w:val="-53"/>
        </w:rPr>
        <w:t> </w:t>
      </w:r>
      <w:r>
        <w:rPr>
          <w:rFonts w:ascii="Times New Roman" w:hAnsi="Times New Roman" w:cs="Times New Roman" w:eastAsia="Times New Roman" w:hint="default"/>
        </w:rPr>
        <w:t>20%</w:t>
      </w:r>
      <w:r>
        <w:rPr/>
        <w:t>；</w:t>
      </w:r>
      <w:r>
        <w:rPr>
          <w:w w:val="100"/>
        </w:rPr>
        <w:t> </w:t>
      </w:r>
      <w:r>
        <w:rPr/>
        <w:t>公司发展阶段不易区分但有重大资金支出安排的，可以按照前项规定处理。</w:t>
      </w:r>
      <w:r>
        <w:rPr>
          <w:w w:val="100"/>
        </w:rPr>
        <w:t> </w:t>
      </w:r>
      <w:r>
        <w:rPr>
          <w:spacing w:val="-4"/>
          <w:w w:val="100"/>
        </w:rPr>
        <w:t>公司利润分配不得超过累计可分配利润的范围；公司在经营活动现金流量连续两年为负数时，</w:t>
      </w:r>
    </w:p>
    <w:p>
      <w:pPr>
        <w:pStyle w:val="BodyText"/>
        <w:spacing w:line="247" w:lineRule="exact"/>
        <w:ind w:right="105"/>
        <w:jc w:val="left"/>
      </w:pPr>
      <w:r>
        <w:rPr/>
        <w:t>不进行高比例现金分红；</w:t>
      </w:r>
    </w:p>
    <w:p>
      <w:pPr>
        <w:pStyle w:val="BodyText"/>
        <w:spacing w:line="240" w:lineRule="auto"/>
        <w:ind w:right="208" w:firstLine="419"/>
        <w:jc w:val="both"/>
      </w:pPr>
      <w:r>
        <w:rPr>
          <w:spacing w:val="-7"/>
          <w:w w:val="100"/>
        </w:rPr>
        <w:t>（六）公司应注重股本扩张与业绩增长同步，董事会认为公司股票价格与股本规模不匹配时，</w:t>
      </w:r>
      <w:r>
        <w:rPr>
          <w:w w:val="100"/>
        </w:rPr>
        <w:t> </w:t>
      </w:r>
      <w:r>
        <w:rPr/>
        <w:t>可以实施股票股利分配。股票股利分配可以单独实施，也可以结合现金分红同时实施。</w:t>
      </w:r>
    </w:p>
    <w:p>
      <w:pPr>
        <w:pStyle w:val="BodyText"/>
        <w:spacing w:line="237" w:lineRule="auto"/>
        <w:ind w:right="208" w:firstLine="419"/>
        <w:jc w:val="both"/>
      </w:pPr>
      <w:r>
        <w:rPr>
          <w:spacing w:val="-2"/>
        </w:rPr>
        <w:t>公司股东大会对利润分配方案作出决议后，公司董事会须在股东大会召开后两个月内完成股</w:t>
      </w:r>
      <w:r>
        <w:rPr>
          <w:w w:val="100"/>
        </w:rPr>
        <w:t> </w:t>
      </w:r>
      <w:r>
        <w:rPr>
          <w:spacing w:val="-1"/>
        </w:rPr>
        <w:t>利（或股份）的派发事项；如股东存在违规占用公司资金情况的，公司应当扣减该股东所分配的</w:t>
      </w:r>
      <w:r>
        <w:rPr>
          <w:spacing w:val="-55"/>
        </w:rPr>
        <w:t> </w:t>
      </w:r>
      <w:r>
        <w:rPr>
          <w:spacing w:val="-55"/>
        </w:rPr>
      </w:r>
      <w:r>
        <w:rPr/>
        <w:t>现金红利，以偿还其占用的资金。</w:t>
      </w:r>
    </w:p>
    <w:p>
      <w:pPr>
        <w:pStyle w:val="BodyText"/>
        <w:spacing w:line="272" w:lineRule="exact" w:before="26"/>
        <w:ind w:right="210" w:firstLine="419"/>
        <w:jc w:val="both"/>
      </w:pPr>
      <w:r>
        <w:rPr>
          <w:spacing w:val="-2"/>
        </w:rPr>
        <w:t>公司可以进行中期利润分配。公司股东大会决定中期利润分配时，须对中期财务报告进行审</w:t>
      </w:r>
      <w:r>
        <w:rPr>
          <w:w w:val="100"/>
        </w:rPr>
        <w:t> </w:t>
      </w:r>
      <w:r>
        <w:rPr/>
        <w:t>计。</w:t>
      </w:r>
    </w:p>
    <w:p>
      <w:pPr>
        <w:pStyle w:val="BodyText"/>
        <w:spacing w:line="272" w:lineRule="exact" w:before="1"/>
        <w:ind w:right="208" w:firstLine="419"/>
        <w:jc w:val="both"/>
      </w:pPr>
      <w:r>
        <w:rPr>
          <w:spacing w:val="-2"/>
        </w:rPr>
        <w:t>（七）公司调整既定利润分配政策应当在充分听取独立董事及中小股东意见的情况下由董事</w:t>
      </w:r>
      <w:r>
        <w:rPr>
          <w:w w:val="100"/>
        </w:rPr>
        <w:t> </w:t>
      </w:r>
      <w:r>
        <w:rPr/>
        <w:t>会提出调整方案，调整方案报请股东大会审议并经出席股东大会的股东所持表决权的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spacing w:val="-3"/>
        </w:rPr>
        <w:t>以上审</w:t>
      </w:r>
      <w:r>
        <w:rPr/>
      </w:r>
    </w:p>
    <w:p>
      <w:pPr>
        <w:pStyle w:val="BodyText"/>
        <w:spacing w:line="272" w:lineRule="exact" w:before="1"/>
        <w:ind w:right="105"/>
        <w:jc w:val="left"/>
      </w:pPr>
      <w:r>
        <w:rPr>
          <w:spacing w:val="-1"/>
        </w:rPr>
        <w:t>议通过后方可实施。公司应当为中小股东发表意见提供方便，充分听取中小股东的意见和诉求，</w:t>
      </w:r>
      <w:r>
        <w:rPr>
          <w:spacing w:val="-55"/>
        </w:rPr>
        <w:t> </w:t>
      </w:r>
      <w:r>
        <w:rPr>
          <w:spacing w:val="-55"/>
        </w:rPr>
      </w:r>
      <w:r>
        <w:rPr/>
        <w:t>并及时答复中小股东关心的问题。</w:t>
      </w:r>
    </w:p>
    <w:p>
      <w:pPr>
        <w:pStyle w:val="BodyText"/>
        <w:spacing w:line="255" w:lineRule="exact"/>
        <w:ind w:right="105"/>
        <w:jc w:val="left"/>
      </w:pPr>
      <w:r>
        <w:rPr>
          <w:rFonts w:ascii="Times New Roman" w:hAnsi="Times New Roman" w:cs="Times New Roman" w:eastAsia="Times New Roman" w:hint="default"/>
        </w:rPr>
        <w:t>2</w:t>
      </w:r>
      <w:r>
        <w:rPr/>
        <w:t>、公司分红政策执行情况：</w:t>
      </w:r>
    </w:p>
    <w:p>
      <w:pPr>
        <w:pStyle w:val="BodyText"/>
        <w:spacing w:line="272" w:lineRule="exact"/>
        <w:ind w:left="558" w:right="105"/>
        <w:jc w:val="left"/>
      </w:pPr>
      <w:r>
        <w:rPr>
          <w:w w:val="100"/>
        </w:rPr>
        <w:t>报告</w:t>
      </w:r>
      <w:r>
        <w:rPr>
          <w:spacing w:val="-3"/>
          <w:w w:val="100"/>
        </w:rPr>
        <w:t>期</w:t>
      </w:r>
      <w:r>
        <w:rPr>
          <w:w w:val="100"/>
        </w:rPr>
        <w:t>内</w:t>
      </w:r>
      <w:r>
        <w:rPr>
          <w:spacing w:val="-3"/>
          <w:w w:val="100"/>
        </w:rPr>
        <w:t>公</w:t>
      </w:r>
      <w:r>
        <w:rPr>
          <w:spacing w:val="-1"/>
          <w:w w:val="100"/>
        </w:rPr>
        <w:t>司</w:t>
      </w:r>
      <w:r>
        <w:rPr>
          <w:w w:val="100"/>
        </w:rPr>
        <w:t>以</w:t>
      </w:r>
      <w:r>
        <w:rPr>
          <w:spacing w:val="-67"/>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5"/>
        </w:rPr>
        <w:t> </w:t>
      </w:r>
      <w:r>
        <w:rPr>
          <w:w w:val="100"/>
        </w:rPr>
        <w:t>年</w:t>
      </w:r>
      <w:r>
        <w:rPr>
          <w:spacing w:val="-3"/>
          <w:w w:val="100"/>
        </w:rPr>
        <w:t>末</w:t>
      </w:r>
      <w:r>
        <w:rPr>
          <w:w w:val="100"/>
        </w:rPr>
        <w:t>股本</w:t>
      </w:r>
      <w:r>
        <w:rPr>
          <w:spacing w:val="-65"/>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12"/>
        </w:rPr>
        <w:t> </w:t>
      </w:r>
      <w:r>
        <w:rPr>
          <w:spacing w:val="-3"/>
          <w:w w:val="100"/>
        </w:rPr>
        <w:t>股</w:t>
      </w:r>
      <w:r>
        <w:rPr>
          <w:w w:val="100"/>
        </w:rPr>
        <w:t>为</w:t>
      </w:r>
      <w:r>
        <w:rPr>
          <w:spacing w:val="-3"/>
          <w:w w:val="100"/>
        </w:rPr>
        <w:t>基</w:t>
      </w:r>
      <w:r>
        <w:rPr>
          <w:w w:val="100"/>
        </w:rPr>
        <w:t>数</w:t>
      </w:r>
      <w:r>
        <w:rPr>
          <w:spacing w:val="-106"/>
          <w:w w:val="100"/>
        </w:rPr>
        <w:t>，</w:t>
      </w:r>
      <w:r>
        <w:rPr>
          <w:w w:val="100"/>
        </w:rPr>
        <w:t>每</w:t>
      </w:r>
      <w:r>
        <w:rPr>
          <w:spacing w:val="-6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2"/>
        </w:rPr>
        <w:t> </w:t>
      </w:r>
      <w:r>
        <w:rPr>
          <w:spacing w:val="-3"/>
          <w:w w:val="100"/>
        </w:rPr>
        <w:t>股</w:t>
      </w:r>
      <w:r>
        <w:rPr>
          <w:w w:val="100"/>
        </w:rPr>
        <w:t>派</w:t>
      </w:r>
      <w:r>
        <w:rPr>
          <w:spacing w:val="-3"/>
          <w:w w:val="100"/>
        </w:rPr>
        <w:t>现</w:t>
      </w:r>
      <w:r>
        <w:rPr>
          <w:w w:val="100"/>
        </w:rPr>
        <w:t>金红利</w:t>
      </w:r>
      <w:r>
        <w:rPr>
          <w:spacing w:val="-67"/>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0</w:t>
      </w:r>
      <w:r>
        <w:rPr>
          <w:rFonts w:ascii="Times New Roman" w:hAnsi="Times New Roman" w:cs="Times New Roman" w:eastAsia="Times New Roman" w:hint="default"/>
          <w:spacing w:val="-12"/>
        </w:rPr>
        <w:t> </w:t>
      </w:r>
      <w:r>
        <w:rPr>
          <w:spacing w:val="-106"/>
          <w:w w:val="100"/>
        </w:rPr>
        <w:t>元</w:t>
      </w:r>
      <w:r>
        <w:rPr>
          <w:w w:val="100"/>
        </w:rPr>
        <w:t>（</w:t>
      </w:r>
      <w:r>
        <w:rPr>
          <w:spacing w:val="-3"/>
          <w:w w:val="100"/>
        </w:rPr>
        <w:t>含</w:t>
      </w:r>
      <w:r>
        <w:rPr>
          <w:w w:val="100"/>
        </w:rPr>
        <w:t>税</w:t>
      </w:r>
      <w:r>
        <w:rPr>
          <w:spacing w:val="-108"/>
          <w:w w:val="100"/>
        </w:rPr>
        <w:t>）</w:t>
      </w:r>
      <w:r>
        <w:rPr>
          <w:w w:val="100"/>
        </w:rPr>
        <w:t>，</w:t>
      </w:r>
    </w:p>
    <w:p>
      <w:pPr>
        <w:pStyle w:val="BodyText"/>
        <w:spacing w:line="273" w:lineRule="exact"/>
        <w:ind w:right="105"/>
        <w:jc w:val="left"/>
      </w:pPr>
      <w:r>
        <w:rPr>
          <w:w w:val="100"/>
        </w:rPr>
        <w:t>共</w:t>
      </w:r>
      <w:r>
        <w:rPr>
          <w:spacing w:val="-3"/>
          <w:w w:val="100"/>
        </w:rPr>
        <w:t>支</w:t>
      </w:r>
      <w:r>
        <w:rPr>
          <w:w w:val="100"/>
        </w:rPr>
        <w:t>付</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普</w:t>
      </w:r>
      <w:r>
        <w:rPr>
          <w:spacing w:val="-3"/>
          <w:w w:val="100"/>
        </w:rPr>
        <w:t>通</w:t>
      </w:r>
      <w:r>
        <w:rPr>
          <w:w w:val="100"/>
        </w:rPr>
        <w:t>股</w:t>
      </w:r>
      <w:r>
        <w:rPr>
          <w:spacing w:val="-3"/>
          <w:w w:val="100"/>
        </w:rPr>
        <w:t>股</w:t>
      </w:r>
      <w:r>
        <w:rPr>
          <w:w w:val="100"/>
        </w:rPr>
        <w:t>利</w:t>
      </w:r>
      <w:r>
        <w:rPr>
          <w:spacing w:val="-52"/>
        </w:rPr>
        <w:t> </w:t>
      </w:r>
      <w:r>
        <w:rPr>
          <w:rFonts w:ascii="Times New Roman" w:hAnsi="Times New Roman" w:cs="Times New Roman" w:eastAsia="Times New Roman" w:hint="default"/>
          <w:w w:val="100"/>
        </w:rPr>
        <w:t>68,</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spacing w:val="-15"/>
          <w:w w:val="100"/>
        </w:rPr>
        <w:t>。</w:t>
      </w:r>
      <w:r>
        <w:rPr>
          <w:w w:val="100"/>
        </w:rPr>
        <w:t>公</w:t>
      </w:r>
      <w:r>
        <w:rPr>
          <w:spacing w:val="-3"/>
          <w:w w:val="100"/>
        </w:rPr>
        <w:t>司</w:t>
      </w:r>
      <w:r>
        <w:rPr>
          <w:w w:val="100"/>
        </w:rPr>
        <w:t>于</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日</w:t>
      </w:r>
      <w:r>
        <w:rPr>
          <w:spacing w:val="-15"/>
          <w:w w:val="100"/>
        </w:rPr>
        <w:t>在</w:t>
      </w:r>
      <w:r>
        <w:rPr>
          <w:w w:val="100"/>
        </w:rPr>
        <w:t>《</w:t>
      </w:r>
      <w:r>
        <w:rPr>
          <w:spacing w:val="-3"/>
          <w:w w:val="100"/>
        </w:rPr>
        <w:t>中</w:t>
      </w:r>
      <w:r>
        <w:rPr>
          <w:w w:val="100"/>
        </w:rPr>
        <w:t>国证</w:t>
      </w:r>
      <w:r>
        <w:rPr>
          <w:spacing w:val="-3"/>
          <w:w w:val="100"/>
        </w:rPr>
        <w:t>券</w:t>
      </w:r>
      <w:r>
        <w:rPr>
          <w:w w:val="100"/>
        </w:rPr>
        <w:t>报</w:t>
      </w:r>
      <w:r>
        <w:rPr>
          <w:spacing w:val="-106"/>
          <w:w w:val="100"/>
        </w:rPr>
        <w:t>》</w:t>
      </w:r>
      <w:r>
        <w:rPr>
          <w:spacing w:val="-120"/>
          <w:w w:val="100"/>
        </w:rPr>
        <w:t>、</w:t>
      </w:r>
      <w:r>
        <w:rPr>
          <w:spacing w:val="-3"/>
          <w:w w:val="100"/>
        </w:rPr>
        <w:t>《</w:t>
      </w:r>
      <w:r>
        <w:rPr>
          <w:w w:val="100"/>
        </w:rPr>
        <w:t>上</w:t>
      </w:r>
      <w:r>
        <w:rPr>
          <w:spacing w:val="-3"/>
          <w:w w:val="100"/>
        </w:rPr>
        <w:t>海</w:t>
      </w:r>
      <w:r>
        <w:rPr>
          <w:w w:val="100"/>
        </w:rPr>
        <w:t>证</w:t>
      </w:r>
    </w:p>
    <w:p>
      <w:pPr>
        <w:pStyle w:val="BodyText"/>
        <w:spacing w:line="273" w:lineRule="exact"/>
        <w:ind w:right="105"/>
        <w:jc w:val="left"/>
      </w:pPr>
      <w:r>
        <w:rPr>
          <w:w w:val="100"/>
        </w:rPr>
        <w:t>券报</w:t>
      </w:r>
      <w:r>
        <w:rPr>
          <w:spacing w:val="-106"/>
          <w:w w:val="100"/>
        </w:rPr>
        <w:t>》</w:t>
      </w:r>
      <w:r>
        <w:rPr>
          <w:spacing w:val="-132"/>
          <w:w w:val="100"/>
        </w:rPr>
        <w:t>、</w:t>
      </w:r>
      <w:r>
        <w:rPr>
          <w:w w:val="100"/>
        </w:rPr>
        <w:t>《</w:t>
      </w:r>
      <w:r>
        <w:rPr>
          <w:spacing w:val="-3"/>
          <w:w w:val="100"/>
        </w:rPr>
        <w:t>证</w:t>
      </w:r>
      <w:r>
        <w:rPr>
          <w:w w:val="100"/>
        </w:rPr>
        <w:t>券</w:t>
      </w:r>
      <w:r>
        <w:rPr>
          <w:spacing w:val="-3"/>
          <w:w w:val="100"/>
        </w:rPr>
        <w:t>时</w:t>
      </w:r>
      <w:r>
        <w:rPr>
          <w:w w:val="100"/>
        </w:rPr>
        <w:t>报</w:t>
      </w:r>
      <w:r>
        <w:rPr>
          <w:spacing w:val="-106"/>
          <w:w w:val="100"/>
        </w:rPr>
        <w:t>》</w:t>
      </w:r>
      <w:r>
        <w:rPr>
          <w:spacing w:val="-130"/>
          <w:w w:val="100"/>
        </w:rPr>
        <w:t>、</w:t>
      </w:r>
      <w:r>
        <w:rPr>
          <w:spacing w:val="-3"/>
          <w:w w:val="100"/>
        </w:rPr>
        <w:t>《证</w:t>
      </w:r>
      <w:r>
        <w:rPr>
          <w:w w:val="100"/>
        </w:rPr>
        <w:t>券日</w:t>
      </w:r>
      <w:r>
        <w:rPr>
          <w:spacing w:val="-3"/>
          <w:w w:val="100"/>
        </w:rPr>
        <w:t>报</w:t>
      </w:r>
      <w:r>
        <w:rPr>
          <w:spacing w:val="-25"/>
          <w:w w:val="100"/>
        </w:rPr>
        <w:t>》</w:t>
      </w:r>
      <w:r>
        <w:rPr>
          <w:spacing w:val="-3"/>
          <w:w w:val="100"/>
        </w:rPr>
        <w:t>及</w:t>
      </w:r>
      <w:r>
        <w:rPr>
          <w:w w:val="100"/>
        </w:rPr>
        <w:t>上</w:t>
      </w:r>
      <w:r>
        <w:rPr>
          <w:spacing w:val="-3"/>
          <w:w w:val="100"/>
        </w:rPr>
        <w:t>海</w:t>
      </w:r>
      <w:r>
        <w:rPr>
          <w:w w:val="100"/>
        </w:rPr>
        <w:t>证</w:t>
      </w:r>
      <w:r>
        <w:rPr>
          <w:spacing w:val="-3"/>
          <w:w w:val="100"/>
        </w:rPr>
        <w:t>券</w:t>
      </w:r>
      <w:r>
        <w:rPr>
          <w:w w:val="100"/>
        </w:rPr>
        <w:t>交</w:t>
      </w:r>
      <w:r>
        <w:rPr>
          <w:spacing w:val="-2"/>
          <w:w w:val="100"/>
        </w:rPr>
        <w:t>易</w:t>
      </w:r>
      <w:r>
        <w:rPr>
          <w:w w:val="100"/>
        </w:rPr>
        <w:t>所网</w:t>
      </w:r>
      <w:r>
        <w:rPr>
          <w:spacing w:val="-3"/>
          <w:w w:val="100"/>
        </w:rPr>
        <w:t>站</w:t>
      </w:r>
      <w:r>
        <w:rPr>
          <w:w w:val="100"/>
        </w:rPr>
        <w:t>刊</w:t>
      </w:r>
      <w:r>
        <w:rPr>
          <w:spacing w:val="-3"/>
          <w:w w:val="100"/>
        </w:rPr>
        <w:t>登</w:t>
      </w:r>
      <w:r>
        <w:rPr>
          <w:w w:val="100"/>
        </w:rPr>
        <w:t>了</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年</w:t>
      </w:r>
      <w:r>
        <w:rPr>
          <w:spacing w:val="-3"/>
          <w:w w:val="100"/>
        </w:rPr>
        <w:t>度权</w:t>
      </w:r>
      <w:r>
        <w:rPr>
          <w:w w:val="100"/>
        </w:rPr>
        <w:t>益分</w:t>
      </w:r>
      <w:r>
        <w:rPr>
          <w:spacing w:val="-3"/>
          <w:w w:val="100"/>
        </w:rPr>
        <w:t>派</w:t>
      </w:r>
      <w:r>
        <w:rPr>
          <w:w w:val="100"/>
        </w:rPr>
        <w:t>实</w:t>
      </w:r>
      <w:r>
        <w:rPr>
          <w:spacing w:val="-2"/>
          <w:w w:val="100"/>
        </w:rPr>
        <w:t>施</w:t>
      </w:r>
      <w:r>
        <w:rPr>
          <w:w w:val="100"/>
        </w:rPr>
        <w:t>公</w:t>
      </w:r>
      <w:r>
        <w:rPr>
          <w:spacing w:val="-3"/>
          <w:w w:val="100"/>
        </w:rPr>
        <w:t>告</w:t>
      </w:r>
      <w:r>
        <w:rPr>
          <w:spacing w:val="-25"/>
          <w:w w:val="100"/>
        </w:rPr>
        <w:t>，</w:t>
      </w:r>
      <w:r>
        <w:rPr>
          <w:w w:val="100"/>
        </w:rPr>
        <w:t>报</w:t>
      </w:r>
    </w:p>
    <w:p>
      <w:pPr>
        <w:pStyle w:val="BodyText"/>
        <w:spacing w:line="282" w:lineRule="exact"/>
        <w:ind w:right="105"/>
        <w:jc w:val="left"/>
      </w:pPr>
      <w:r>
        <w:rPr/>
        <w:t>告期内，公司</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年度利润分配方案已实施完毕。</w:t>
      </w:r>
    </w:p>
    <w:p>
      <w:pPr>
        <w:spacing w:after="0" w:line="282"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3"/>
        <w:spacing w:line="240" w:lineRule="auto"/>
        <w:ind w:left="958" w:right="77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7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27"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ind w:left="146" w:right="14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ind w:left="151" w:right="146"/>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68,325,600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213,929,328.80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31.94</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68,325,600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195,386,531.53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34.97</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58,564,800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191,004,899.58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30.66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ind w:left="958" w:right="77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958" w:right="77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74" w:lineRule="exact" w:before="66"/>
        <w:ind w:left="1378" w:right="7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76" w:lineRule="auto" w:before="31"/>
        <w:ind w:left="958" w:right="75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1524" w:val="left" w:leader="none"/>
        </w:tabs>
        <w:spacing w:line="274" w:lineRule="exact" w:before="51"/>
        <w:ind w:left="1524" w:right="7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958" w:right="77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0" w:type="dxa"/>
        <w:tblLayout w:type="fixed"/>
        <w:tblCellMar>
          <w:top w:w="0" w:type="dxa"/>
          <w:left w:w="0" w:type="dxa"/>
          <w:bottom w:w="0" w:type="dxa"/>
          <w:right w:w="0" w:type="dxa"/>
        </w:tblCellMar>
        <w:tblLook w:val="01E0"/>
      </w:tblPr>
      <w:tblGrid>
        <w:gridCol w:w="711"/>
        <w:gridCol w:w="854"/>
        <w:gridCol w:w="1274"/>
        <w:gridCol w:w="3133"/>
        <w:gridCol w:w="710"/>
        <w:gridCol w:w="710"/>
        <w:gridCol w:w="711"/>
        <w:gridCol w:w="1277"/>
        <w:gridCol w:w="972"/>
      </w:tblGrid>
      <w:tr>
        <w:trPr>
          <w:trHeight w:val="137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11" w:right="20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51" w:right="1347"/>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7"/>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及期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5" w:right="105"/>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1"/>
              <w:ind w:left="163" w:right="16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464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103" w:right="24"/>
              <w:jc w:val="both"/>
              <w:rPr>
                <w:rFonts w:ascii="宋体" w:hAnsi="宋体" w:cs="宋体" w:eastAsia="宋体" w:hint="default"/>
                <w:sz w:val="21"/>
                <w:szCs w:val="21"/>
              </w:rPr>
            </w:pPr>
            <w:r>
              <w:rPr>
                <w:rFonts w:ascii="宋体" w:hAnsi="宋体" w:cs="宋体" w:eastAsia="宋体" w:hint="default"/>
                <w:spacing w:val="36"/>
                <w:sz w:val="21"/>
                <w:szCs w:val="21"/>
              </w:rPr>
              <w:t>与重</w:t>
            </w:r>
            <w:r>
              <w:rPr>
                <w:rFonts w:ascii="宋体" w:hAnsi="宋体" w:cs="宋体" w:eastAsia="宋体" w:hint="default"/>
                <w:spacing w:val="-101"/>
                <w:sz w:val="21"/>
                <w:szCs w:val="21"/>
              </w:rPr>
              <w:t> </w:t>
            </w:r>
            <w:r>
              <w:rPr>
                <w:rFonts w:ascii="宋体" w:hAnsi="宋体" w:cs="宋体" w:eastAsia="宋体" w:hint="default"/>
                <w:spacing w:val="36"/>
                <w:sz w:val="21"/>
                <w:szCs w:val="21"/>
              </w:rPr>
              <w:t>大资</w:t>
            </w:r>
            <w:r>
              <w:rPr>
                <w:rFonts w:ascii="宋体" w:hAnsi="宋体" w:cs="宋体" w:eastAsia="宋体" w:hint="default"/>
                <w:spacing w:val="-101"/>
                <w:sz w:val="21"/>
                <w:szCs w:val="21"/>
              </w:rPr>
              <w:t> </w:t>
            </w:r>
            <w:r>
              <w:rPr>
                <w:rFonts w:ascii="宋体" w:hAnsi="宋体" w:cs="宋体" w:eastAsia="宋体" w:hint="default"/>
                <w:spacing w:val="36"/>
                <w:sz w:val="21"/>
                <w:szCs w:val="21"/>
              </w:rPr>
              <w:t>产重</w:t>
            </w:r>
            <w:r>
              <w:rPr>
                <w:rFonts w:ascii="宋体" w:hAnsi="宋体" w:cs="宋体" w:eastAsia="宋体" w:hint="default"/>
                <w:spacing w:val="-101"/>
                <w:sz w:val="21"/>
                <w:szCs w:val="21"/>
              </w:rPr>
              <w:t> </w:t>
            </w:r>
            <w:r>
              <w:rPr>
                <w:rFonts w:ascii="宋体" w:hAnsi="宋体" w:cs="宋体" w:eastAsia="宋体" w:hint="default"/>
                <w:spacing w:val="36"/>
                <w:sz w:val="21"/>
                <w:szCs w:val="21"/>
              </w:rPr>
              <w:t>组相</w:t>
            </w:r>
            <w:r>
              <w:rPr>
                <w:rFonts w:ascii="宋体" w:hAnsi="宋体" w:cs="宋体" w:eastAsia="宋体" w:hint="default"/>
                <w:spacing w:val="-101"/>
                <w:sz w:val="21"/>
                <w:szCs w:val="21"/>
              </w:rPr>
              <w:t> </w:t>
            </w:r>
            <w:r>
              <w:rPr>
                <w:rFonts w:ascii="宋体" w:hAnsi="宋体" w:cs="宋体" w:eastAsia="宋体" w:hint="default"/>
                <w:spacing w:val="36"/>
                <w:sz w:val="21"/>
                <w:szCs w:val="21"/>
              </w:rPr>
              <w:t>关的</w:t>
            </w:r>
            <w:r>
              <w:rPr>
                <w:rFonts w:ascii="宋体" w:hAnsi="宋体" w:cs="宋体" w:eastAsia="宋体" w:hint="default"/>
                <w:spacing w:val="-101"/>
                <w:sz w:val="21"/>
                <w:szCs w:val="21"/>
              </w:rPr>
              <w:t> </w:t>
            </w:r>
            <w:r>
              <w:rPr>
                <w:rFonts w:ascii="宋体" w:hAnsi="宋体" w:cs="宋体" w:eastAsia="宋体" w:hint="default"/>
                <w:sz w:val="21"/>
                <w:szCs w:val="21"/>
              </w:rPr>
              <w:t>承诺</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置入资</w:t>
            </w:r>
            <w:r>
              <w:rPr>
                <w:rFonts w:ascii="宋体" w:hAnsi="宋体" w:cs="宋体" w:eastAsia="宋体" w:hint="default"/>
                <w:sz w:val="21"/>
                <w:szCs w:val="21"/>
              </w:rPr>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产价值</w:t>
            </w:r>
            <w:r>
              <w:rPr>
                <w:rFonts w:ascii="宋体" w:hAnsi="宋体" w:cs="宋体" w:eastAsia="宋体" w:hint="default"/>
                <w:spacing w:val="-102"/>
                <w:sz w:val="21"/>
                <w:szCs w:val="21"/>
              </w:rPr>
              <w:t> </w:t>
            </w:r>
            <w:r>
              <w:rPr>
                <w:rFonts w:ascii="宋体" w:hAnsi="宋体" w:cs="宋体" w:eastAsia="宋体" w:hint="default"/>
                <w:spacing w:val="2"/>
                <w:sz w:val="21"/>
                <w:szCs w:val="21"/>
              </w:rPr>
              <w:t>保证及</w:t>
            </w:r>
            <w:r>
              <w:rPr>
                <w:rFonts w:ascii="宋体" w:hAnsi="宋体" w:cs="宋体" w:eastAsia="宋体" w:hint="default"/>
                <w:spacing w:val="-102"/>
                <w:sz w:val="21"/>
                <w:szCs w:val="21"/>
              </w:rPr>
              <w:t> </w:t>
            </w:r>
            <w:r>
              <w:rPr>
                <w:rFonts w:ascii="宋体" w:hAnsi="宋体" w:cs="宋体" w:eastAsia="宋体" w:hint="default"/>
                <w:sz w:val="21"/>
                <w:szCs w:val="21"/>
              </w:rPr>
              <w:t>补偿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同创投资及</w:t>
            </w:r>
          </w:p>
          <w:p>
            <w:pPr>
              <w:pStyle w:val="TableParagraph"/>
              <w:spacing w:line="237" w:lineRule="auto" w:before="2"/>
              <w:ind w:left="100" w:right="-3"/>
              <w:jc w:val="left"/>
              <w:rPr>
                <w:rFonts w:ascii="宋体" w:hAnsi="宋体" w:cs="宋体" w:eastAsia="宋体" w:hint="default"/>
                <w:sz w:val="21"/>
                <w:szCs w:val="21"/>
              </w:rPr>
            </w:pPr>
            <w:r>
              <w:rPr>
                <w:rFonts w:ascii="宋体" w:hAnsi="宋体" w:cs="宋体" w:eastAsia="宋体" w:hint="default"/>
                <w:sz w:val="21"/>
                <w:szCs w:val="21"/>
              </w:rPr>
              <w:t>中亘基、中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7"/>
                <w:w w:val="100"/>
                <w:sz w:val="21"/>
                <w:szCs w:val="21"/>
              </w:rPr>
              <w:t>嘉基、景浩、</w:t>
            </w:r>
            <w:r>
              <w:rPr>
                <w:rFonts w:ascii="宋体" w:hAnsi="宋体" w:cs="宋体" w:eastAsia="宋体" w:hint="default"/>
                <w:w w:val="100"/>
                <w:sz w:val="21"/>
                <w:szCs w:val="21"/>
              </w:rPr>
              <w:t> </w:t>
            </w:r>
            <w:r>
              <w:rPr>
                <w:rFonts w:ascii="宋体" w:hAnsi="宋体" w:cs="宋体" w:eastAsia="宋体" w:hint="default"/>
                <w:spacing w:val="-17"/>
                <w:w w:val="100"/>
                <w:sz w:val="21"/>
                <w:szCs w:val="21"/>
              </w:rPr>
              <w:t>景威、景合、</w:t>
            </w:r>
            <w:r>
              <w:rPr>
                <w:rFonts w:ascii="宋体" w:hAnsi="宋体" w:cs="宋体" w:eastAsia="宋体" w:hint="default"/>
                <w:w w:val="100"/>
                <w:sz w:val="21"/>
                <w:szCs w:val="21"/>
              </w:rPr>
              <w:t> </w:t>
            </w:r>
            <w:r>
              <w:rPr>
                <w:rFonts w:ascii="宋体" w:hAnsi="宋体" w:cs="宋体" w:eastAsia="宋体" w:hint="default"/>
                <w:spacing w:val="-17"/>
                <w:w w:val="100"/>
                <w:sz w:val="21"/>
                <w:szCs w:val="21"/>
              </w:rPr>
              <w:t>景吉、景杰、</w:t>
            </w:r>
            <w:r>
              <w:rPr>
                <w:rFonts w:ascii="宋体" w:hAnsi="宋体" w:cs="宋体" w:eastAsia="宋体" w:hint="default"/>
                <w:w w:val="100"/>
                <w:sz w:val="21"/>
                <w:szCs w:val="21"/>
              </w:rPr>
              <w:t> </w:t>
            </w:r>
            <w:r>
              <w:rPr>
                <w:rFonts w:ascii="宋体" w:hAnsi="宋体" w:cs="宋体" w:eastAsia="宋体" w:hint="default"/>
                <w:sz w:val="21"/>
                <w:szCs w:val="21"/>
              </w:rPr>
              <w:t>景崎、景腾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等十家重组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对方</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本次重组获得中国证监会核准</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5"/>
                <w:sz w:val="21"/>
                <w:szCs w:val="21"/>
              </w:rPr>
              <w:t>后，若因面积为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3,158.66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平方米</w:t>
            </w:r>
            <w:r>
              <w:rPr>
                <w:rFonts w:ascii="宋体" w:hAnsi="宋体" w:cs="宋体" w:eastAsia="宋体" w:hint="default"/>
                <w:spacing w:val="-102"/>
                <w:sz w:val="21"/>
                <w:szCs w:val="21"/>
              </w:rPr>
              <w:t> </w:t>
            </w:r>
            <w:r>
              <w:rPr>
                <w:rFonts w:ascii="宋体" w:hAnsi="宋体" w:cs="宋体" w:eastAsia="宋体" w:hint="default"/>
                <w:spacing w:val="-3"/>
                <w:sz w:val="21"/>
                <w:szCs w:val="21"/>
              </w:rPr>
              <w:t>的门卫房、配电房、仓库及部分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3"/>
                <w:sz w:val="21"/>
                <w:szCs w:val="21"/>
              </w:rPr>
              <w:t>办公房未能获得房屋产权证或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3"/>
                <w:sz w:val="21"/>
                <w:szCs w:val="21"/>
              </w:rPr>
              <w:t>未能规范部分房产证载建筑面</w:t>
            </w:r>
            <w:r>
              <w:rPr>
                <w:rFonts w:ascii="宋体" w:hAnsi="宋体" w:cs="宋体" w:eastAsia="宋体" w:hint="default"/>
                <w:spacing w:val="-77"/>
                <w:sz w:val="21"/>
                <w:szCs w:val="21"/>
              </w:rPr>
              <w:t> </w:t>
            </w:r>
            <w:r>
              <w:rPr>
                <w:rFonts w:ascii="宋体" w:hAnsi="宋体" w:cs="宋体" w:eastAsia="宋体" w:hint="default"/>
                <w:spacing w:val="13"/>
                <w:sz w:val="21"/>
                <w:szCs w:val="21"/>
              </w:rPr>
              <w:t>积与实际建筑面积不一致的情</w:t>
            </w:r>
            <w:r>
              <w:rPr>
                <w:rFonts w:ascii="宋体" w:hAnsi="宋体" w:cs="宋体" w:eastAsia="宋体" w:hint="default"/>
                <w:spacing w:val="-77"/>
                <w:sz w:val="21"/>
                <w:szCs w:val="21"/>
              </w:rPr>
              <w:t> </w:t>
            </w:r>
            <w:r>
              <w:rPr>
                <w:rFonts w:ascii="宋体" w:hAnsi="宋体" w:cs="宋体" w:eastAsia="宋体" w:hint="default"/>
                <w:spacing w:val="13"/>
                <w:sz w:val="21"/>
                <w:szCs w:val="21"/>
              </w:rPr>
              <w:t>形而导致宁波建工受到任何损</w:t>
            </w:r>
            <w:r>
              <w:rPr>
                <w:rFonts w:ascii="宋体" w:hAnsi="宋体" w:cs="宋体" w:eastAsia="宋体" w:hint="default"/>
                <w:spacing w:val="-77"/>
                <w:sz w:val="21"/>
                <w:szCs w:val="21"/>
              </w:rPr>
              <w:t> </w:t>
            </w:r>
            <w:r>
              <w:rPr>
                <w:rFonts w:ascii="宋体" w:hAnsi="宋体" w:cs="宋体" w:eastAsia="宋体" w:hint="default"/>
                <w:spacing w:val="-3"/>
                <w:sz w:val="21"/>
                <w:szCs w:val="21"/>
              </w:rPr>
              <w:t>失、承担任何支出或费用的，承</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诺人将对该部分损失、支出及费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用承担偿付责任，且在承担后不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向宁波建工追偿，保证宁波建工</w:t>
            </w:r>
          </w:p>
          <w:p>
            <w:pPr>
              <w:pStyle w:val="TableParagraph"/>
              <w:spacing w:line="232" w:lineRule="auto" w:before="4"/>
              <w:ind w:left="103" w:right="72"/>
              <w:jc w:val="both"/>
              <w:rPr>
                <w:rFonts w:ascii="宋体" w:hAnsi="宋体" w:cs="宋体" w:eastAsia="宋体" w:hint="default"/>
                <w:sz w:val="21"/>
                <w:szCs w:val="21"/>
              </w:rPr>
            </w:pPr>
            <w:r>
              <w:rPr>
                <w:rFonts w:ascii="宋体" w:hAnsi="宋体" w:cs="宋体" w:eastAsia="宋体" w:hint="default"/>
                <w:spacing w:val="-2"/>
                <w:sz w:val="21"/>
                <w:szCs w:val="21"/>
              </w:rPr>
              <w:t>不会因上述情形遭受任何损失。</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3"/>
                <w:sz w:val="21"/>
                <w:szCs w:val="21"/>
              </w:rPr>
              <w:t>该项承诺的具体实施办法详见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本公司于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日在上</w:t>
            </w:r>
            <w:r>
              <w:rPr>
                <w:rFonts w:ascii="宋体" w:hAnsi="宋体" w:cs="宋体" w:eastAsia="宋体" w:hint="default"/>
                <w:w w:val="100"/>
                <w:sz w:val="21"/>
                <w:szCs w:val="21"/>
              </w:rPr>
              <w:t> </w:t>
            </w:r>
            <w:r>
              <w:rPr>
                <w:rFonts w:ascii="宋体" w:hAnsi="宋体" w:cs="宋体" w:eastAsia="宋体" w:hint="default"/>
                <w:spacing w:val="-3"/>
                <w:sz w:val="21"/>
                <w:szCs w:val="21"/>
              </w:rPr>
              <w:t>海证券交易所网站披露的《关于</w:t>
            </w:r>
          </w:p>
          <w:p>
            <w:pPr>
              <w:pStyle w:val="TableParagraph"/>
              <w:spacing w:line="274" w:lineRule="exact" w:before="23"/>
              <w:ind w:left="103" w:right="84"/>
              <w:jc w:val="both"/>
              <w:rPr>
                <w:rFonts w:ascii="宋体" w:hAnsi="宋体" w:cs="宋体" w:eastAsia="宋体" w:hint="default"/>
                <w:sz w:val="21"/>
                <w:szCs w:val="21"/>
              </w:rPr>
            </w:pPr>
            <w:r>
              <w:rPr>
                <w:rFonts w:ascii="宋体" w:hAnsi="宋体" w:cs="宋体" w:eastAsia="宋体" w:hint="default"/>
                <w:spacing w:val="13"/>
                <w:sz w:val="21"/>
                <w:szCs w:val="21"/>
              </w:rPr>
              <w:t>资产重组部分标的房产拆除损</w:t>
            </w:r>
            <w:r>
              <w:rPr>
                <w:rFonts w:ascii="宋体" w:hAnsi="宋体" w:cs="宋体" w:eastAsia="宋体" w:hint="default"/>
                <w:spacing w:val="-77"/>
                <w:sz w:val="21"/>
                <w:szCs w:val="21"/>
              </w:rPr>
              <w:t> </w:t>
            </w:r>
            <w:r>
              <w:rPr>
                <w:rFonts w:ascii="宋体" w:hAnsi="宋体" w:cs="宋体" w:eastAsia="宋体" w:hint="default"/>
                <w:spacing w:val="-12"/>
                <w:w w:val="100"/>
                <w:sz w:val="21"/>
                <w:szCs w:val="21"/>
              </w:rPr>
              <w:t>失偿付承诺的公告》。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6"/>
                <w:sz w:val="21"/>
                <w:szCs w:val="21"/>
              </w:rPr>
              <w:t>与首</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3" w:right="24"/>
              <w:jc w:val="both"/>
              <w:rPr>
                <w:rFonts w:ascii="宋体" w:hAnsi="宋体" w:cs="宋体" w:eastAsia="宋体" w:hint="default"/>
                <w:sz w:val="21"/>
                <w:szCs w:val="21"/>
              </w:rPr>
            </w:pPr>
            <w:r>
              <w:rPr>
                <w:rFonts w:ascii="宋体" w:hAnsi="宋体" w:cs="宋体" w:eastAsia="宋体" w:hint="default"/>
                <w:spacing w:val="36"/>
                <w:sz w:val="21"/>
                <w:szCs w:val="21"/>
              </w:rPr>
              <w:t>次公</w:t>
            </w:r>
            <w:r>
              <w:rPr>
                <w:rFonts w:ascii="宋体" w:hAnsi="宋体" w:cs="宋体" w:eastAsia="宋体" w:hint="default"/>
                <w:spacing w:val="-101"/>
                <w:sz w:val="21"/>
                <w:szCs w:val="21"/>
              </w:rPr>
              <w:t> </w:t>
            </w:r>
            <w:r>
              <w:rPr>
                <w:rFonts w:ascii="宋体" w:hAnsi="宋体" w:cs="宋体" w:eastAsia="宋体" w:hint="default"/>
                <w:spacing w:val="36"/>
                <w:sz w:val="21"/>
                <w:szCs w:val="21"/>
              </w:rPr>
              <w:t>开发</w:t>
            </w:r>
            <w:r>
              <w:rPr>
                <w:rFonts w:ascii="宋体" w:hAnsi="宋体" w:cs="宋体" w:eastAsia="宋体" w:hint="default"/>
                <w:spacing w:val="-101"/>
                <w:sz w:val="21"/>
                <w:szCs w:val="21"/>
              </w:rPr>
              <w:t> </w:t>
            </w:r>
            <w:r>
              <w:rPr>
                <w:rFonts w:ascii="宋体" w:hAnsi="宋体" w:cs="宋体" w:eastAsia="宋体" w:hint="default"/>
                <w:spacing w:val="36"/>
                <w:sz w:val="21"/>
                <w:szCs w:val="21"/>
              </w:rPr>
              <w:t>行相</w:t>
            </w:r>
            <w:r>
              <w:rPr>
                <w:rFonts w:ascii="宋体" w:hAnsi="宋体" w:cs="宋体" w:eastAsia="宋体" w:hint="default"/>
                <w:spacing w:val="-101"/>
                <w:sz w:val="21"/>
                <w:szCs w:val="21"/>
              </w:rPr>
              <w:t> </w:t>
            </w:r>
            <w:r>
              <w:rPr>
                <w:rFonts w:ascii="宋体" w:hAnsi="宋体" w:cs="宋体" w:eastAsia="宋体" w:hint="default"/>
                <w:spacing w:val="36"/>
                <w:sz w:val="21"/>
                <w:szCs w:val="21"/>
              </w:rPr>
              <w:t>关的</w:t>
            </w:r>
            <w:r>
              <w:rPr>
                <w:rFonts w:ascii="宋体" w:hAnsi="宋体" w:cs="宋体" w:eastAsia="宋体" w:hint="default"/>
                <w:spacing w:val="-101"/>
                <w:sz w:val="21"/>
                <w:szCs w:val="21"/>
              </w:rPr>
              <w:t> </w:t>
            </w:r>
            <w:r>
              <w:rPr>
                <w:rFonts w:ascii="宋体" w:hAnsi="宋体" w:cs="宋体" w:eastAsia="宋体" w:hint="default"/>
                <w:sz w:val="21"/>
                <w:szCs w:val="21"/>
              </w:rPr>
              <w:t>承诺</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解决同</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日月集团股</w:t>
            </w:r>
          </w:p>
          <w:p>
            <w:pPr>
              <w:pStyle w:val="TableParagraph"/>
              <w:spacing w:line="272" w:lineRule="exact" w:before="2"/>
              <w:ind w:left="100" w:right="29"/>
              <w:jc w:val="left"/>
              <w:rPr>
                <w:rFonts w:ascii="宋体" w:hAnsi="宋体" w:cs="宋体" w:eastAsia="宋体" w:hint="default"/>
                <w:sz w:val="21"/>
                <w:szCs w:val="21"/>
              </w:rPr>
            </w:pPr>
            <w:r>
              <w:rPr>
                <w:rFonts w:ascii="宋体" w:hAnsi="宋体" w:cs="宋体" w:eastAsia="宋体" w:hint="default"/>
                <w:spacing w:val="53"/>
                <w:sz w:val="21"/>
                <w:szCs w:val="21"/>
              </w:rPr>
              <w:t>份有限公</w:t>
            </w:r>
            <w:r>
              <w:rPr>
                <w:rFonts w:ascii="宋体" w:hAnsi="宋体" w:cs="宋体" w:eastAsia="宋体" w:hint="default"/>
                <w:spacing w:val="-97"/>
                <w:sz w:val="21"/>
                <w:szCs w:val="21"/>
              </w:rPr>
              <w:t> </w:t>
            </w:r>
            <w:r>
              <w:rPr>
                <w:rFonts w:ascii="宋体" w:hAnsi="宋体" w:cs="宋体" w:eastAsia="宋体" w:hint="default"/>
                <w:sz w:val="21"/>
                <w:szCs w:val="21"/>
              </w:rPr>
              <w:t>司、公司实</w:t>
            </w:r>
          </w:p>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际控制人</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不直接或间接从事与公司相同</w:t>
            </w:r>
            <w:r>
              <w:rPr>
                <w:rFonts w:ascii="宋体" w:hAnsi="宋体" w:cs="宋体" w:eastAsia="宋体" w:hint="default"/>
                <w:sz w:val="21"/>
                <w:szCs w:val="21"/>
              </w:rPr>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3"/>
                <w:sz w:val="21"/>
                <w:szCs w:val="21"/>
              </w:rPr>
              <w:t>或相类似的业务，不与公司进行</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任何直接或间接的同业竞争。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hAnsi="宋体" w:cs="宋体" w:eastAsia="宋体" w:hint="default"/>
                <w:sz w:val="21"/>
                <w:szCs w:val="21"/>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84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711"/>
        <w:gridCol w:w="854"/>
        <w:gridCol w:w="1274"/>
        <w:gridCol w:w="3133"/>
        <w:gridCol w:w="710"/>
        <w:gridCol w:w="710"/>
        <w:gridCol w:w="711"/>
        <w:gridCol w:w="1277"/>
        <w:gridCol w:w="972"/>
      </w:tblGrid>
      <w:tr>
        <w:trPr>
          <w:trHeight w:val="1373" w:hRule="exact"/>
        </w:trPr>
        <w:tc>
          <w:tcPr>
            <w:tcW w:w="711" w:type="dxa"/>
            <w:vMerge w:val="restart"/>
            <w:tcBorders>
              <w:top w:val="single" w:sz="4" w:space="0" w:color="000000"/>
              <w:left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解决关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日月集团股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份有限公司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尽可能减少与公司之间的关联</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3"/>
                <w:sz w:val="21"/>
                <w:szCs w:val="21"/>
              </w:rPr>
              <w:t>交易。对于无法避免或者有合理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原因而发生的关联交易，不要求</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3"/>
                <w:sz w:val="21"/>
                <w:szCs w:val="21"/>
              </w:rPr>
              <w:t>公司提供优于任何第三者的条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0"/>
              <w:jc w:val="center"/>
              <w:rPr>
                <w:rFonts w:ascii="宋体" w:hAnsi="宋体" w:cs="宋体" w:eastAsia="宋体" w:hint="default"/>
                <w:sz w:val="21"/>
                <w:szCs w:val="21"/>
              </w:rPr>
            </w:pPr>
            <w:r>
              <w:rPr>
                <w:rFonts w:ascii="宋体" w:hAnsi="宋体" w:cs="宋体" w:eastAsia="宋体" w:hint="default"/>
                <w:sz w:val="21"/>
                <w:szCs w:val="21"/>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711" w:type="dxa"/>
            <w:vMerge/>
            <w:tcBorders>
              <w:left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日月集团股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份有限公司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0"/>
                <w:sz w:val="21"/>
                <w:szCs w:val="21"/>
              </w:rPr>
              <w:t> </w:t>
            </w:r>
            <w:r>
              <w:rPr>
                <w:rFonts w:ascii="宋体" w:hAnsi="宋体" w:cs="宋体" w:eastAsia="宋体" w:hint="default"/>
                <w:spacing w:val="-8"/>
                <w:sz w:val="21"/>
                <w:szCs w:val="21"/>
              </w:rPr>
              <w:t>年初，公司控股股东广天日</w:t>
            </w:r>
          </w:p>
          <w:p>
            <w:pPr>
              <w:pStyle w:val="TableParagraph"/>
              <w:spacing w:line="237" w:lineRule="auto"/>
              <w:ind w:left="103" w:right="72"/>
              <w:jc w:val="both"/>
              <w:rPr>
                <w:rFonts w:ascii="宋体" w:hAnsi="宋体" w:cs="宋体" w:eastAsia="宋体" w:hint="default"/>
                <w:sz w:val="21"/>
                <w:szCs w:val="21"/>
              </w:rPr>
            </w:pPr>
            <w:r>
              <w:rPr>
                <w:rFonts w:ascii="宋体" w:hAnsi="宋体" w:cs="宋体" w:eastAsia="宋体" w:hint="default"/>
                <w:spacing w:val="-2"/>
                <w:sz w:val="21"/>
                <w:szCs w:val="21"/>
              </w:rPr>
              <w:t>月将其与建筑主业有关的资产、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资质、业务、人员等转移至宁波</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建工，本次整体资产划转作为一</w:t>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项交易行为不违反相关法律的</w:t>
            </w:r>
            <w:r>
              <w:rPr>
                <w:rFonts w:ascii="宋体" w:hAnsi="宋体" w:cs="宋体" w:eastAsia="宋体" w:hint="default"/>
                <w:spacing w:val="-77"/>
                <w:sz w:val="21"/>
                <w:szCs w:val="21"/>
              </w:rPr>
              <w:t> </w:t>
            </w:r>
            <w:r>
              <w:rPr>
                <w:rFonts w:ascii="宋体" w:hAnsi="宋体" w:cs="宋体" w:eastAsia="宋体" w:hint="default"/>
                <w:spacing w:val="-3"/>
                <w:sz w:val="21"/>
                <w:szCs w:val="21"/>
              </w:rPr>
              <w:t>强制性规定，且获得交易双方权</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力机构确认。控股股东广天日月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3"/>
                <w:sz w:val="21"/>
                <w:szCs w:val="21"/>
              </w:rPr>
              <w:t>承诺因本次划转遗留问题而导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致宁波建工承担责任或损失，由</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其全部承担。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11"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解决关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公司控股股</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东浙江广天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日月集团股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份有限公司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及实际控制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人</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今后将不以借款、代偿债务、代</w:t>
            </w:r>
          </w:p>
          <w:p>
            <w:pPr>
              <w:pStyle w:val="TableParagraph"/>
              <w:spacing w:line="272" w:lineRule="exact" w:before="27"/>
              <w:ind w:left="103" w:right="84"/>
              <w:jc w:val="left"/>
              <w:rPr>
                <w:rFonts w:ascii="宋体" w:hAnsi="宋体" w:cs="宋体" w:eastAsia="宋体" w:hint="default"/>
                <w:sz w:val="21"/>
                <w:szCs w:val="21"/>
              </w:rPr>
            </w:pPr>
            <w:r>
              <w:rPr>
                <w:rFonts w:ascii="宋体" w:hAnsi="宋体" w:cs="宋体" w:eastAsia="宋体" w:hint="default"/>
                <w:spacing w:val="13"/>
                <w:sz w:val="21"/>
                <w:szCs w:val="21"/>
              </w:rPr>
              <w:t>垫款项或者其他任何方式占用</w:t>
            </w:r>
            <w:r>
              <w:rPr>
                <w:rFonts w:ascii="宋体" w:hAnsi="宋体" w:cs="宋体" w:eastAsia="宋体" w:hint="default"/>
                <w:spacing w:val="-77"/>
                <w:sz w:val="21"/>
                <w:szCs w:val="21"/>
              </w:rPr>
              <w:t> </w:t>
            </w:r>
            <w:r>
              <w:rPr>
                <w:rFonts w:ascii="宋体" w:hAnsi="宋体" w:cs="宋体" w:eastAsia="宋体" w:hint="default"/>
                <w:sz w:val="21"/>
                <w:szCs w:val="21"/>
              </w:rPr>
              <w:t>公司及其控股子公司的资金。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tabs>
          <w:tab w:pos="1524" w:val="left" w:leader="none"/>
        </w:tabs>
        <w:spacing w:line="264" w:lineRule="auto"/>
        <w:ind w:left="958" w:right="147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8" w:lineRule="exact"/>
        <w:ind w:left="958" w:right="777"/>
        <w:jc w:val="left"/>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spacing w:line="240" w:lineRule="auto" w:before="8"/>
        <w:rPr>
          <w:rFonts w:ascii="宋体" w:hAnsi="宋体" w:cs="宋体" w:eastAsia="宋体" w:hint="default"/>
          <w:sz w:val="21"/>
          <w:szCs w:val="21"/>
        </w:rPr>
      </w:pPr>
    </w:p>
    <w:p>
      <w:pPr>
        <w:pStyle w:val="Heading3"/>
        <w:spacing w:line="240" w:lineRule="auto" w:before="0"/>
        <w:ind w:left="958" w:right="777"/>
        <w:jc w:val="left"/>
        <w:rPr>
          <w:b w:val="0"/>
          <w:bCs w:val="0"/>
        </w:rPr>
      </w:pPr>
      <w:r>
        <w:rPr/>
        <w:t>三、报告期内资金被占用情况及清欠进展情况</w:t>
      </w:r>
      <w:r>
        <w:rPr>
          <w:b w:val="0"/>
          <w:bCs w:val="0"/>
        </w:rPr>
      </w:r>
    </w:p>
    <w:p>
      <w:pPr>
        <w:spacing w:line="276" w:lineRule="auto" w:before="56"/>
        <w:ind w:left="958" w:right="30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5"/>
        <w:ind w:left="958" w:right="77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3"/>
        <w:spacing w:line="240" w:lineRule="auto" w:before="0"/>
        <w:ind w:left="958" w:right="777"/>
        <w:jc w:val="left"/>
        <w:rPr>
          <w:b w:val="0"/>
          <w:bCs w:val="0"/>
        </w:rPr>
      </w:pPr>
      <w:r>
        <w:rPr/>
        <w:t>五、公司对会计政策、会计估计变更或重大会计差错更正原因和影响的分析说明</w:t>
      </w:r>
      <w:r>
        <w:rPr>
          <w:b w:val="0"/>
          <w:bCs w:val="0"/>
        </w:rPr>
      </w:r>
    </w:p>
    <w:p>
      <w:pPr>
        <w:pStyle w:val="Heading3"/>
        <w:tabs>
          <w:tab w:pos="1797" w:val="left" w:leader="none"/>
        </w:tabs>
        <w:spacing w:line="240" w:lineRule="auto" w:before="56"/>
        <w:ind w:left="958" w:right="777"/>
        <w:jc w:val="left"/>
        <w:rPr>
          <w:b w:val="0"/>
          <w:bCs w:val="0"/>
        </w:rPr>
      </w:pPr>
      <w:r>
        <w:rPr/>
        <w:t>（一）</w:t>
        <w:tab/>
        <w:t>公司对会计政策、会计估计变更原因及影响的分析说明</w:t>
      </w:r>
      <w:r>
        <w:rPr>
          <w:b w:val="0"/>
          <w:bCs w:val="0"/>
        </w:rPr>
      </w:r>
    </w:p>
    <w:p>
      <w:pPr>
        <w:pStyle w:val="BodyText"/>
        <w:tabs>
          <w:tab w:pos="1903" w:val="left" w:leader="none"/>
        </w:tabs>
        <w:spacing w:line="240" w:lineRule="auto" w:before="57"/>
        <w:ind w:left="1378" w:right="795" w:hanging="420"/>
        <w:jc w:val="left"/>
      </w:pPr>
      <w:r>
        <w:rPr/>
        <w:t>√适用</w:t>
        <w:tab/>
        <w:t>□不适用</w:t>
      </w:r>
      <w:r>
        <w:rPr>
          <w:w w:val="100"/>
        </w:rPr>
        <w:t> </w:t>
      </w:r>
      <w:r>
        <w:rPr>
          <w:rFonts w:ascii="宋体" w:hAnsi="宋体" w:cs="宋体" w:eastAsia="宋体" w:hint="default"/>
          <w:spacing w:val="-4"/>
        </w:rPr>
        <w:t>1</w:t>
      </w:r>
      <w:r>
        <w:rPr>
          <w:spacing w:val="-4"/>
        </w:rPr>
        <w:t>、财政部于</w:t>
      </w:r>
      <w:r>
        <w:rPr>
          <w:rFonts w:ascii="宋体" w:hAnsi="宋体" w:cs="宋体" w:eastAsia="宋体" w:hint="default"/>
          <w:spacing w:val="-4"/>
        </w:rPr>
        <w:t>2017</w:t>
      </w:r>
      <w:r>
        <w:rPr>
          <w:spacing w:val="-4"/>
        </w:rPr>
        <w:t>年度发布了《企业会计准则第</w:t>
      </w:r>
      <w:r>
        <w:rPr>
          <w:rFonts w:ascii="宋体" w:hAnsi="宋体" w:cs="宋体" w:eastAsia="宋体" w:hint="default"/>
          <w:spacing w:val="-4"/>
        </w:rPr>
        <w:t>42</w:t>
      </w:r>
      <w:r>
        <w:rPr>
          <w:spacing w:val="-4"/>
        </w:rPr>
        <w:t>号——持有待售的非流动资产、处置组和终</w:t>
      </w:r>
    </w:p>
    <w:p>
      <w:pPr>
        <w:pStyle w:val="BodyText"/>
        <w:spacing w:line="274" w:lineRule="exact" w:before="22"/>
        <w:ind w:left="958" w:right="777"/>
        <w:jc w:val="left"/>
      </w:pPr>
      <w:r>
        <w:rPr>
          <w:spacing w:val="-4"/>
        </w:rPr>
        <w:t>止经营》，自</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日起施行，对于施行日存在的持有待售的非流动资产、处置组和终止经</w:t>
      </w:r>
      <w:r>
        <w:rPr>
          <w:spacing w:val="-22"/>
        </w:rPr>
        <w:t> </w:t>
      </w:r>
      <w:r>
        <w:rPr>
          <w:spacing w:val="-22"/>
        </w:rPr>
      </w:r>
      <w:r>
        <w:rPr/>
        <w:t>营，要求采用未来适用法处理。</w:t>
      </w:r>
    </w:p>
    <w:p>
      <w:pPr>
        <w:pStyle w:val="BodyText"/>
        <w:spacing w:line="245" w:lineRule="exact"/>
        <w:ind w:left="1378" w:right="777"/>
        <w:jc w:val="left"/>
        <w:rPr>
          <w:rFonts w:ascii="宋体" w:hAnsi="宋体" w:cs="宋体" w:eastAsia="宋体" w:hint="default"/>
        </w:rPr>
      </w:pPr>
      <w:r>
        <w:rPr>
          <w:rFonts w:ascii="宋体" w:hAnsi="宋体" w:cs="宋体" w:eastAsia="宋体" w:hint="default"/>
        </w:rPr>
        <w:t>2</w:t>
      </w:r>
      <w:r>
        <w:rPr/>
        <w:t>、财政部于</w:t>
      </w:r>
      <w:r>
        <w:rPr>
          <w:rFonts w:ascii="宋体" w:hAnsi="宋体" w:cs="宋体" w:eastAsia="宋体" w:hint="default"/>
        </w:rPr>
        <w:t>2017</w:t>
      </w:r>
      <w:r>
        <w:rPr/>
        <w:t>年度修订了《企业会计准则第</w:t>
      </w:r>
      <w:r>
        <w:rPr>
          <w:rFonts w:ascii="宋体" w:hAnsi="宋体" w:cs="宋体" w:eastAsia="宋体" w:hint="default"/>
        </w:rPr>
        <w:t>16</w:t>
      </w:r>
      <w:r>
        <w:rPr/>
        <w:t>号——政府补助》，修订后的准则自</w:t>
      </w:r>
      <w:r>
        <w:rPr>
          <w:rFonts w:ascii="宋体" w:hAnsi="宋体" w:cs="宋体" w:eastAsia="宋体" w:hint="default"/>
        </w:rPr>
        <w:t>2017</w:t>
      </w:r>
    </w:p>
    <w:p>
      <w:pPr>
        <w:pStyle w:val="BodyText"/>
        <w:spacing w:line="272" w:lineRule="exact" w:before="27"/>
        <w:ind w:left="958" w:right="777"/>
        <w:jc w:val="left"/>
      </w:pP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日起施行，对于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日存在的政府补助，要求采用未来适用法处理；对于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rFonts w:ascii="宋体" w:hAnsi="宋体" w:cs="宋体" w:eastAsia="宋体" w:hint="default"/>
          <w:spacing w:val="-16"/>
        </w:rPr>
        <w:t> </w:t>
      </w:r>
      <w:r>
        <w:rPr/>
        <w:t>月</w:t>
      </w:r>
      <w:r>
        <w:rPr>
          <w:rFonts w:ascii="宋体" w:hAnsi="宋体" w:cs="宋体" w:eastAsia="宋体" w:hint="default"/>
        </w:rPr>
        <w:t>1</w:t>
      </w:r>
      <w:r>
        <w:rPr/>
        <w:t>日至施行日新增的政府补助，也要求按照修订后的准则进行调整。</w:t>
      </w:r>
    </w:p>
    <w:p>
      <w:pPr>
        <w:pStyle w:val="BodyText"/>
        <w:spacing w:line="247" w:lineRule="exact"/>
        <w:ind w:left="1378" w:right="0"/>
        <w:jc w:val="left"/>
      </w:pPr>
      <w:r>
        <w:rPr>
          <w:rFonts w:ascii="宋体" w:hAnsi="宋体" w:cs="宋体" w:eastAsia="宋体" w:hint="default"/>
          <w:w w:val="100"/>
        </w:rPr>
        <w:t>3</w:t>
      </w:r>
      <w:r>
        <w:rPr>
          <w:spacing w:val="-104"/>
          <w:w w:val="100"/>
        </w:rPr>
        <w:t>、</w:t>
      </w:r>
      <w:r>
        <w:rPr>
          <w:w w:val="100"/>
        </w:rPr>
        <w:t>财</w:t>
      </w:r>
      <w:r>
        <w:rPr>
          <w:spacing w:val="-3"/>
          <w:w w:val="100"/>
        </w:rPr>
        <w:t>政</w:t>
      </w:r>
      <w:r>
        <w:rPr>
          <w:w w:val="100"/>
        </w:rPr>
        <w:t>部</w:t>
      </w:r>
      <w:r>
        <w:rPr>
          <w:spacing w:val="-3"/>
          <w:w w:val="100"/>
        </w:rPr>
        <w:t>于</w:t>
      </w:r>
      <w:r>
        <w:rPr>
          <w:rFonts w:ascii="宋体" w:hAnsi="宋体" w:cs="宋体" w:eastAsia="宋体" w:hint="default"/>
          <w:w w:val="100"/>
        </w:rPr>
        <w:t>201</w:t>
      </w:r>
      <w:r>
        <w:rPr>
          <w:rFonts w:ascii="宋体" w:hAnsi="宋体" w:cs="宋体" w:eastAsia="宋体" w:hint="default"/>
          <w:spacing w:val="-3"/>
          <w:w w:val="100"/>
        </w:rPr>
        <w:t>7</w:t>
      </w:r>
      <w:r>
        <w:rPr>
          <w:w w:val="100"/>
        </w:rPr>
        <w:t>年</w:t>
      </w:r>
      <w:r>
        <w:rPr>
          <w:spacing w:val="-3"/>
          <w:w w:val="100"/>
        </w:rPr>
        <w:t>度</w:t>
      </w:r>
      <w:r>
        <w:rPr>
          <w:w w:val="100"/>
        </w:rPr>
        <w:t>发</w:t>
      </w:r>
      <w:r>
        <w:rPr>
          <w:spacing w:val="-3"/>
          <w:w w:val="100"/>
        </w:rPr>
        <w:t>布</w:t>
      </w:r>
      <w:r>
        <w:rPr>
          <w:spacing w:val="-104"/>
          <w:w w:val="100"/>
        </w:rPr>
        <w:t>了</w:t>
      </w:r>
      <w:r>
        <w:rPr>
          <w:w w:val="100"/>
        </w:rPr>
        <w:t>《</w:t>
      </w:r>
      <w:r>
        <w:rPr>
          <w:spacing w:val="-3"/>
          <w:w w:val="100"/>
        </w:rPr>
        <w:t>财</w:t>
      </w:r>
      <w:r>
        <w:rPr>
          <w:w w:val="100"/>
        </w:rPr>
        <w:t>政</w:t>
      </w:r>
      <w:r>
        <w:rPr>
          <w:spacing w:val="-3"/>
          <w:w w:val="100"/>
        </w:rPr>
        <w:t>部</w:t>
      </w:r>
      <w:r>
        <w:rPr>
          <w:w w:val="100"/>
        </w:rPr>
        <w:t>关</w:t>
      </w:r>
      <w:r>
        <w:rPr>
          <w:spacing w:val="-3"/>
          <w:w w:val="100"/>
        </w:rPr>
        <w:t>于</w:t>
      </w:r>
      <w:r>
        <w:rPr>
          <w:w w:val="100"/>
        </w:rPr>
        <w:t>修</w:t>
      </w:r>
      <w:r>
        <w:rPr>
          <w:spacing w:val="-3"/>
          <w:w w:val="100"/>
        </w:rPr>
        <w:t>订</w:t>
      </w:r>
      <w:r>
        <w:rPr>
          <w:w w:val="100"/>
        </w:rPr>
        <w:t>印</w:t>
      </w:r>
      <w:r>
        <w:rPr>
          <w:spacing w:val="-3"/>
          <w:w w:val="100"/>
        </w:rPr>
        <w:t>发一</w:t>
      </w:r>
      <w:r>
        <w:rPr>
          <w:w w:val="100"/>
        </w:rPr>
        <w:t>般企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w:t>
      </w:r>
      <w:r>
        <w:rPr>
          <w:spacing w:val="-3"/>
          <w:w w:val="100"/>
        </w:rPr>
        <w:t>通</w:t>
      </w:r>
      <w:r>
        <w:rPr>
          <w:w w:val="100"/>
        </w:rPr>
        <w:t>知</w:t>
      </w:r>
      <w:r>
        <w:rPr>
          <w:spacing w:val="-207"/>
          <w:w w:val="100"/>
        </w:rPr>
        <w:t>》</w:t>
      </w:r>
      <w:r>
        <w:rPr>
          <w:w w:val="100"/>
        </w:rPr>
        <w:t>（</w:t>
      </w:r>
      <w:r>
        <w:rPr>
          <w:spacing w:val="-3"/>
          <w:w w:val="100"/>
        </w:rPr>
        <w:t>财</w:t>
      </w:r>
      <w:r>
        <w:rPr>
          <w:spacing w:val="-104"/>
          <w:w w:val="100"/>
        </w:rPr>
        <w:t>会</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3"/>
          <w:w w:val="100"/>
        </w:rPr>
        <w:t>7</w:t>
      </w:r>
      <w:r>
        <w:rPr>
          <w:w w:val="100"/>
        </w:rPr>
        <w:t>〕</w:t>
      </w:r>
    </w:p>
    <w:p>
      <w:pPr>
        <w:pStyle w:val="BodyText"/>
        <w:spacing w:line="240" w:lineRule="auto"/>
        <w:ind w:left="958" w:right="777"/>
        <w:jc w:val="left"/>
      </w:pPr>
      <w:r>
        <w:rPr>
          <w:rFonts w:ascii="宋体" w:hAnsi="宋体" w:cs="宋体" w:eastAsia="宋体" w:hint="default"/>
          <w:spacing w:val="-2"/>
        </w:rPr>
        <w:t>30</w:t>
      </w:r>
      <w:r>
        <w:rPr>
          <w:spacing w:val="-2"/>
        </w:rPr>
        <w:t>号），执行企业会计准则的企业应按照企业会计准则和该通知要求编制</w:t>
      </w:r>
      <w:r>
        <w:rPr>
          <w:rFonts w:ascii="宋体" w:hAnsi="宋体" w:cs="宋体" w:eastAsia="宋体" w:hint="default"/>
          <w:spacing w:val="-2"/>
        </w:rPr>
        <w:t>2017</w:t>
      </w:r>
      <w:r>
        <w:rPr>
          <w:spacing w:val="-2"/>
        </w:rPr>
        <w:t>年度及以后期间的</w:t>
      </w:r>
      <w:r>
        <w:rPr>
          <w:spacing w:val="-24"/>
        </w:rPr>
        <w:t> </w:t>
      </w:r>
      <w:r>
        <w:rPr>
          <w:spacing w:val="-24"/>
        </w:rPr>
      </w:r>
      <w:r>
        <w:rPr/>
        <w:t>财务报表。</w:t>
      </w: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261"/>
        <w:gridCol w:w="4263"/>
      </w:tblGrid>
      <w:tr>
        <w:trPr>
          <w:trHeight w:val="34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828"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）财政部于</w:t>
            </w:r>
            <w:r>
              <w:rPr>
                <w:rFonts w:ascii="宋体" w:hAnsi="宋体" w:cs="宋体" w:eastAsia="宋体" w:hint="default"/>
                <w:spacing w:val="-4"/>
                <w:sz w:val="21"/>
                <w:szCs w:val="21"/>
              </w:rPr>
              <w:t>2017</w:t>
            </w:r>
            <w:r>
              <w:rPr>
                <w:rFonts w:ascii="宋体" w:hAnsi="宋体" w:cs="宋体" w:eastAsia="宋体" w:hint="default"/>
                <w:spacing w:val="-4"/>
                <w:sz w:val="21"/>
                <w:szCs w:val="21"/>
              </w:rPr>
              <w:t>年度发布了《企业会计准</w:t>
            </w:r>
          </w:p>
          <w:p>
            <w:pPr>
              <w:pStyle w:val="TableParagraph"/>
              <w:spacing w:line="272" w:lineRule="exact" w:before="27"/>
              <w:ind w:left="103" w:right="45"/>
              <w:jc w:val="left"/>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z w:val="21"/>
                <w:szCs w:val="21"/>
              </w:rPr>
              <w:t>42</w:t>
            </w:r>
            <w:r>
              <w:rPr>
                <w:rFonts w:ascii="宋体" w:hAnsi="宋体" w:cs="宋体" w:eastAsia="宋体" w:hint="default"/>
                <w:sz w:val="21"/>
                <w:szCs w:val="21"/>
              </w:rPr>
              <w:t>号——持有待售的非流动资产、处置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组和终止经营》，自</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5</w:t>
            </w:r>
            <w:r>
              <w:rPr>
                <w:rFonts w:ascii="宋体" w:hAnsi="宋体" w:cs="宋体" w:eastAsia="宋体" w:hint="default"/>
                <w:spacing w:val="-1"/>
                <w:sz w:val="21"/>
                <w:szCs w:val="21"/>
              </w:rPr>
              <w:t>月</w:t>
            </w:r>
            <w:r>
              <w:rPr>
                <w:rFonts w:ascii="宋体" w:hAnsi="宋体" w:cs="宋体" w:eastAsia="宋体" w:hint="default"/>
                <w:spacing w:val="-1"/>
                <w:sz w:val="21"/>
                <w:szCs w:val="21"/>
              </w:rPr>
              <w:t>28</w:t>
            </w:r>
            <w:r>
              <w:rPr>
                <w:rFonts w:ascii="宋体" w:hAnsi="宋体" w:cs="宋体" w:eastAsia="宋体" w:hint="default"/>
                <w:spacing w:val="-1"/>
                <w:sz w:val="21"/>
                <w:szCs w:val="21"/>
              </w:rPr>
              <w:t>日起施行，</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本年度无影响</w:t>
            </w:r>
          </w:p>
        </w:tc>
      </w:tr>
    </w:tbl>
    <w:p>
      <w:pPr>
        <w:spacing w:after="0" w:line="241" w:lineRule="exact"/>
        <w:jc w:val="left"/>
        <w:rPr>
          <w:rFonts w:ascii="宋体" w:hAnsi="宋体" w:cs="宋体" w:eastAsia="宋体" w:hint="default"/>
          <w:sz w:val="21"/>
          <w:szCs w:val="21"/>
        </w:rPr>
        <w:sectPr>
          <w:pgSz w:w="11910" w:h="16840"/>
          <w:pgMar w:header="880" w:footer="1195" w:top="1120" w:bottom="1380" w:left="84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61"/>
        <w:gridCol w:w="4263"/>
      </w:tblGrid>
      <w:tr>
        <w:trPr>
          <w:trHeight w:val="828"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对于施行日存在的持有待售的非流动资产、</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处置组和终止经营，要求采用未来适用法处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理。</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）与日常活动相关的政府补助，计入其他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收益，不再计入营业外收入。</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本年列示其他收益</w:t>
            </w:r>
            <w:r>
              <w:rPr>
                <w:rFonts w:ascii="宋体" w:hAnsi="宋体" w:cs="宋体" w:eastAsia="宋体" w:hint="default"/>
                <w:spacing w:val="-3"/>
                <w:sz w:val="21"/>
                <w:szCs w:val="21"/>
              </w:rPr>
              <w:t>14,442,489.30</w:t>
            </w:r>
            <w:r>
              <w:rPr>
                <w:rFonts w:ascii="宋体" w:hAnsi="宋体" w:cs="宋体" w:eastAsia="宋体" w:hint="default"/>
                <w:spacing w:val="-3"/>
                <w:sz w:val="21"/>
                <w:szCs w:val="21"/>
              </w:rPr>
              <w:t>元，比较数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据不调整</w:t>
            </w:r>
          </w:p>
        </w:tc>
      </w:tr>
      <w:tr>
        <w:trPr>
          <w:trHeight w:val="137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3</w:t>
            </w:r>
            <w:r>
              <w:rPr>
                <w:rFonts w:ascii="宋体" w:hAnsi="宋体" w:cs="宋体" w:eastAsia="宋体" w:hint="default"/>
                <w:spacing w:val="-9"/>
                <w:sz w:val="21"/>
                <w:szCs w:val="21"/>
              </w:rPr>
              <w:t>）在利润表中分别列示“持续经营净利润”</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和“终止经营净利润”，比较数据应相应调</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 年 列 示 持 续 经 营 净 利 润 金</w:t>
            </w:r>
            <w:r>
              <w:rPr>
                <w:rFonts w:ascii="宋体" w:hAnsi="宋体" w:cs="宋体" w:eastAsia="宋体" w:hint="default"/>
                <w:spacing w:val="45"/>
                <w:sz w:val="21"/>
                <w:szCs w:val="21"/>
              </w:rPr>
              <w:t> </w:t>
            </w:r>
            <w:r>
              <w:rPr>
                <w:rFonts w:ascii="宋体" w:hAnsi="宋体" w:cs="宋体" w:eastAsia="宋体" w:hint="default"/>
                <w:sz w:val="21"/>
                <w:szCs w:val="21"/>
              </w:rPr>
              <w:t>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218,323,496.26</w:t>
            </w:r>
            <w:r>
              <w:rPr>
                <w:rFonts w:ascii="宋体" w:hAnsi="宋体" w:cs="宋体" w:eastAsia="宋体" w:hint="default"/>
                <w:spacing w:val="40"/>
                <w:sz w:val="21"/>
                <w:szCs w:val="21"/>
              </w:rPr>
              <w:t> </w:t>
            </w:r>
            <w:r>
              <w:rPr>
                <w:rFonts w:ascii="宋体" w:hAnsi="宋体" w:cs="宋体" w:eastAsia="宋体" w:hint="default"/>
                <w:spacing w:val="10"/>
                <w:sz w:val="21"/>
                <w:szCs w:val="21"/>
              </w:rPr>
              <w:t>元；列示终止经营净利润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734.83</w:t>
            </w:r>
            <w:r>
              <w:rPr>
                <w:rFonts w:ascii="宋体" w:hAnsi="宋体" w:cs="宋体" w:eastAsia="宋体" w:hint="default"/>
                <w:spacing w:val="46"/>
                <w:sz w:val="21"/>
                <w:szCs w:val="21"/>
              </w:rPr>
              <w:t> </w:t>
            </w:r>
            <w:r>
              <w:rPr>
                <w:rFonts w:ascii="宋体" w:hAnsi="宋体" w:cs="宋体" w:eastAsia="宋体" w:hint="default"/>
                <w:spacing w:val="7"/>
                <w:sz w:val="21"/>
                <w:szCs w:val="21"/>
              </w:rPr>
              <w:t>元；上年列示持续经营净利润金额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206,008,509.94</w:t>
            </w:r>
            <w:r>
              <w:rPr>
                <w:rFonts w:ascii="宋体" w:hAnsi="宋体" w:cs="宋体" w:eastAsia="宋体" w:hint="default"/>
                <w:spacing w:val="42"/>
                <w:sz w:val="21"/>
                <w:szCs w:val="21"/>
              </w:rPr>
              <w:t> </w:t>
            </w:r>
            <w:r>
              <w:rPr>
                <w:rFonts w:ascii="宋体" w:hAnsi="宋体" w:cs="宋体" w:eastAsia="宋体" w:hint="default"/>
                <w:spacing w:val="10"/>
                <w:sz w:val="21"/>
                <w:szCs w:val="21"/>
              </w:rPr>
              <w:t>元；列示终止经营净利润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-513,887.33</w:t>
            </w:r>
            <w:r>
              <w:rPr>
                <w:rFonts w:ascii="宋体" w:hAnsi="宋体" w:cs="宋体" w:eastAsia="宋体" w:hint="default"/>
                <w:spacing w:val="-49"/>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10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4</w:t>
            </w:r>
            <w:r>
              <w:rPr>
                <w:rFonts w:ascii="宋体" w:hAnsi="宋体" w:cs="宋体" w:eastAsia="宋体" w:hint="default"/>
                <w:spacing w:val="6"/>
                <w:sz w:val="21"/>
                <w:szCs w:val="21"/>
              </w:rPr>
              <w:t>）在利润表中新增“资产处置收益”项</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目，将部分原列示为“营业外收入”的资产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处置损益重分类至“资产处置收益”项目。</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比较数据应相应调整。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重</w:t>
            </w:r>
            <w:r>
              <w:rPr>
                <w:rFonts w:ascii="宋体" w:hAnsi="宋体" w:cs="宋体" w:eastAsia="宋体" w:hint="default"/>
                <w:spacing w:val="-61"/>
                <w:sz w:val="21"/>
                <w:szCs w:val="21"/>
              </w:rPr>
              <w:t> </w:t>
            </w: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类</w:t>
            </w:r>
            <w:r>
              <w:rPr>
                <w:rFonts w:ascii="宋体" w:hAnsi="宋体" w:cs="宋体" w:eastAsia="宋体" w:hint="default"/>
                <w:spacing w:val="-60"/>
                <w:sz w:val="21"/>
                <w:szCs w:val="21"/>
              </w:rPr>
              <w:t> </w:t>
            </w:r>
            <w:r>
              <w:rPr>
                <w:rFonts w:ascii="宋体" w:hAnsi="宋体" w:cs="宋体" w:eastAsia="宋体" w:hint="default"/>
                <w:sz w:val="21"/>
                <w:szCs w:val="21"/>
              </w:rPr>
              <w:t>至</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产</w:t>
            </w:r>
            <w:r>
              <w:rPr>
                <w:rFonts w:ascii="宋体" w:hAnsi="宋体" w:cs="宋体" w:eastAsia="宋体" w:hint="default"/>
                <w:spacing w:val="-59"/>
                <w:sz w:val="21"/>
                <w:szCs w:val="21"/>
              </w:rPr>
              <w:t> </w:t>
            </w:r>
            <w:r>
              <w:rPr>
                <w:rFonts w:ascii="宋体" w:hAnsi="宋体" w:cs="宋体" w:eastAsia="宋体" w:hint="default"/>
                <w:sz w:val="21"/>
                <w:szCs w:val="21"/>
              </w:rPr>
              <w:t>处</w:t>
            </w:r>
            <w:r>
              <w:rPr>
                <w:rFonts w:ascii="宋体" w:hAnsi="宋体" w:cs="宋体" w:eastAsia="宋体" w:hint="default"/>
                <w:spacing w:val="-61"/>
                <w:sz w:val="21"/>
                <w:szCs w:val="21"/>
              </w:rPr>
              <w:t> </w:t>
            </w:r>
            <w:r>
              <w:rPr>
                <w:rFonts w:ascii="宋体" w:hAnsi="宋体" w:cs="宋体" w:eastAsia="宋体" w:hint="default"/>
                <w:sz w:val="21"/>
                <w:szCs w:val="21"/>
              </w:rPr>
              <w:t>置</w:t>
            </w:r>
            <w:r>
              <w:rPr>
                <w:rFonts w:ascii="宋体" w:hAnsi="宋体" w:cs="宋体" w:eastAsia="宋体" w:hint="default"/>
                <w:spacing w:val="-59"/>
                <w:sz w:val="21"/>
                <w:szCs w:val="21"/>
              </w:rPr>
              <w:t> </w:t>
            </w:r>
            <w:r>
              <w:rPr>
                <w:rFonts w:ascii="宋体" w:hAnsi="宋体" w:cs="宋体" w:eastAsia="宋体" w:hint="default"/>
                <w:sz w:val="21"/>
                <w:szCs w:val="21"/>
              </w:rPr>
              <w:t>收</w:t>
            </w:r>
            <w:r>
              <w:rPr>
                <w:rFonts w:ascii="宋体" w:hAnsi="宋体" w:cs="宋体" w:eastAsia="宋体" w:hint="default"/>
                <w:spacing w:val="-59"/>
                <w:sz w:val="21"/>
                <w:szCs w:val="21"/>
              </w:rPr>
              <w:t> </w:t>
            </w:r>
            <w:r>
              <w:rPr>
                <w:rFonts w:ascii="宋体" w:hAnsi="宋体" w:cs="宋体" w:eastAsia="宋体" w:hint="default"/>
                <w:sz w:val="21"/>
                <w:szCs w:val="21"/>
              </w:rPr>
              <w:t>益</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额</w:t>
            </w:r>
            <w:r>
              <w:rPr>
                <w:rFonts w:ascii="宋体" w:hAnsi="宋体" w:cs="宋体" w:eastAsia="宋体" w:hint="default"/>
                <w:spacing w:val="-59"/>
                <w:sz w:val="21"/>
                <w:szCs w:val="21"/>
              </w:rPr>
              <w:t> </w:t>
            </w:r>
            <w:r>
              <w:rPr>
                <w:rFonts w:ascii="宋体" w:hAnsi="宋体" w:cs="宋体" w:eastAsia="宋体" w:hint="default"/>
                <w:sz w:val="21"/>
                <w:szCs w:val="21"/>
              </w:rPr>
              <w:t>为</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1,097,362.04</w:t>
            </w:r>
            <w:r>
              <w:rPr>
                <w:rFonts w:ascii="宋体" w:hAnsi="宋体" w:cs="宋体" w:eastAsia="宋体" w:hint="default"/>
                <w:sz w:val="21"/>
                <w:szCs w:val="21"/>
              </w:rPr>
              <w:t>元；上年重分类至资产处置收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益的金额为</w:t>
            </w:r>
            <w:r>
              <w:rPr>
                <w:rFonts w:ascii="宋体" w:hAnsi="宋体" w:cs="宋体" w:eastAsia="宋体" w:hint="default"/>
                <w:sz w:val="21"/>
                <w:szCs w:val="21"/>
              </w:rPr>
              <w:t>110,275.84</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1057" w:val="left" w:leader="none"/>
        </w:tabs>
        <w:spacing w:line="240" w:lineRule="auto"/>
        <w:ind w:left="218" w:right="2465"/>
        <w:jc w:val="left"/>
        <w:rPr>
          <w:b w:val="0"/>
          <w:bCs w:val="0"/>
        </w:rPr>
      </w:pPr>
      <w:r>
        <w:rPr/>
        <w:t>（二）</w:t>
        <w:tab/>
        <w:t>公司对重大会计差错更正原因及影响的分析说明</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tabs>
          <w:tab w:pos="1057" w:val="left" w:leader="none"/>
        </w:tabs>
        <w:spacing w:line="240" w:lineRule="auto" w:before="0"/>
        <w:ind w:left="218" w:right="2465"/>
        <w:jc w:val="left"/>
        <w:rPr>
          <w:b w:val="0"/>
          <w:bCs w:val="0"/>
        </w:rPr>
      </w:pPr>
      <w:r>
        <w:rPr/>
        <w:t>（三）</w:t>
        <w:tab/>
        <w:t>与前任会计师事务所进行的沟通情况</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tabs>
          <w:tab w:pos="1057" w:val="left" w:leader="none"/>
        </w:tabs>
        <w:spacing w:line="240" w:lineRule="auto" w:before="0"/>
        <w:ind w:left="218" w:right="2465"/>
        <w:jc w:val="left"/>
        <w:rPr>
          <w:b w:val="0"/>
          <w:bCs w:val="0"/>
        </w:rPr>
      </w:pPr>
      <w:r>
        <w:rPr/>
        <w:t>（四）</w:t>
        <w:tab/>
        <w:t>其他说明</w:t>
      </w:r>
      <w:r>
        <w:rPr>
          <w:b w:val="0"/>
          <w:bCs w:val="0"/>
        </w:rPr>
      </w:r>
    </w:p>
    <w:p>
      <w:pPr>
        <w:pStyle w:val="BodyText"/>
        <w:tabs>
          <w:tab w:pos="976" w:val="left" w:leader="none"/>
        </w:tabs>
        <w:spacing w:line="240" w:lineRule="auto" w:before="59"/>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pStyle w:val="Heading3"/>
        <w:spacing w:line="240" w:lineRule="auto"/>
        <w:ind w:left="218" w:right="2465"/>
        <w:jc w:val="left"/>
        <w:rPr>
          <w:b w:val="0"/>
          <w:bCs w:val="0"/>
        </w:rPr>
      </w:pPr>
      <w:r>
        <w:rPr/>
        <w:t>六、聘任、解聘会计师事务所情况</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130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大信会计师事务所（特殊普通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218" w:right="2465"/>
        <w:jc w:val="left"/>
      </w:pPr>
      <w:r>
        <w:rPr/>
        <w:t>聘任、解聘会计师事务所的情况说明</w:t>
      </w:r>
    </w:p>
    <w:p>
      <w:pPr>
        <w:pStyle w:val="BodyText"/>
        <w:spacing w:line="280" w:lineRule="exact"/>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ind w:left="218" w:right="0"/>
        <w:jc w:val="left"/>
        <w:rPr>
          <w:rFonts w:ascii="Times New Roman" w:hAnsi="Times New Roman" w:cs="Times New Roman" w:eastAsia="Times New Roman" w:hint="default"/>
        </w:rPr>
      </w:pPr>
      <w:r>
        <w:rPr/>
        <w:t>经公司 </w:t>
      </w:r>
      <w:r>
        <w:rPr>
          <w:rFonts w:ascii="Times New Roman" w:hAnsi="Times New Roman" w:cs="Times New Roman" w:eastAsia="Times New Roman" w:hint="default"/>
        </w:rPr>
        <w:t>2016 </w:t>
      </w:r>
      <w:r>
        <w:rPr/>
        <w:t>年度股东大会审议通过，公司聘任大信会计师事务所（特殊普通合伙）为公司</w:t>
      </w:r>
      <w:r>
        <w:rPr>
          <w:spacing w:val="-48"/>
        </w:rPr>
        <w:t> </w:t>
      </w:r>
      <w:r>
        <w:rPr>
          <w:rFonts w:ascii="Times New Roman" w:hAnsi="Times New Roman" w:cs="Times New Roman" w:eastAsia="Times New Roman" w:hint="default"/>
        </w:rPr>
        <w:t>2017</w:t>
      </w:r>
    </w:p>
    <w:p>
      <w:pPr>
        <w:pStyle w:val="BodyText"/>
        <w:spacing w:line="281" w:lineRule="exact"/>
        <w:ind w:left="218" w:right="2465"/>
        <w:jc w:val="left"/>
      </w:pPr>
      <w:r>
        <w:rPr/>
        <w:t>年度审计机构，年度审计费用</w:t>
      </w:r>
      <w:r>
        <w:rPr>
          <w:spacing w:val="-55"/>
        </w:rPr>
        <w:t> </w:t>
      </w:r>
      <w:r>
        <w:rPr>
          <w:rFonts w:ascii="Times New Roman" w:hAnsi="Times New Roman" w:cs="Times New Roman" w:eastAsia="Times New Roman" w:hint="default"/>
        </w:rPr>
        <w:t>130</w:t>
      </w:r>
      <w:r>
        <w:rPr>
          <w:rFonts w:ascii="Times New Roman" w:hAnsi="Times New Roman" w:cs="Times New Roman" w:eastAsia="Times New Roman" w:hint="default"/>
          <w:spacing w:val="-2"/>
        </w:rPr>
        <w:t> </w:t>
      </w:r>
      <w:r>
        <w:rPr/>
        <w:t>万元人民币。</w:t>
      </w:r>
    </w:p>
    <w:p>
      <w:pPr>
        <w:spacing w:line="240" w:lineRule="auto" w:before="0"/>
        <w:rPr>
          <w:rFonts w:ascii="宋体" w:hAnsi="宋体" w:cs="宋体" w:eastAsia="宋体" w:hint="default"/>
          <w:sz w:val="17"/>
          <w:szCs w:val="17"/>
        </w:rPr>
      </w:pPr>
    </w:p>
    <w:p>
      <w:pPr>
        <w:pStyle w:val="BodyText"/>
        <w:spacing w:line="274" w:lineRule="exact"/>
        <w:ind w:left="218" w:right="2465"/>
        <w:jc w:val="left"/>
      </w:pPr>
      <w:r>
        <w:rPr/>
        <w:t>审计期间改聘会计师事务所的情况说明</w:t>
      </w:r>
    </w:p>
    <w:p>
      <w:pPr>
        <w:pStyle w:val="BodyText"/>
        <w:tabs>
          <w:tab w:pos="976" w:val="left" w:leader="none"/>
        </w:tabs>
        <w:spacing w:line="290" w:lineRule="exact"/>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tabs>
          <w:tab w:pos="1057" w:val="left" w:leader="none"/>
        </w:tabs>
        <w:spacing w:line="292" w:lineRule="auto" w:before="0"/>
        <w:ind w:left="218"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976" w:val="left" w:leader="none"/>
        </w:tabs>
        <w:spacing w:line="240" w:lineRule="auto" w:before="10"/>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22"/>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tabs>
          <w:tab w:pos="1657" w:val="left" w:leader="none"/>
        </w:tabs>
        <w:spacing w:line="240" w:lineRule="auto"/>
        <w:ind w:left="8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left="8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818" w:right="0"/>
        <w:jc w:val="left"/>
        <w:rPr>
          <w:b w:val="0"/>
          <w:bCs w:val="0"/>
        </w:rPr>
      </w:pPr>
      <w:r>
        <w:rPr/>
        <w:t>八、面临终止上市的情况和原因</w:t>
      </w:r>
      <w:r>
        <w:rPr>
          <w:b w:val="0"/>
          <w:bCs w:val="0"/>
        </w:rPr>
      </w:r>
    </w:p>
    <w:p>
      <w:pPr>
        <w:pStyle w:val="BodyText"/>
        <w:tabs>
          <w:tab w:pos="1576" w:val="left" w:leader="none"/>
        </w:tabs>
        <w:spacing w:line="240" w:lineRule="auto" w:before="56"/>
        <w:ind w:left="8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818" w:right="0"/>
        <w:jc w:val="left"/>
        <w:rPr>
          <w:b w:val="0"/>
          <w:bCs w:val="0"/>
        </w:rPr>
      </w:pPr>
      <w:r>
        <w:rPr/>
        <w:t>九、破产重整相关事项</w:t>
      </w:r>
      <w:r>
        <w:rPr>
          <w:b w:val="0"/>
          <w:bCs w:val="0"/>
        </w:rPr>
      </w:r>
    </w:p>
    <w:p>
      <w:pPr>
        <w:pStyle w:val="BodyText"/>
        <w:spacing w:line="240" w:lineRule="auto" w:before="58"/>
        <w:ind w:left="8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818" w:right="0"/>
        <w:jc w:val="left"/>
        <w:rPr>
          <w:b w:val="0"/>
          <w:bCs w:val="0"/>
        </w:rPr>
      </w:pPr>
      <w:r>
        <w:rPr/>
        <w:t>十、重大诉讼、仲裁事项</w:t>
      </w:r>
      <w:r>
        <w:rPr>
          <w:b w:val="0"/>
          <w:bCs w:val="0"/>
        </w:rPr>
      </w:r>
    </w:p>
    <w:p>
      <w:pPr>
        <w:pStyle w:val="BodyText"/>
        <w:spacing w:line="240" w:lineRule="auto" w:before="57"/>
        <w:ind w:left="818" w:right="0"/>
        <w:jc w:val="left"/>
      </w:pPr>
      <w:r>
        <w:rPr>
          <w:rFonts w:ascii="Times New Roman" w:hAnsi="Times New Roman" w:cs="Times New Roman" w:eastAsia="Times New Roman" w:hint="default"/>
        </w:rPr>
        <w:t>√</w:t>
      </w:r>
      <w:r>
        <w:rPr/>
        <w:t>本年度公司有重大诉讼、仲裁事项</w:t>
      </w:r>
      <w:r>
        <w:rPr>
          <w:spacing w:val="-3"/>
        </w:rPr>
        <w:t> </w:t>
      </w:r>
      <w:r>
        <w:rPr>
          <w:rFonts w:ascii="Times New Roman" w:hAnsi="Times New Roman" w:cs="Times New Roman" w:eastAsia="Times New Roman" w:hint="default"/>
        </w:rPr>
        <w:t>□</w:t>
      </w:r>
      <w:r>
        <w:rPr/>
        <w:t>本年度公司无重大诉讼、仲裁事项</w:t>
      </w:r>
    </w:p>
    <w:p>
      <w:pPr>
        <w:pStyle w:val="Heading3"/>
        <w:spacing w:line="240" w:lineRule="auto" w:before="43"/>
        <w:ind w:left="8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left="8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4" w:type="dxa"/>
        <w:tblLayout w:type="fixed"/>
        <w:tblCellMar>
          <w:top w:w="0" w:type="dxa"/>
          <w:left w:w="0" w:type="dxa"/>
          <w:bottom w:w="0" w:type="dxa"/>
          <w:right w:w="0" w:type="dxa"/>
        </w:tblCellMar>
        <w:tblLook w:val="01E0"/>
      </w:tblPr>
      <w:tblGrid>
        <w:gridCol w:w="6239"/>
        <w:gridCol w:w="3685"/>
      </w:tblGrid>
      <w:tr>
        <w:trPr>
          <w:trHeight w:val="28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73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月与兰溪市喜瑞地产发展有限公司（简称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喜瑞</w:t>
            </w:r>
            <w:r>
              <w:rPr>
                <w:rFonts w:ascii="宋体" w:hAnsi="宋体" w:cs="宋体" w:eastAsia="宋体" w:hint="default"/>
                <w:sz w:val="21"/>
                <w:szCs w:val="21"/>
              </w:rPr>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地产</w:t>
            </w:r>
            <w:r>
              <w:rPr>
                <w:rFonts w:ascii="Times New Roman" w:hAnsi="Times New Roman" w:cs="Times New Roman" w:eastAsia="Times New Roman" w:hint="default"/>
                <w:sz w:val="21"/>
                <w:szCs w:val="21"/>
              </w:rPr>
              <w:t>”</w:t>
            </w:r>
            <w:r>
              <w:rPr>
                <w:rFonts w:ascii="宋体" w:hAnsi="宋体" w:cs="宋体" w:eastAsia="宋体" w:hint="default"/>
                <w:sz w:val="21"/>
                <w:szCs w:val="21"/>
              </w:rPr>
              <w:t>）签订建设工程施工合同，并组织施工。截止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日，喜瑞地产尚拖欠本公司包括工程款、补贴费、进度奖励款</w:t>
            </w:r>
          </w:p>
          <w:p>
            <w:pPr>
              <w:pStyle w:val="TableParagraph"/>
              <w:spacing w:line="230"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等共计</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127,406,606.61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元。本公司于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月向金华市中级人</w:t>
            </w:r>
            <w:r>
              <w:rPr>
                <w:rFonts w:ascii="宋体" w:hAnsi="宋体" w:cs="宋体" w:eastAsia="宋体" w:hint="default"/>
                <w:w w:val="100"/>
                <w:sz w:val="21"/>
                <w:szCs w:val="21"/>
              </w:rPr>
              <w:t> </w:t>
            </w:r>
            <w:r>
              <w:rPr>
                <w:rFonts w:ascii="宋体" w:hAnsi="宋体" w:cs="宋体" w:eastAsia="宋体" w:hint="default"/>
                <w:spacing w:val="-4"/>
                <w:sz w:val="21"/>
                <w:szCs w:val="21"/>
              </w:rPr>
              <w:t>民法院提起诉讼，诉求法院判决喜瑞地产支付拖欠本公司相关款项</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共计 </w:t>
            </w:r>
            <w:r>
              <w:rPr>
                <w:rFonts w:ascii="Times New Roman" w:hAnsi="Times New Roman" w:cs="Times New Roman" w:eastAsia="Times New Roman" w:hint="default"/>
                <w:sz w:val="21"/>
                <w:szCs w:val="21"/>
              </w:rPr>
              <w:t>127,406,606.61</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元，金华市中级人民法院受理了本案。本公司</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47"/>
                <w:sz w:val="21"/>
                <w:szCs w:val="21"/>
              </w:rPr>
              <w:t> </w:t>
            </w:r>
            <w:r>
              <w:rPr>
                <w:rFonts w:ascii="Times New Roman" w:hAnsi="Times New Roman" w:cs="Times New Roman" w:eastAsia="Times New Roman" w:hint="default"/>
                <w:w w:val="100"/>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与</w:t>
            </w:r>
            <w:r>
              <w:rPr>
                <w:rFonts w:ascii="宋体" w:hAnsi="宋体" w:cs="宋体" w:eastAsia="宋体" w:hint="default"/>
                <w:spacing w:val="-3"/>
                <w:w w:val="100"/>
                <w:sz w:val="21"/>
                <w:szCs w:val="21"/>
              </w:rPr>
              <w:t>喜</w:t>
            </w:r>
            <w:r>
              <w:rPr>
                <w:rFonts w:ascii="宋体" w:hAnsi="宋体" w:cs="宋体" w:eastAsia="宋体" w:hint="default"/>
                <w:w w:val="100"/>
                <w:sz w:val="21"/>
                <w:szCs w:val="21"/>
              </w:rPr>
              <w:t>瑞地</w:t>
            </w:r>
            <w:r>
              <w:rPr>
                <w:rFonts w:ascii="宋体" w:hAnsi="宋体" w:cs="宋体" w:eastAsia="宋体" w:hint="default"/>
                <w:spacing w:val="-3"/>
                <w:w w:val="100"/>
                <w:sz w:val="21"/>
                <w:szCs w:val="21"/>
              </w:rPr>
              <w:t>产</w:t>
            </w:r>
            <w:r>
              <w:rPr>
                <w:rFonts w:ascii="宋体" w:hAnsi="宋体" w:cs="宋体" w:eastAsia="宋体" w:hint="default"/>
                <w:w w:val="100"/>
                <w:sz w:val="21"/>
                <w:szCs w:val="21"/>
              </w:rPr>
              <w:t>达</w:t>
            </w:r>
            <w:r>
              <w:rPr>
                <w:rFonts w:ascii="宋体" w:hAnsi="宋体" w:cs="宋体" w:eastAsia="宋体" w:hint="default"/>
                <w:spacing w:val="-3"/>
                <w:w w:val="100"/>
                <w:sz w:val="21"/>
                <w:szCs w:val="21"/>
              </w:rPr>
              <w:t>成</w:t>
            </w:r>
            <w:r>
              <w:rPr>
                <w:rFonts w:ascii="宋体" w:hAnsi="宋体" w:cs="宋体" w:eastAsia="宋体" w:hint="default"/>
                <w:w w:val="100"/>
                <w:sz w:val="21"/>
                <w:szCs w:val="21"/>
              </w:rPr>
              <w:t>《</w:t>
            </w:r>
            <w:r>
              <w:rPr>
                <w:rFonts w:ascii="宋体" w:hAnsi="宋体" w:cs="宋体" w:eastAsia="宋体" w:hint="default"/>
                <w:spacing w:val="-3"/>
                <w:w w:val="100"/>
                <w:sz w:val="21"/>
                <w:szCs w:val="21"/>
              </w:rPr>
              <w:t>和</w:t>
            </w:r>
            <w:r>
              <w:rPr>
                <w:rFonts w:ascii="宋体" w:hAnsi="宋体" w:cs="宋体" w:eastAsia="宋体" w:hint="default"/>
                <w:w w:val="100"/>
                <w:sz w:val="21"/>
                <w:szCs w:val="21"/>
              </w:rPr>
              <w:t>解</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根据</w:t>
            </w:r>
            <w:r>
              <w:rPr>
                <w:rFonts w:ascii="宋体" w:hAnsi="宋体" w:cs="宋体" w:eastAsia="宋体" w:hint="default"/>
                <w:spacing w:val="-3"/>
                <w:w w:val="100"/>
                <w:sz w:val="21"/>
                <w:szCs w:val="21"/>
              </w:rPr>
              <w:t>该</w:t>
            </w:r>
            <w:r>
              <w:rPr>
                <w:rFonts w:ascii="宋体" w:hAnsi="宋体" w:cs="宋体" w:eastAsia="宋体" w:hint="default"/>
                <w:w w:val="100"/>
                <w:sz w:val="21"/>
                <w:szCs w:val="21"/>
              </w:rPr>
              <w:t>《</w:t>
            </w:r>
            <w:r>
              <w:rPr>
                <w:rFonts w:ascii="宋体" w:hAnsi="宋体" w:cs="宋体" w:eastAsia="宋体" w:hint="default"/>
                <w:spacing w:val="-3"/>
                <w:w w:val="100"/>
                <w:sz w:val="21"/>
                <w:szCs w:val="21"/>
              </w:rPr>
              <w:t>和</w:t>
            </w:r>
            <w:r>
              <w:rPr>
                <w:rFonts w:ascii="宋体" w:hAnsi="宋体" w:cs="宋体" w:eastAsia="宋体" w:hint="default"/>
                <w:w w:val="100"/>
                <w:sz w:val="21"/>
                <w:szCs w:val="21"/>
              </w:rPr>
              <w:t>解</w:t>
            </w:r>
          </w:p>
          <w:p>
            <w:pPr>
              <w:pStyle w:val="TableParagraph"/>
              <w:spacing w:line="232" w:lineRule="auto"/>
              <w:ind w:left="100" w:right="-5"/>
              <w:jc w:val="left"/>
              <w:rPr>
                <w:rFonts w:ascii="Times New Roman" w:hAnsi="Times New Roman" w:cs="Times New Roman" w:eastAsia="Times New Roman" w:hint="default"/>
                <w:sz w:val="21"/>
                <w:szCs w:val="21"/>
              </w:rPr>
            </w:pPr>
            <w:r>
              <w:rPr>
                <w:rFonts w:ascii="宋体" w:hAnsi="宋体" w:cs="宋体" w:eastAsia="宋体" w:hint="default"/>
                <w:spacing w:val="-14"/>
                <w:w w:val="100"/>
                <w:sz w:val="21"/>
                <w:szCs w:val="21"/>
              </w:rPr>
              <w:t>协议》，</w:t>
            </w:r>
            <w:r>
              <w:rPr>
                <w:rFonts w:ascii="Times New Roman" w:hAnsi="Times New Roman" w:cs="Times New Roman" w:eastAsia="Times New Roman" w:hint="default"/>
                <w:spacing w:val="-14"/>
                <w:w w:val="100"/>
                <w:sz w:val="21"/>
                <w:szCs w:val="21"/>
              </w:rPr>
              <w:t>2014</w:t>
            </w:r>
            <w:r>
              <w:rPr>
                <w:rFonts w:ascii="Times New Roman" w:hAnsi="Times New Roman" w:cs="Times New Roman" w:eastAsia="Times New Roman" w:hint="default"/>
                <w:spacing w:val="15"/>
                <w:w w:val="100"/>
                <w:sz w:val="21"/>
                <w:szCs w:val="21"/>
              </w:rPr>
              <w:t> </w:t>
            </w:r>
            <w:r>
              <w:rPr>
                <w:rFonts w:ascii="宋体" w:hAnsi="宋体" w:cs="宋体" w:eastAsia="宋体" w:hint="default"/>
                <w:w w:val="100"/>
                <w:sz w:val="21"/>
                <w:szCs w:val="21"/>
              </w:rPr>
              <w:t>年</w:t>
            </w:r>
            <w:r>
              <w:rPr>
                <w:rFonts w:ascii="宋体" w:hAnsi="宋体" w:cs="宋体" w:eastAsia="宋体" w:hint="default"/>
                <w:spacing w:val="-35"/>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19"/>
                <w:w w:val="100"/>
                <w:sz w:val="21"/>
                <w:szCs w:val="21"/>
              </w:rPr>
              <w:t> </w:t>
            </w:r>
            <w:r>
              <w:rPr>
                <w:rFonts w:ascii="宋体" w:hAnsi="宋体" w:cs="宋体" w:eastAsia="宋体" w:hint="default"/>
                <w:w w:val="100"/>
                <w:sz w:val="21"/>
                <w:szCs w:val="21"/>
              </w:rPr>
              <w:t>月</w:t>
            </w:r>
            <w:r>
              <w:rPr>
                <w:rFonts w:ascii="宋体" w:hAnsi="宋体" w:cs="宋体" w:eastAsia="宋体" w:hint="default"/>
                <w:spacing w:val="-35"/>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2"/>
                <w:w w:val="100"/>
                <w:sz w:val="21"/>
                <w:szCs w:val="21"/>
              </w:rPr>
              <w:t>日，本公司向金华市中级人民法院提出撤</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8"/>
                <w:sz w:val="21"/>
                <w:szCs w:val="21"/>
              </w:rPr>
              <w:t>诉申请并获准许。因喜瑞地产等未能履行《和解协议》约定的义务，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月本公司向金华市中级人民法院提起诉讼，诉请法院判</w:t>
            </w:r>
            <w:r>
              <w:rPr>
                <w:rFonts w:ascii="宋体" w:hAnsi="宋体" w:cs="宋体" w:eastAsia="宋体" w:hint="default"/>
                <w:w w:val="100"/>
                <w:sz w:val="21"/>
                <w:szCs w:val="21"/>
              </w:rPr>
              <w:t> </w:t>
            </w:r>
            <w:r>
              <w:rPr>
                <w:rFonts w:ascii="宋体" w:hAnsi="宋体" w:cs="宋体" w:eastAsia="宋体" w:hint="default"/>
                <w:spacing w:val="-2"/>
                <w:sz w:val="21"/>
                <w:szCs w:val="21"/>
              </w:rPr>
              <w:t>决被告喜瑞地产、浙江三联、马文生、毛应秀、朱绍军、赵晓宏、</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sz w:val="21"/>
                <w:szCs w:val="21"/>
              </w:rPr>
              <w:t>胡柏富履行相关义务。金华市中级人民法院受理了本公司的起诉申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请。公司于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日收到兰溪市喜瑞地产发展有限公司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管理人《债权申报通知书》，喜瑞地产向兰溪市人民法院申请破产</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重整并获裁定受理，本公司按照承建的喜瑞地产相关项目的工程核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算情况向喜瑞地产管理人申报本公司享有的债权。</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月，</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金华市中级人民法院下发《民事判决书》，判决喜瑞地产自收到判</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决书</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日内支付本公司工程款</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125,299,046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元及利息</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20,148,086.60</w:t>
            </w:r>
          </w:p>
          <w:p>
            <w:pPr>
              <w:pStyle w:val="TableParagraph"/>
              <w:spacing w:line="232" w:lineRule="auto"/>
              <w:ind w:left="100" w:right="-3"/>
              <w:jc w:val="both"/>
              <w:rPr>
                <w:rFonts w:ascii="宋体" w:hAnsi="宋体" w:cs="宋体" w:eastAsia="宋体" w:hint="default"/>
                <w:sz w:val="21"/>
                <w:szCs w:val="21"/>
              </w:rPr>
            </w:pPr>
            <w:r>
              <w:rPr>
                <w:rFonts w:ascii="宋体" w:hAnsi="宋体" w:cs="宋体" w:eastAsia="宋体" w:hint="default"/>
                <w:spacing w:val="-11"/>
                <w:sz w:val="21"/>
                <w:szCs w:val="21"/>
              </w:rPr>
              <w:t>元，合计</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145,447,132.60</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元，并支付相应工程进度款利息、律师费、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诉讼费、停工损失费等，并判决浙江三联集团、毛应秀、赵晓宏、</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朱绍军、胡柏富、马文生在相应范围内承担连带责任。</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本项诉讼详见公司于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p>
          <w:p>
            <w:pPr>
              <w:pStyle w:val="TableParagraph"/>
              <w:spacing w:line="272"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30" w:lineRule="auto" w:before="1"/>
              <w:ind w:left="100"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日在《中国证券</w:t>
            </w:r>
            <w:r>
              <w:rPr>
                <w:rFonts w:ascii="宋体" w:hAnsi="宋体" w:cs="宋体" w:eastAsia="宋体" w:hint="default"/>
                <w:w w:val="100"/>
                <w:sz w:val="21"/>
                <w:szCs w:val="21"/>
              </w:rPr>
              <w:t> </w:t>
            </w:r>
            <w:r>
              <w:rPr>
                <w:rFonts w:ascii="宋体" w:hAnsi="宋体" w:cs="宋体" w:eastAsia="宋体" w:hint="default"/>
                <w:spacing w:val="-38"/>
                <w:w w:val="100"/>
                <w:sz w:val="21"/>
                <w:szCs w:val="21"/>
              </w:rPr>
              <w:t>报》、《上海证券报》、《证券时报》、《证</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8"/>
                <w:w w:val="100"/>
                <w:sz w:val="21"/>
                <w:szCs w:val="21"/>
              </w:rPr>
              <w:t>券日报》及上海证券交易所网站披露的</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《宁波建工股份有限公司涉及诉讼公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9"/>
                <w:w w:val="100"/>
                <w:sz w:val="21"/>
                <w:szCs w:val="21"/>
              </w:rPr>
              <w:t>告》、《宁波建工股份有限公司诉讼撤诉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9"/>
                <w:w w:val="100"/>
                <w:sz w:val="21"/>
                <w:szCs w:val="21"/>
              </w:rPr>
              <w:t>公告》、《宁波建工股份有限公司涉及诉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9"/>
                <w:w w:val="100"/>
                <w:sz w:val="21"/>
                <w:szCs w:val="21"/>
              </w:rPr>
              <w:t>讼公告》、《宁波建工股份有限公司工程</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9"/>
                <w:w w:val="100"/>
                <w:sz w:val="21"/>
                <w:szCs w:val="21"/>
              </w:rPr>
              <w:t>业主单位重整公告》、《宁波建工工程业</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9"/>
                <w:w w:val="100"/>
                <w:sz w:val="21"/>
                <w:szCs w:val="21"/>
              </w:rPr>
              <w:t>主单位重整进展公告》、《宁波建工股份</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9"/>
                <w:w w:val="100"/>
                <w:sz w:val="21"/>
                <w:szCs w:val="21"/>
              </w:rPr>
              <w:t>有限公司涉及诉讼进展公告》。</w:t>
            </w:r>
          </w:p>
        </w:tc>
      </w:tr>
      <w:tr>
        <w:trPr>
          <w:trHeight w:val="3552"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本公司与中国人民解放军第三〇七医院（简称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三〇七医院</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）订立</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4"/>
                <w:w w:val="100"/>
                <w:sz w:val="21"/>
                <w:szCs w:val="21"/>
              </w:rPr>
              <w:t>《建设工程施工合同》，因三〇七医院拖欠工程款，本公司向北京</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市高级人民法院提起诉讼，诉请判决三〇七医院支付本公司相关工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程款及逾期利息。</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日，北京市高级人民法院受理本</w:t>
            </w:r>
          </w:p>
          <w:p>
            <w:pPr>
              <w:pStyle w:val="TableParagraph"/>
              <w:spacing w:line="272" w:lineRule="exact" w:before="11"/>
              <w:ind w:left="100" w:right="-5"/>
              <w:jc w:val="left"/>
              <w:rPr>
                <w:rFonts w:ascii="宋体" w:hAnsi="宋体" w:cs="宋体" w:eastAsia="宋体" w:hint="default"/>
                <w:sz w:val="21"/>
                <w:szCs w:val="21"/>
              </w:rPr>
            </w:pPr>
            <w:r>
              <w:rPr>
                <w:rFonts w:ascii="宋体" w:hAnsi="宋体" w:cs="宋体" w:eastAsia="宋体" w:hint="default"/>
                <w:sz w:val="21"/>
                <w:szCs w:val="21"/>
              </w:rPr>
              <w:t>案。</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日，公司向北京市高级人民法院提请增加诉讼</w:t>
            </w:r>
            <w:r>
              <w:rPr>
                <w:rFonts w:ascii="宋体" w:hAnsi="宋体" w:cs="宋体" w:eastAsia="宋体" w:hint="default"/>
                <w:w w:val="100"/>
                <w:sz w:val="21"/>
                <w:szCs w:val="21"/>
              </w:rPr>
              <w:t> </w:t>
            </w:r>
            <w:r>
              <w:rPr>
                <w:rFonts w:ascii="宋体" w:hAnsi="宋体" w:cs="宋体" w:eastAsia="宋体" w:hint="default"/>
                <w:sz w:val="21"/>
                <w:szCs w:val="21"/>
              </w:rPr>
              <w:t>请求。</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月，北京市高级人民法院下发民事判决书，判决：</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、三〇七医院于本判决生效之日起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日内向本公司支付工程款</w:t>
            </w:r>
          </w:p>
          <w:p>
            <w:pPr>
              <w:pStyle w:val="TableParagraph"/>
              <w:spacing w:line="255"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190,745,424.48 </w:t>
            </w:r>
            <w:r>
              <w:rPr>
                <w:rFonts w:ascii="宋体" w:hAnsi="宋体" w:cs="宋体" w:eastAsia="宋体" w:hint="default"/>
                <w:sz w:val="21"/>
                <w:szCs w:val="21"/>
              </w:rPr>
              <w:t>元；</w:t>
            </w:r>
            <w:r>
              <w:rPr>
                <w:rFonts w:ascii="Times New Roman" w:hAnsi="Times New Roman" w:cs="Times New Roman" w:eastAsia="Times New Roman" w:hint="default"/>
                <w:sz w:val="21"/>
                <w:szCs w:val="21"/>
              </w:rPr>
              <w:t>2</w:t>
            </w:r>
            <w:r>
              <w:rPr>
                <w:rFonts w:ascii="宋体" w:hAnsi="宋体" w:cs="宋体" w:eastAsia="宋体" w:hint="default"/>
                <w:sz w:val="21"/>
                <w:szCs w:val="21"/>
              </w:rPr>
              <w:t>、三〇七医院于本判决生效之日起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日内向</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本公司支付延期支付工程欠款</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190,745,424.48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元的利息（按中国人</w:t>
            </w:r>
          </w:p>
          <w:p>
            <w:pPr>
              <w:pStyle w:val="TableParagraph"/>
              <w:spacing w:line="225" w:lineRule="auto" w:before="6"/>
              <w:ind w:left="100" w:right="98"/>
              <w:jc w:val="both"/>
              <w:rPr>
                <w:rFonts w:ascii="宋体" w:hAnsi="宋体" w:cs="宋体" w:eastAsia="宋体" w:hint="default"/>
                <w:sz w:val="21"/>
                <w:szCs w:val="21"/>
              </w:rPr>
            </w:pPr>
            <w:r>
              <w:rPr>
                <w:rFonts w:ascii="宋体" w:hAnsi="宋体" w:cs="宋体" w:eastAsia="宋体" w:hint="default"/>
                <w:sz w:val="21"/>
                <w:szCs w:val="21"/>
              </w:rPr>
              <w:t>民银行同期贷款利率计算，自</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日起至实际支付工</w:t>
            </w:r>
            <w:r>
              <w:rPr>
                <w:rFonts w:ascii="宋体" w:hAnsi="宋体" w:cs="宋体" w:eastAsia="宋体" w:hint="default"/>
                <w:w w:val="100"/>
                <w:sz w:val="21"/>
                <w:szCs w:val="21"/>
              </w:rPr>
              <w:t> </w:t>
            </w:r>
            <w:r>
              <w:rPr>
                <w:rFonts w:ascii="宋体" w:hAnsi="宋体" w:cs="宋体" w:eastAsia="宋体" w:hint="default"/>
                <w:spacing w:val="-1"/>
                <w:w w:val="100"/>
                <w:sz w:val="21"/>
                <w:szCs w:val="21"/>
              </w:rPr>
              <w:t>程欠款之日止）；</w:t>
            </w:r>
            <w:r>
              <w:rPr>
                <w:rFonts w:ascii="Times New Roman" w:hAnsi="Times New Roman" w:cs="Times New Roman" w:eastAsia="Times New Roman" w:hint="default"/>
                <w:spacing w:val="-1"/>
                <w:w w:val="100"/>
                <w:sz w:val="21"/>
                <w:szCs w:val="21"/>
              </w:rPr>
              <w:t>3</w:t>
            </w:r>
            <w:r>
              <w:rPr>
                <w:rFonts w:ascii="宋体" w:hAnsi="宋体" w:cs="宋体" w:eastAsia="宋体" w:hint="default"/>
                <w:spacing w:val="-1"/>
                <w:w w:val="100"/>
                <w:sz w:val="21"/>
                <w:szCs w:val="21"/>
              </w:rPr>
              <w:t>、宁波建工股份有限公司于本判决生效之日起</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日内向三〇七医院提供三〇七医院三防应急医疗综合楼工程的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竣工图和竣工资料；</w:t>
            </w:r>
            <w:r>
              <w:rPr>
                <w:rFonts w:ascii="Times New Roman" w:hAnsi="Times New Roman" w:cs="Times New Roman" w:eastAsia="Times New Roman" w:hint="default"/>
                <w:sz w:val="21"/>
                <w:szCs w:val="21"/>
              </w:rPr>
              <w:t>4</w:t>
            </w:r>
            <w:r>
              <w:rPr>
                <w:rFonts w:ascii="宋体" w:hAnsi="宋体" w:cs="宋体" w:eastAsia="宋体" w:hint="default"/>
                <w:sz w:val="21"/>
                <w:szCs w:val="21"/>
              </w:rPr>
              <w:t>、驳回宁波建工股份有限公司的其他诉讼请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本项诉讼详见公司于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p>
          <w:p>
            <w:pPr>
              <w:pStyle w:val="TableParagraph"/>
              <w:spacing w:line="272"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pacing w:val="4"/>
                <w:w w:val="100"/>
                <w:sz w:val="21"/>
                <w:szCs w:val="21"/>
              </w:rPr>
              <w:t>日</w:t>
            </w:r>
            <w:r>
              <w:rPr>
                <w:rFonts w:ascii="宋体" w:hAnsi="宋体" w:cs="宋体" w:eastAsia="宋体" w:hint="default"/>
                <w:spacing w:val="6"/>
                <w:w w:val="100"/>
                <w:sz w:val="21"/>
                <w:szCs w:val="21"/>
              </w:rPr>
              <w:t>在</w:t>
            </w:r>
            <w:r>
              <w:rPr>
                <w:rFonts w:ascii="宋体" w:hAnsi="宋体" w:cs="宋体" w:eastAsia="宋体" w:hint="default"/>
                <w:spacing w:val="4"/>
                <w:w w:val="100"/>
                <w:sz w:val="21"/>
                <w:szCs w:val="21"/>
              </w:rPr>
              <w:t>《中国证券</w:t>
            </w:r>
            <w:r>
              <w:rPr>
                <w:rFonts w:ascii="宋体" w:hAnsi="宋体" w:cs="宋体" w:eastAsia="宋体" w:hint="default"/>
                <w:spacing w:val="6"/>
                <w:w w:val="100"/>
                <w:sz w:val="21"/>
                <w:szCs w:val="21"/>
              </w:rPr>
              <w:t>报</w:t>
            </w:r>
            <w:r>
              <w:rPr>
                <w:rFonts w:ascii="宋体" w:hAnsi="宋体" w:cs="宋体" w:eastAsia="宋体" w:hint="default"/>
                <w:spacing w:val="-101"/>
                <w:w w:val="100"/>
                <w:sz w:val="21"/>
                <w:szCs w:val="21"/>
              </w:rPr>
              <w:t>》、</w:t>
            </w:r>
            <w:r>
              <w:rPr>
                <w:rFonts w:ascii="宋体" w:hAnsi="宋体" w:cs="宋体" w:eastAsia="宋体" w:hint="default"/>
                <w:spacing w:val="6"/>
                <w:w w:val="100"/>
                <w:sz w:val="21"/>
                <w:szCs w:val="21"/>
              </w:rPr>
              <w:t>《</w:t>
            </w:r>
            <w:r>
              <w:rPr>
                <w:rFonts w:ascii="宋体" w:hAnsi="宋体" w:cs="宋体" w:eastAsia="宋体" w:hint="default"/>
                <w:spacing w:val="4"/>
                <w:w w:val="100"/>
                <w:sz w:val="21"/>
                <w:szCs w:val="21"/>
              </w:rPr>
              <w:t>上海</w:t>
            </w:r>
            <w:r>
              <w:rPr>
                <w:rFonts w:ascii="宋体" w:hAnsi="宋体" w:cs="宋体" w:eastAsia="宋体" w:hint="default"/>
                <w:spacing w:val="6"/>
                <w:w w:val="100"/>
                <w:sz w:val="21"/>
                <w:szCs w:val="21"/>
              </w:rPr>
              <w:t>证</w:t>
            </w:r>
            <w:r>
              <w:rPr>
                <w:rFonts w:ascii="宋体" w:hAnsi="宋体" w:cs="宋体" w:eastAsia="宋体" w:hint="default"/>
                <w:spacing w:val="4"/>
                <w:w w:val="100"/>
                <w:sz w:val="21"/>
                <w:szCs w:val="21"/>
              </w:rPr>
              <w:t>券报</w:t>
            </w:r>
            <w:r>
              <w:rPr>
                <w:rFonts w:ascii="宋体" w:hAnsi="宋体" w:cs="宋体" w:eastAsia="宋体" w:hint="default"/>
                <w:spacing w:val="-99"/>
                <w:w w:val="100"/>
                <w:sz w:val="21"/>
                <w:szCs w:val="21"/>
              </w:rPr>
              <w:t>》</w:t>
            </w:r>
            <w:r>
              <w:rPr>
                <w:rFonts w:ascii="宋体" w:hAnsi="宋体" w:cs="宋体" w:eastAsia="宋体" w:hint="default"/>
                <w:w w:val="100"/>
                <w:sz w:val="21"/>
                <w:szCs w:val="21"/>
              </w:rPr>
              <w:t>、</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57"/>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53"/>
                <w:w w:val="100"/>
                <w:sz w:val="21"/>
                <w:szCs w:val="21"/>
              </w:rPr>
              <w:t>》</w:t>
            </w:r>
            <w:r>
              <w:rPr>
                <w:rFonts w:ascii="宋体" w:hAnsi="宋体" w:cs="宋体" w:eastAsia="宋体" w:hint="default"/>
                <w:w w:val="100"/>
                <w:sz w:val="21"/>
                <w:szCs w:val="21"/>
              </w:rPr>
              <w:t>及上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证券</w:t>
            </w:r>
            <w:r>
              <w:rPr>
                <w:rFonts w:ascii="宋体" w:hAnsi="宋体" w:cs="宋体" w:eastAsia="宋体" w:hint="default"/>
                <w:w w:val="100"/>
                <w:sz w:val="21"/>
                <w:szCs w:val="21"/>
              </w:rPr>
              <w:t> 交易</w:t>
            </w:r>
            <w:r>
              <w:rPr>
                <w:rFonts w:ascii="宋体" w:hAnsi="宋体" w:cs="宋体" w:eastAsia="宋体" w:hint="default"/>
                <w:spacing w:val="-3"/>
                <w:w w:val="100"/>
                <w:sz w:val="21"/>
                <w:szCs w:val="21"/>
              </w:rPr>
              <w:t>所</w:t>
            </w:r>
            <w:r>
              <w:rPr>
                <w:rFonts w:ascii="宋体" w:hAnsi="宋体" w:cs="宋体" w:eastAsia="宋体" w:hint="default"/>
                <w:w w:val="100"/>
                <w:sz w:val="21"/>
                <w:szCs w:val="21"/>
              </w:rPr>
              <w:t>网</w:t>
            </w:r>
            <w:r>
              <w:rPr>
                <w:rFonts w:ascii="宋体" w:hAnsi="宋体" w:cs="宋体" w:eastAsia="宋体" w:hint="default"/>
                <w:spacing w:val="-3"/>
                <w:w w:val="100"/>
                <w:sz w:val="21"/>
                <w:szCs w:val="21"/>
              </w:rPr>
              <w:t>站</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spacing w:val="-104"/>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建</w:t>
            </w:r>
            <w:r>
              <w:rPr>
                <w:rFonts w:ascii="宋体" w:hAnsi="宋体" w:cs="宋体" w:eastAsia="宋体" w:hint="default"/>
                <w:w w:val="100"/>
                <w:sz w:val="21"/>
                <w:szCs w:val="21"/>
              </w:rPr>
              <w:t>工股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有限</w:t>
            </w:r>
            <w:r>
              <w:rPr>
                <w:rFonts w:ascii="宋体" w:hAnsi="宋体" w:cs="宋体" w:eastAsia="宋体" w:hint="default"/>
                <w:w w:val="100"/>
                <w:sz w:val="21"/>
                <w:szCs w:val="21"/>
              </w:rPr>
              <w:t> 公司</w:t>
            </w:r>
            <w:r>
              <w:rPr>
                <w:rFonts w:ascii="宋体" w:hAnsi="宋体" w:cs="宋体" w:eastAsia="宋体" w:hint="default"/>
                <w:spacing w:val="-3"/>
                <w:w w:val="100"/>
                <w:sz w:val="21"/>
                <w:szCs w:val="21"/>
              </w:rPr>
              <w:t>涉</w:t>
            </w:r>
            <w:r>
              <w:rPr>
                <w:rFonts w:ascii="宋体" w:hAnsi="宋体" w:cs="宋体" w:eastAsia="宋体" w:hint="default"/>
                <w:w w:val="100"/>
                <w:sz w:val="21"/>
                <w:szCs w:val="21"/>
              </w:rPr>
              <w:t>及</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209"/>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宁</w:t>
            </w:r>
            <w:r>
              <w:rPr>
                <w:rFonts w:ascii="宋体" w:hAnsi="宋体" w:cs="宋体" w:eastAsia="宋体" w:hint="default"/>
                <w:spacing w:val="-3"/>
                <w:w w:val="100"/>
                <w:sz w:val="21"/>
                <w:szCs w:val="21"/>
              </w:rPr>
              <w:t>波</w:t>
            </w:r>
            <w:r>
              <w:rPr>
                <w:rFonts w:ascii="宋体" w:hAnsi="宋体" w:cs="宋体" w:eastAsia="宋体" w:hint="default"/>
                <w:w w:val="100"/>
                <w:sz w:val="21"/>
                <w:szCs w:val="21"/>
              </w:rPr>
              <w:t>建工</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w w:val="100"/>
                <w:sz w:val="21"/>
                <w:szCs w:val="21"/>
              </w:rPr>
              <w:t> 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涉</w:t>
            </w:r>
            <w:r>
              <w:rPr>
                <w:rFonts w:ascii="宋体" w:hAnsi="宋体" w:cs="宋体" w:eastAsia="宋体" w:hint="default"/>
                <w:spacing w:val="-3"/>
                <w:w w:val="100"/>
                <w:sz w:val="21"/>
                <w:szCs w:val="21"/>
              </w:rPr>
              <w:t>及</w:t>
            </w:r>
            <w:r>
              <w:rPr>
                <w:rFonts w:ascii="宋体" w:hAnsi="宋体" w:cs="宋体" w:eastAsia="宋体" w:hint="default"/>
                <w:w w:val="100"/>
                <w:sz w:val="21"/>
                <w:szCs w:val="21"/>
              </w:rPr>
              <w:t>诉</w:t>
            </w:r>
            <w:r>
              <w:rPr>
                <w:rFonts w:ascii="宋体" w:hAnsi="宋体" w:cs="宋体" w:eastAsia="宋体" w:hint="default"/>
                <w:spacing w:val="-3"/>
                <w:w w:val="100"/>
                <w:sz w:val="21"/>
                <w:szCs w:val="21"/>
              </w:rPr>
              <w:t>讼</w:t>
            </w:r>
            <w:r>
              <w:rPr>
                <w:rFonts w:ascii="宋体" w:hAnsi="宋体" w:cs="宋体" w:eastAsia="宋体" w:hint="default"/>
                <w:w w:val="100"/>
                <w:sz w:val="21"/>
                <w:szCs w:val="21"/>
              </w:rPr>
              <w:t>进</w:t>
            </w:r>
            <w:r>
              <w:rPr>
                <w:rFonts w:ascii="宋体" w:hAnsi="宋体" w:cs="宋体" w:eastAsia="宋体" w:hint="default"/>
                <w:spacing w:val="-3"/>
                <w:w w:val="100"/>
                <w:sz w:val="21"/>
                <w:szCs w:val="21"/>
              </w:rPr>
              <w:t>展</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spacing w:val="-20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建</w:t>
            </w:r>
            <w:r>
              <w:rPr>
                <w:rFonts w:ascii="宋体" w:hAnsi="宋体" w:cs="宋体" w:eastAsia="宋体" w:hint="default"/>
                <w:w w:val="100"/>
                <w:sz w:val="21"/>
                <w:szCs w:val="21"/>
              </w:rPr>
              <w:t>工</w:t>
            </w:r>
            <w:r>
              <w:rPr>
                <w:rFonts w:ascii="宋体" w:hAnsi="宋体" w:cs="宋体" w:eastAsia="宋体" w:hint="default"/>
                <w:w w:val="100"/>
                <w:sz w:val="21"/>
                <w:szCs w:val="21"/>
              </w:rPr>
              <w:t> 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涉</w:t>
            </w:r>
            <w:r>
              <w:rPr>
                <w:rFonts w:ascii="宋体" w:hAnsi="宋体" w:cs="宋体" w:eastAsia="宋体" w:hint="default"/>
                <w:w w:val="100"/>
                <w:sz w:val="21"/>
                <w:szCs w:val="21"/>
              </w:rPr>
              <w:t>及</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3"/>
                <w:w w:val="100"/>
                <w:sz w:val="21"/>
                <w:szCs w:val="21"/>
              </w:rPr>
              <w:t>进</w:t>
            </w:r>
            <w:r>
              <w:rPr>
                <w:rFonts w:ascii="宋体" w:hAnsi="宋体" w:cs="宋体" w:eastAsia="宋体" w:hint="default"/>
                <w:w w:val="100"/>
                <w:sz w:val="21"/>
                <w:szCs w:val="21"/>
              </w:rPr>
              <w:t>展公</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bl>
    <w:p>
      <w:pPr>
        <w:spacing w:after="0" w:line="237" w:lineRule="auto"/>
        <w:jc w:val="both"/>
        <w:rPr>
          <w:rFonts w:ascii="宋体" w:hAnsi="宋体" w:cs="宋体" w:eastAsia="宋体" w:hint="default"/>
          <w:sz w:val="21"/>
          <w:szCs w:val="21"/>
        </w:rPr>
        <w:sectPr>
          <w:footerReference w:type="default" r:id="rId23"/>
          <w:pgSz w:w="11910" w:h="16840"/>
          <w:pgMar w:footer="1195" w:header="880" w:top="1120" w:bottom="1380" w:left="980" w:right="78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6239"/>
        <w:gridCol w:w="3685"/>
      </w:tblGrid>
      <w:tr>
        <w:trPr>
          <w:trHeight w:val="28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求。</w:t>
            </w:r>
          </w:p>
        </w:tc>
        <w:tc>
          <w:tcPr>
            <w:tcW w:w="368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本公司与宁波甬鸿置业有限公司（以下简称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甬鸿置业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）建设工程</w:t>
            </w:r>
          </w:p>
          <w:p>
            <w:pPr>
              <w:pStyle w:val="TableParagraph"/>
              <w:spacing w:line="232" w:lineRule="auto"/>
              <w:ind w:left="100" w:right="99"/>
              <w:jc w:val="both"/>
              <w:rPr>
                <w:rFonts w:ascii="宋体" w:hAnsi="宋体" w:cs="宋体" w:eastAsia="宋体" w:hint="default"/>
                <w:sz w:val="21"/>
                <w:szCs w:val="21"/>
              </w:rPr>
            </w:pPr>
            <w:r>
              <w:rPr>
                <w:rFonts w:ascii="宋体" w:hAnsi="宋体" w:cs="宋体" w:eastAsia="宋体" w:hint="default"/>
                <w:spacing w:val="-4"/>
                <w:sz w:val="21"/>
                <w:szCs w:val="21"/>
              </w:rPr>
              <w:t>施工合同纠纷。因甬鸿置业尚欠本公司工程款、相关利息及应返还</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履约保证金等，本公司于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月向宁波市中级人民法院提起</w:t>
            </w:r>
            <w:r>
              <w:rPr>
                <w:rFonts w:ascii="宋体" w:hAnsi="宋体" w:cs="宋体" w:eastAsia="宋体" w:hint="default"/>
                <w:w w:val="100"/>
                <w:sz w:val="21"/>
                <w:szCs w:val="21"/>
              </w:rPr>
              <w:t> </w:t>
            </w:r>
            <w:r>
              <w:rPr>
                <w:rFonts w:ascii="宋体" w:hAnsi="宋体" w:cs="宋体" w:eastAsia="宋体" w:hint="default"/>
                <w:spacing w:val="-4"/>
                <w:sz w:val="21"/>
                <w:szCs w:val="21"/>
              </w:rPr>
              <w:t>诉讼，诉请判决甬鸿置业支付所欠本公司相关款项等。经宁波市中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级人民法院调解，双方已达成和解协议，</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月宁波市中人</w:t>
            </w:r>
            <w:r>
              <w:rPr>
                <w:rFonts w:ascii="宋体" w:hAnsi="宋体" w:cs="宋体" w:eastAsia="宋体" w:hint="default"/>
                <w:w w:val="100"/>
                <w:sz w:val="21"/>
                <w:szCs w:val="21"/>
              </w:rPr>
              <w:t> </w:t>
            </w:r>
            <w:r>
              <w:rPr>
                <w:rFonts w:ascii="宋体" w:hAnsi="宋体" w:cs="宋体" w:eastAsia="宋体" w:hint="default"/>
                <w:spacing w:val="-4"/>
                <w:sz w:val="21"/>
                <w:szCs w:val="21"/>
              </w:rPr>
              <w:t>民法院出具民事调解书予以确认。截止目前，公司已收回民事调解</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书约定的全部款项。</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日、</w:t>
            </w:r>
            <w:r>
              <w:rPr>
                <w:rFonts w:ascii="Times New Roman" w:hAnsi="Times New Roman" w:cs="Times New Roman" w:eastAsia="Times New Roman" w:hint="default"/>
                <w:spacing w:val="-9"/>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35" w:lineRule="auto"/>
              <w:ind w:left="100" w:right="98"/>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w w:val="100"/>
                <w:sz w:val="21"/>
                <w:szCs w:val="21"/>
              </w:rPr>
              <w:t>26</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在</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海证</w:t>
            </w:r>
            <w:r>
              <w:rPr>
                <w:rFonts w:ascii="宋体" w:hAnsi="宋体" w:cs="宋体" w:eastAsia="宋体" w:hint="default"/>
                <w:w w:val="100"/>
                <w:sz w:val="21"/>
                <w:szCs w:val="21"/>
              </w:rPr>
              <w:t> 券报</w:t>
            </w:r>
            <w:r>
              <w:rPr>
                <w:rFonts w:ascii="宋体" w:hAnsi="宋体" w:cs="宋体" w:eastAsia="宋体" w:hint="default"/>
                <w:spacing w:val="-106"/>
                <w:w w:val="100"/>
                <w:sz w:val="21"/>
                <w:szCs w:val="21"/>
              </w:rPr>
              <w:t>》</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34"/>
                <w:w w:val="100"/>
                <w:sz w:val="21"/>
                <w:szCs w:val="21"/>
              </w:rPr>
              <w:t>》</w:t>
            </w:r>
            <w:r>
              <w:rPr>
                <w:rFonts w:ascii="宋体" w:hAnsi="宋体" w:cs="宋体" w:eastAsia="宋体" w:hint="default"/>
                <w:w w:val="100"/>
                <w:sz w:val="21"/>
                <w:szCs w:val="21"/>
              </w:rPr>
              <w:t>及上</w:t>
            </w:r>
            <w:r>
              <w:rPr>
                <w:rFonts w:ascii="宋体" w:hAnsi="宋体" w:cs="宋体" w:eastAsia="宋体" w:hint="default"/>
                <w:w w:val="100"/>
                <w:sz w:val="21"/>
                <w:szCs w:val="21"/>
              </w:rPr>
              <w:t> 海证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网</w:t>
            </w:r>
            <w:r>
              <w:rPr>
                <w:rFonts w:ascii="宋体" w:hAnsi="宋体" w:cs="宋体" w:eastAsia="宋体" w:hint="default"/>
                <w:w w:val="100"/>
                <w:sz w:val="21"/>
                <w:szCs w:val="21"/>
              </w:rPr>
              <w:t>站</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104"/>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宁波</w:t>
            </w:r>
            <w:r>
              <w:rPr>
                <w:rFonts w:ascii="宋体" w:hAnsi="宋体" w:cs="宋体" w:eastAsia="宋体" w:hint="default"/>
                <w:spacing w:val="-3"/>
                <w:w w:val="100"/>
                <w:sz w:val="21"/>
                <w:szCs w:val="21"/>
              </w:rPr>
              <w:t>建</w:t>
            </w:r>
            <w:r>
              <w:rPr>
                <w:rFonts w:ascii="宋体" w:hAnsi="宋体" w:cs="宋体" w:eastAsia="宋体" w:hint="default"/>
                <w:w w:val="100"/>
                <w:sz w:val="21"/>
                <w:szCs w:val="21"/>
              </w:rPr>
              <w:t>工股</w:t>
            </w:r>
            <w:r>
              <w:rPr>
                <w:rFonts w:ascii="宋体" w:hAnsi="宋体" w:cs="宋体" w:eastAsia="宋体" w:hint="default"/>
                <w:w w:val="100"/>
                <w:sz w:val="21"/>
                <w:szCs w:val="21"/>
              </w:rPr>
              <w:t> 份有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涉</w:t>
            </w:r>
            <w:r>
              <w:rPr>
                <w:rFonts w:ascii="宋体" w:hAnsi="宋体" w:cs="宋体" w:eastAsia="宋体" w:hint="default"/>
                <w:spacing w:val="-3"/>
                <w:w w:val="100"/>
                <w:sz w:val="21"/>
                <w:szCs w:val="21"/>
              </w:rPr>
              <w:t>及</w:t>
            </w:r>
            <w:r>
              <w:rPr>
                <w:rFonts w:ascii="宋体" w:hAnsi="宋体" w:cs="宋体" w:eastAsia="宋体" w:hint="default"/>
                <w:w w:val="100"/>
                <w:sz w:val="21"/>
                <w:szCs w:val="21"/>
              </w:rPr>
              <w:t>诉</w:t>
            </w:r>
            <w:r>
              <w:rPr>
                <w:rFonts w:ascii="宋体" w:hAnsi="宋体" w:cs="宋体" w:eastAsia="宋体" w:hint="default"/>
                <w:spacing w:val="-3"/>
                <w:w w:val="100"/>
                <w:sz w:val="21"/>
                <w:szCs w:val="21"/>
              </w:rPr>
              <w:t>讼</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spacing w:val="-20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宁</w:t>
            </w:r>
            <w:r>
              <w:rPr>
                <w:rFonts w:ascii="宋体" w:hAnsi="宋体" w:cs="宋体" w:eastAsia="宋体" w:hint="default"/>
                <w:w w:val="100"/>
                <w:sz w:val="21"/>
                <w:szCs w:val="21"/>
              </w:rPr>
              <w:t>波</w:t>
            </w:r>
            <w:r>
              <w:rPr>
                <w:rFonts w:ascii="宋体" w:hAnsi="宋体" w:cs="宋体" w:eastAsia="宋体" w:hint="default"/>
                <w:spacing w:val="-3"/>
                <w:w w:val="100"/>
                <w:sz w:val="21"/>
                <w:szCs w:val="21"/>
              </w:rPr>
              <w:t>建</w:t>
            </w:r>
            <w:r>
              <w:rPr>
                <w:rFonts w:ascii="宋体" w:hAnsi="宋体" w:cs="宋体" w:eastAsia="宋体" w:hint="default"/>
                <w:w w:val="100"/>
                <w:sz w:val="21"/>
                <w:szCs w:val="21"/>
              </w:rPr>
              <w:t>工</w:t>
            </w:r>
            <w:r>
              <w:rPr>
                <w:rFonts w:ascii="宋体" w:hAnsi="宋体" w:cs="宋体" w:eastAsia="宋体" w:hint="default"/>
                <w:w w:val="100"/>
                <w:sz w:val="21"/>
                <w:szCs w:val="21"/>
              </w:rPr>
              <w:t> 涉及</w:t>
            </w:r>
            <w:r>
              <w:rPr>
                <w:rFonts w:ascii="宋体" w:hAnsi="宋体" w:cs="宋体" w:eastAsia="宋体" w:hint="default"/>
                <w:spacing w:val="-3"/>
                <w:w w:val="100"/>
                <w:sz w:val="21"/>
                <w:szCs w:val="21"/>
              </w:rPr>
              <w:t>诉</w:t>
            </w:r>
            <w:r>
              <w:rPr>
                <w:rFonts w:ascii="宋体" w:hAnsi="宋体" w:cs="宋体" w:eastAsia="宋体" w:hint="default"/>
                <w:w w:val="100"/>
                <w:sz w:val="21"/>
                <w:szCs w:val="21"/>
              </w:rPr>
              <w:t>讼</w:t>
            </w:r>
            <w:r>
              <w:rPr>
                <w:rFonts w:ascii="宋体" w:hAnsi="宋体" w:cs="宋体" w:eastAsia="宋体" w:hint="default"/>
                <w:spacing w:val="-3"/>
                <w:w w:val="100"/>
                <w:sz w:val="21"/>
                <w:szCs w:val="21"/>
              </w:rPr>
              <w:t>进</w:t>
            </w:r>
            <w:r>
              <w:rPr>
                <w:rFonts w:ascii="宋体" w:hAnsi="宋体" w:cs="宋体" w:eastAsia="宋体" w:hint="default"/>
                <w:w w:val="100"/>
                <w:sz w:val="21"/>
                <w:szCs w:val="21"/>
              </w:rPr>
              <w:t>展</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3550"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本公司与浙江路网物流有限公司（以下简称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路网物流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）建设工程</w:t>
            </w:r>
          </w:p>
          <w:p>
            <w:pPr>
              <w:pStyle w:val="TableParagraph"/>
              <w:spacing w:line="274" w:lineRule="exact" w:before="16"/>
              <w:ind w:left="100" w:right="99"/>
              <w:jc w:val="both"/>
              <w:rPr>
                <w:rFonts w:ascii="宋体" w:hAnsi="宋体" w:cs="宋体" w:eastAsia="宋体" w:hint="default"/>
                <w:sz w:val="21"/>
                <w:szCs w:val="21"/>
              </w:rPr>
            </w:pPr>
            <w:r>
              <w:rPr>
                <w:rFonts w:ascii="宋体" w:hAnsi="宋体" w:cs="宋体" w:eastAsia="宋体" w:hint="default"/>
                <w:spacing w:val="2"/>
                <w:sz w:val="21"/>
                <w:szCs w:val="21"/>
              </w:rPr>
              <w:t>施工合同纠纷。因路网物流在支付工程进度款过程中存在拖延情</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形，本公司于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月向缙云县人民法院提起诉讼，诉请判决</w:t>
            </w:r>
          </w:p>
          <w:p>
            <w:pPr>
              <w:pStyle w:val="TableParagraph"/>
              <w:spacing w:line="254"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路网物流支付所欠本公司工程款及违约金。公司于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月收</w:t>
            </w:r>
          </w:p>
          <w:p>
            <w:pPr>
              <w:pStyle w:val="TableParagraph"/>
              <w:spacing w:line="230" w:lineRule="auto" w:before="1"/>
              <w:ind w:left="100" w:right="101"/>
              <w:jc w:val="both"/>
              <w:rPr>
                <w:rFonts w:ascii="宋体" w:hAnsi="宋体" w:cs="宋体" w:eastAsia="宋体" w:hint="default"/>
                <w:sz w:val="21"/>
                <w:szCs w:val="21"/>
              </w:rPr>
            </w:pPr>
            <w:r>
              <w:rPr>
                <w:rFonts w:ascii="宋体" w:hAnsi="宋体" w:cs="宋体" w:eastAsia="宋体" w:hint="default"/>
                <w:spacing w:val="-4"/>
                <w:w w:val="100"/>
                <w:sz w:val="21"/>
                <w:szCs w:val="21"/>
              </w:rPr>
              <w:t>到缙云县人民法院下发了《民事判决书》，判决路网物流支付工程</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33"/>
                <w:sz w:val="21"/>
                <w:szCs w:val="21"/>
              </w:rPr>
              <w:t>款人民币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38,371,720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元</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spacing w:val="-59"/>
                <w:sz w:val="21"/>
                <w:szCs w:val="21"/>
              </w:rPr>
              <w:t> </w:t>
            </w:r>
            <w:r>
              <w:rPr>
                <w:rFonts w:ascii="宋体" w:hAnsi="宋体" w:cs="宋体" w:eastAsia="宋体" w:hint="default"/>
                <w:sz w:val="21"/>
                <w:szCs w:val="21"/>
              </w:rPr>
              <w:t>相</w:t>
            </w:r>
            <w:r>
              <w:rPr>
                <w:rFonts w:ascii="宋体" w:hAnsi="宋体" w:cs="宋体" w:eastAsia="宋体" w:hint="default"/>
                <w:spacing w:val="-59"/>
                <w:sz w:val="21"/>
                <w:szCs w:val="21"/>
              </w:rPr>
              <w:t> </w:t>
            </w:r>
            <w:r>
              <w:rPr>
                <w:rFonts w:ascii="宋体" w:hAnsi="宋体" w:cs="宋体" w:eastAsia="宋体" w:hint="default"/>
                <w:sz w:val="21"/>
                <w:szCs w:val="21"/>
              </w:rPr>
              <w:t>关</w:t>
            </w:r>
            <w:r>
              <w:rPr>
                <w:rFonts w:ascii="宋体" w:hAnsi="宋体" w:cs="宋体" w:eastAsia="宋体" w:hint="default"/>
                <w:spacing w:val="-59"/>
                <w:sz w:val="21"/>
                <w:szCs w:val="21"/>
              </w:rPr>
              <w:t> </w:t>
            </w:r>
            <w:r>
              <w:rPr>
                <w:rFonts w:ascii="宋体" w:hAnsi="宋体" w:cs="宋体" w:eastAsia="宋体" w:hint="default"/>
                <w:sz w:val="21"/>
                <w:szCs w:val="21"/>
              </w:rPr>
              <w:t>利</w:t>
            </w:r>
            <w:r>
              <w:rPr>
                <w:rFonts w:ascii="宋体" w:hAnsi="宋体" w:cs="宋体" w:eastAsia="宋体" w:hint="default"/>
                <w:spacing w:val="-61"/>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及</w:t>
            </w:r>
            <w:r>
              <w:rPr>
                <w:rFonts w:ascii="宋体" w:hAnsi="宋体" w:cs="宋体" w:eastAsia="宋体" w:hint="default"/>
                <w:spacing w:val="-59"/>
                <w:sz w:val="21"/>
                <w:szCs w:val="21"/>
              </w:rPr>
              <w:t> </w:t>
            </w:r>
            <w:r>
              <w:rPr>
                <w:rFonts w:ascii="宋体" w:hAnsi="宋体" w:cs="宋体" w:eastAsia="宋体" w:hint="default"/>
                <w:sz w:val="21"/>
                <w:szCs w:val="21"/>
              </w:rPr>
              <w:t>支</w:t>
            </w:r>
            <w:r>
              <w:rPr>
                <w:rFonts w:ascii="宋体" w:hAnsi="宋体" w:cs="宋体" w:eastAsia="宋体" w:hint="default"/>
                <w:spacing w:val="-59"/>
                <w:sz w:val="21"/>
                <w:szCs w:val="21"/>
              </w:rPr>
              <w:t> </w:t>
            </w:r>
            <w:r>
              <w:rPr>
                <w:rFonts w:ascii="宋体" w:hAnsi="宋体" w:cs="宋体" w:eastAsia="宋体" w:hint="default"/>
                <w:sz w:val="21"/>
                <w:szCs w:val="21"/>
              </w:rPr>
              <w:t>付</w:t>
            </w:r>
            <w:r>
              <w:rPr>
                <w:rFonts w:ascii="宋体" w:hAnsi="宋体" w:cs="宋体" w:eastAsia="宋体" w:hint="default"/>
                <w:spacing w:val="-61"/>
                <w:sz w:val="21"/>
                <w:szCs w:val="21"/>
              </w:rPr>
              <w:t> </w:t>
            </w:r>
            <w:r>
              <w:rPr>
                <w:rFonts w:ascii="宋体" w:hAnsi="宋体" w:cs="宋体" w:eastAsia="宋体" w:hint="default"/>
                <w:sz w:val="21"/>
                <w:szCs w:val="21"/>
              </w:rPr>
              <w:t>进</w:t>
            </w:r>
            <w:r>
              <w:rPr>
                <w:rFonts w:ascii="宋体" w:hAnsi="宋体" w:cs="宋体" w:eastAsia="宋体" w:hint="default"/>
                <w:spacing w:val="-59"/>
                <w:sz w:val="21"/>
                <w:szCs w:val="21"/>
              </w:rPr>
              <w:t> </w:t>
            </w:r>
            <w:r>
              <w:rPr>
                <w:rFonts w:ascii="宋体" w:hAnsi="宋体" w:cs="宋体" w:eastAsia="宋体" w:hint="default"/>
                <w:sz w:val="21"/>
                <w:szCs w:val="21"/>
              </w:rPr>
              <w:t>度</w:t>
            </w:r>
            <w:r>
              <w:rPr>
                <w:rFonts w:ascii="宋体" w:hAnsi="宋体" w:cs="宋体" w:eastAsia="宋体" w:hint="default"/>
                <w:spacing w:val="-59"/>
                <w:sz w:val="21"/>
                <w:szCs w:val="21"/>
              </w:rPr>
              <w:t> </w:t>
            </w:r>
            <w:r>
              <w:rPr>
                <w:rFonts w:ascii="宋体" w:hAnsi="宋体" w:cs="宋体" w:eastAsia="宋体" w:hint="default"/>
                <w:sz w:val="21"/>
                <w:szCs w:val="21"/>
              </w:rPr>
              <w:t>款</w:t>
            </w:r>
            <w:r>
              <w:rPr>
                <w:rFonts w:ascii="宋体" w:hAnsi="宋体" w:cs="宋体" w:eastAsia="宋体" w:hint="default"/>
                <w:spacing w:val="-59"/>
                <w:sz w:val="21"/>
                <w:szCs w:val="21"/>
              </w:rPr>
              <w:t> </w:t>
            </w:r>
            <w:r>
              <w:rPr>
                <w:rFonts w:ascii="宋体" w:hAnsi="宋体" w:cs="宋体" w:eastAsia="宋体" w:hint="default"/>
                <w:sz w:val="21"/>
                <w:szCs w:val="21"/>
              </w:rPr>
              <w:t>违</w:t>
            </w:r>
            <w:r>
              <w:rPr>
                <w:rFonts w:ascii="宋体" w:hAnsi="宋体" w:cs="宋体" w:eastAsia="宋体" w:hint="default"/>
                <w:spacing w:val="-59"/>
                <w:sz w:val="21"/>
                <w:szCs w:val="21"/>
              </w:rPr>
              <w:t> </w:t>
            </w:r>
            <w:r>
              <w:rPr>
                <w:rFonts w:ascii="宋体" w:hAnsi="宋体" w:cs="宋体" w:eastAsia="宋体" w:hint="default"/>
                <w:sz w:val="21"/>
                <w:szCs w:val="21"/>
              </w:rPr>
              <w:t>约</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4,713,643.01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元，并自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日至款付清日止就欠付工程</w:t>
            </w:r>
          </w:p>
          <w:p>
            <w:pPr>
              <w:pStyle w:val="TableParagraph"/>
              <w:spacing w:line="225" w:lineRule="auto"/>
              <w:ind w:left="100" w:right="98"/>
              <w:jc w:val="both"/>
              <w:rPr>
                <w:rFonts w:ascii="宋体" w:hAnsi="宋体" w:cs="宋体" w:eastAsia="宋体" w:hint="default"/>
                <w:sz w:val="21"/>
                <w:szCs w:val="21"/>
              </w:rPr>
            </w:pPr>
            <w:r>
              <w:rPr>
                <w:rFonts w:ascii="宋体" w:hAnsi="宋体" w:cs="宋体" w:eastAsia="宋体" w:hint="default"/>
                <w:sz w:val="21"/>
                <w:szCs w:val="21"/>
              </w:rPr>
              <w:t>款按日万分之五利率计付逾期付款违约金，本公司已于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月向丽水市中级人民法院提起上诉。</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月，浙江省丽水市</w:t>
            </w:r>
            <w:r>
              <w:rPr>
                <w:rFonts w:ascii="宋体" w:hAnsi="宋体" w:cs="宋体" w:eastAsia="宋体" w:hint="default"/>
                <w:w w:val="100"/>
                <w:sz w:val="21"/>
                <w:szCs w:val="21"/>
              </w:rPr>
              <w:t> </w:t>
            </w:r>
            <w:r>
              <w:rPr>
                <w:rFonts w:ascii="宋体" w:hAnsi="宋体" w:cs="宋体" w:eastAsia="宋体" w:hint="default"/>
                <w:spacing w:val="-8"/>
                <w:w w:val="100"/>
                <w:sz w:val="21"/>
                <w:szCs w:val="21"/>
              </w:rPr>
              <w:t>中级人民法院下发《民事判决书》，判决：</w:t>
            </w: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、维持缙云县人民法院</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一审判决第一项，</w:t>
            </w:r>
            <w:r>
              <w:rPr>
                <w:rFonts w:ascii="Times New Roman" w:hAnsi="Times New Roman" w:cs="Times New Roman" w:eastAsia="Times New Roman" w:hint="default"/>
                <w:sz w:val="21"/>
                <w:szCs w:val="21"/>
              </w:rPr>
              <w:t>2</w:t>
            </w:r>
            <w:r>
              <w:rPr>
                <w:rFonts w:ascii="宋体" w:hAnsi="宋体" w:cs="宋体" w:eastAsia="宋体" w:hint="default"/>
                <w:sz w:val="21"/>
                <w:szCs w:val="21"/>
              </w:rPr>
              <w:t>、确认本公司对其承建的缙云路网物流中心工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程折价或者拍卖的价款在被上诉人欠付的</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38,371,720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元工程款范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围内享有建设工程价款优先受偿权。</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2017</w:t>
            </w:r>
          </w:p>
          <w:p>
            <w:pPr>
              <w:pStyle w:val="TableParagraph"/>
              <w:spacing w:line="235" w:lineRule="auto"/>
              <w:ind w:left="100"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日在《中</w:t>
            </w:r>
            <w:r>
              <w:rPr>
                <w:rFonts w:ascii="宋体" w:hAnsi="宋体" w:cs="宋体" w:eastAsia="宋体" w:hint="default"/>
                <w:w w:val="100"/>
                <w:sz w:val="21"/>
                <w:szCs w:val="21"/>
              </w:rPr>
              <w:t> </w:t>
            </w:r>
            <w:r>
              <w:rPr>
                <w:rFonts w:ascii="宋体" w:hAnsi="宋体" w:cs="宋体" w:eastAsia="宋体" w:hint="default"/>
                <w:spacing w:val="-19"/>
                <w:w w:val="100"/>
                <w:sz w:val="21"/>
                <w:szCs w:val="21"/>
              </w:rPr>
              <w:t>国证券报》、《上海证券报》、《证券时</w:t>
            </w:r>
            <w:r>
              <w:rPr>
                <w:rFonts w:ascii="宋体" w:hAnsi="宋体" w:cs="宋体" w:eastAsia="宋体" w:hint="default"/>
                <w:w w:val="100"/>
                <w:sz w:val="21"/>
                <w:szCs w:val="21"/>
              </w:rPr>
              <w:t> </w:t>
            </w:r>
            <w:r>
              <w:rPr>
                <w:rFonts w:ascii="宋体" w:hAnsi="宋体" w:cs="宋体" w:eastAsia="宋体" w:hint="default"/>
                <w:spacing w:val="-19"/>
                <w:w w:val="100"/>
                <w:sz w:val="21"/>
                <w:szCs w:val="21"/>
              </w:rPr>
              <w:t>报》、《证券日报》及上海证券交易所网</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站披露的《宁波建工股份有限公司涉及</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9"/>
                <w:w w:val="100"/>
                <w:sz w:val="21"/>
                <w:szCs w:val="21"/>
              </w:rPr>
              <w:t>诉讼公告》、《宁波建工股份有限公司涉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9"/>
                <w:w w:val="100"/>
                <w:sz w:val="21"/>
                <w:szCs w:val="21"/>
              </w:rPr>
              <w:t>及诉讼进展公告》、《宁波建工股份有限</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0"/>
                <w:w w:val="100"/>
                <w:sz w:val="21"/>
                <w:szCs w:val="21"/>
              </w:rPr>
              <w:t>公司涉及诉讼进展公告》。</w:t>
            </w:r>
          </w:p>
        </w:tc>
      </w:tr>
      <w:tr>
        <w:trPr>
          <w:trHeight w:val="3824"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月与浙江华越置业有限公司（简称</w:t>
            </w:r>
            <w:r>
              <w:rPr>
                <w:rFonts w:ascii="Times New Roman" w:hAnsi="Times New Roman" w:cs="Times New Roman" w:eastAsia="Times New Roman" w:hint="default"/>
                <w:sz w:val="21"/>
                <w:szCs w:val="21"/>
              </w:rPr>
              <w:t>"</w:t>
            </w:r>
            <w:r>
              <w:rPr>
                <w:rFonts w:ascii="宋体" w:hAnsi="宋体" w:cs="宋体" w:eastAsia="宋体" w:hint="default"/>
                <w:sz w:val="21"/>
                <w:szCs w:val="21"/>
              </w:rPr>
              <w:t>华越置业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72"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签订了工程建设施工合同，开展了工程施工工作。截止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日，华越置业尚拖欠本公司工程款 </w:t>
            </w:r>
            <w:r>
              <w:rPr>
                <w:rFonts w:ascii="Times New Roman" w:hAnsi="Times New Roman" w:cs="Times New Roman" w:eastAsia="Times New Roman" w:hint="default"/>
                <w:sz w:val="21"/>
                <w:szCs w:val="21"/>
              </w:rPr>
              <w:t>440,195,982.82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元。本公</w:t>
            </w:r>
          </w:p>
          <w:p>
            <w:pPr>
              <w:pStyle w:val="TableParagraph"/>
              <w:spacing w:line="232" w:lineRule="auto"/>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司于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日向宁波市中级人民法院提起诉讼，诉请判决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华越置业支付本公司工程款、履约保证金、逾期付款滞纳金及利息</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并请求判决本公司有权对金华世贸中心项目工程折价或拍卖所得</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sz w:val="21"/>
                <w:szCs w:val="21"/>
              </w:rPr>
              <w:t>价款在本公司诉讼金额内优先受偿。公司于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月收到宁波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市中级人民法院民事判决书，判决华越置业于判决生效之日起十五</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日内支付本公司工程款 </w:t>
            </w:r>
            <w:r>
              <w:rPr>
                <w:rFonts w:ascii="Times New Roman" w:hAnsi="Times New Roman" w:cs="Times New Roman" w:eastAsia="Times New Roman" w:hint="default"/>
                <w:sz w:val="21"/>
                <w:szCs w:val="21"/>
              </w:rPr>
              <w:t>440,195,892.82  </w:t>
            </w:r>
            <w:r>
              <w:rPr>
                <w:rFonts w:ascii="宋体" w:hAnsi="宋体" w:cs="宋体" w:eastAsia="宋体" w:hint="default"/>
                <w:sz w:val="21"/>
                <w:szCs w:val="21"/>
              </w:rPr>
              <w:t>元、履约保证金</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9,000,000</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元及相应的利息</w:t>
            </w:r>
            <w:r>
              <w:rPr>
                <w:rFonts w:ascii="Times New Roman" w:hAnsi="Times New Roman" w:cs="Times New Roman" w:eastAsia="Times New Roman" w:hint="default"/>
                <w:sz w:val="21"/>
                <w:szCs w:val="21"/>
              </w:rPr>
              <w:t>(</w:t>
            </w:r>
            <w:r>
              <w:rPr>
                <w:rFonts w:ascii="宋体" w:hAnsi="宋体" w:cs="宋体" w:eastAsia="宋体" w:hint="default"/>
                <w:sz w:val="21"/>
                <w:szCs w:val="21"/>
              </w:rPr>
              <w:t>具体以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440,195,892.82 </w:t>
            </w:r>
            <w:r>
              <w:rPr>
                <w:rFonts w:ascii="宋体" w:hAnsi="宋体" w:cs="宋体" w:eastAsia="宋体" w:hint="default"/>
                <w:sz w:val="21"/>
                <w:szCs w:val="21"/>
              </w:rPr>
              <w:t>元为基数并自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日起至实际履行之日止按照中国人民银行发布的同期同类贷款利</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息标准予以计算，同时扣减已实际支付的 </w:t>
            </w:r>
            <w:r>
              <w:rPr>
                <w:rFonts w:ascii="Times New Roman" w:hAnsi="Times New Roman" w:cs="Times New Roman" w:eastAsia="Times New Roman" w:hint="default"/>
                <w:sz w:val="21"/>
                <w:szCs w:val="21"/>
              </w:rPr>
              <w:t>14,616,667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元利息</w:t>
            </w:r>
            <w:r>
              <w:rPr>
                <w:rFonts w:ascii="Times New Roman" w:hAnsi="Times New Roman" w:cs="Times New Roman" w:eastAsia="Times New Roman" w:hint="default"/>
                <w:sz w:val="21"/>
                <w:szCs w:val="21"/>
              </w:rPr>
              <w:t>)</w:t>
            </w:r>
            <w:r>
              <w:rPr>
                <w:rFonts w:ascii="宋体" w:hAnsi="宋体" w:cs="宋体" w:eastAsia="宋体" w:hint="default"/>
                <w:sz w:val="21"/>
                <w:szCs w:val="21"/>
              </w:rPr>
              <w:t>；本</w:t>
            </w:r>
          </w:p>
          <w:p>
            <w:pPr>
              <w:pStyle w:val="TableParagraph"/>
              <w:spacing w:line="272" w:lineRule="exact" w:before="19"/>
              <w:ind w:left="100" w:right="99"/>
              <w:jc w:val="both"/>
              <w:rPr>
                <w:rFonts w:ascii="宋体" w:hAnsi="宋体" w:cs="宋体" w:eastAsia="宋体" w:hint="default"/>
                <w:sz w:val="21"/>
                <w:szCs w:val="21"/>
              </w:rPr>
            </w:pPr>
            <w:r>
              <w:rPr>
                <w:rFonts w:ascii="宋体" w:hAnsi="宋体" w:cs="宋体" w:eastAsia="宋体" w:hint="default"/>
                <w:sz w:val="21"/>
                <w:szCs w:val="21"/>
              </w:rPr>
              <w:t>公司就上述</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440,195,892.82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元工程款有权在金华世贸中心项目工程</w:t>
            </w:r>
            <w:r>
              <w:rPr>
                <w:rFonts w:ascii="宋体" w:hAnsi="宋体" w:cs="宋体" w:eastAsia="宋体" w:hint="default"/>
                <w:w w:val="100"/>
                <w:sz w:val="21"/>
                <w:szCs w:val="21"/>
              </w:rPr>
              <w:t> </w:t>
            </w:r>
            <w:r>
              <w:rPr>
                <w:rFonts w:ascii="宋体" w:hAnsi="宋体" w:cs="宋体" w:eastAsia="宋体" w:hint="default"/>
                <w:sz w:val="21"/>
                <w:szCs w:val="21"/>
              </w:rPr>
              <w:t>折价或者拍卖的价款行使优先受偿权。现本案已进入执行程序。</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014</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104"/>
                <w:w w:val="100"/>
                <w:sz w:val="21"/>
                <w:szCs w:val="21"/>
              </w:rPr>
              <w:t>、</w:t>
            </w:r>
            <w:r>
              <w:rPr>
                <w:rFonts w:ascii="Times New Roman" w:hAnsi="Times New Roman" w:cs="Times New Roman" w:eastAsia="Times New Roman" w:hint="default"/>
                <w:w w:val="100"/>
                <w:sz w:val="21"/>
                <w:szCs w:val="21"/>
              </w:rPr>
              <w:t>2015</w:t>
            </w:r>
          </w:p>
          <w:p>
            <w:pPr>
              <w:pStyle w:val="TableParagraph"/>
              <w:spacing w:line="232" w:lineRule="auto"/>
              <w:ind w:left="100" w:right="9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日刊登于上海证券交易所网</w:t>
            </w:r>
            <w:r>
              <w:rPr>
                <w:rFonts w:ascii="宋体" w:hAnsi="宋体" w:cs="宋体" w:eastAsia="宋体" w:hint="default"/>
                <w:w w:val="100"/>
                <w:sz w:val="21"/>
                <w:szCs w:val="21"/>
              </w:rPr>
              <w:t> </w:t>
            </w:r>
            <w:r>
              <w:rPr>
                <w:rFonts w:ascii="宋体" w:hAnsi="宋体" w:cs="宋体" w:eastAsia="宋体" w:hint="default"/>
                <w:spacing w:val="-8"/>
                <w:w w:val="100"/>
                <w:sz w:val="21"/>
                <w:szCs w:val="21"/>
              </w:rPr>
              <w:t>站的《宁波建工股份有限公司涉及诉讼</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9"/>
                <w:w w:val="100"/>
                <w:sz w:val="21"/>
                <w:szCs w:val="21"/>
              </w:rPr>
              <w:t>公告》、《宁波建工股份有限公司涉及诉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6"/>
                <w:w w:val="100"/>
                <w:sz w:val="21"/>
                <w:szCs w:val="21"/>
              </w:rPr>
              <w:t>讼进展公告》。</w:t>
            </w:r>
          </w:p>
        </w:tc>
      </w:tr>
      <w:tr>
        <w:trPr>
          <w:trHeight w:val="1916"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因苍南浙福数码家电城开发有限公司拖欠工程款，公司子公司建工</w:t>
            </w:r>
          </w:p>
          <w:p>
            <w:pPr>
              <w:pStyle w:val="TableParagraph"/>
              <w:spacing w:line="281" w:lineRule="exact"/>
              <w:ind w:left="100" w:right="0"/>
              <w:jc w:val="both"/>
              <w:rPr>
                <w:rFonts w:ascii="宋体" w:hAnsi="宋体" w:cs="宋体" w:eastAsia="宋体" w:hint="default"/>
                <w:sz w:val="21"/>
                <w:szCs w:val="21"/>
              </w:rPr>
            </w:pPr>
            <w:r>
              <w:rPr>
                <w:rFonts w:ascii="宋体" w:hAnsi="宋体" w:cs="宋体" w:eastAsia="宋体" w:hint="default"/>
                <w:sz w:val="21"/>
                <w:szCs w:val="21"/>
              </w:rPr>
              <w:t>集团作为申请人于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日向温州仲裁委员会提起仲裁。</w:t>
            </w:r>
          </w:p>
          <w:p>
            <w:pPr>
              <w:pStyle w:val="TableParagraph"/>
              <w:spacing w:line="272"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月，公司收到温州仲裁委员会下发的裁决书，裁决：</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苍南数码家电城支付工程集团 </w:t>
            </w:r>
            <w:r>
              <w:rPr>
                <w:rFonts w:ascii="Times New Roman" w:hAnsi="Times New Roman" w:cs="Times New Roman" w:eastAsia="Times New Roman" w:hint="default"/>
                <w:sz w:val="21"/>
                <w:szCs w:val="21"/>
              </w:rPr>
              <w:t>81578245.95</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元及利息；</w:t>
            </w:r>
            <w:r>
              <w:rPr>
                <w:rFonts w:ascii="Times New Roman" w:hAnsi="Times New Roman" w:cs="Times New Roman" w:eastAsia="Times New Roman" w:hint="default"/>
                <w:sz w:val="21"/>
                <w:szCs w:val="21"/>
              </w:rPr>
              <w:t>2</w:t>
            </w:r>
            <w:r>
              <w:rPr>
                <w:rFonts w:ascii="宋体" w:hAnsi="宋体" w:cs="宋体" w:eastAsia="宋体" w:hint="default"/>
                <w:sz w:val="21"/>
                <w:szCs w:val="21"/>
              </w:rPr>
              <w:t>、苍南数</w:t>
            </w:r>
          </w:p>
          <w:p>
            <w:pPr>
              <w:pStyle w:val="TableParagraph"/>
              <w:spacing w:line="230" w:lineRule="auto" w:before="1"/>
              <w:ind w:left="100" w:right="78"/>
              <w:jc w:val="both"/>
              <w:rPr>
                <w:rFonts w:ascii="宋体" w:hAnsi="宋体" w:cs="宋体" w:eastAsia="宋体" w:hint="default"/>
                <w:sz w:val="21"/>
                <w:szCs w:val="21"/>
              </w:rPr>
            </w:pPr>
            <w:r>
              <w:rPr>
                <w:rFonts w:ascii="宋体" w:hAnsi="宋体" w:cs="宋体" w:eastAsia="宋体" w:hint="default"/>
                <w:spacing w:val="19"/>
                <w:sz w:val="21"/>
                <w:szCs w:val="21"/>
              </w:rPr>
              <w:t>码家电城于收到裁决书之日起十日内支付工程集团窝工损失</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2274766</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元；</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、工程集团就上述工程款</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81578245.95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元范围内享有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该工程折价或者拍卖的价款的优先受偿权。</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日、</w:t>
            </w:r>
            <w:r>
              <w:rPr>
                <w:rFonts w:ascii="Times New Roman" w:hAnsi="Times New Roman" w:cs="Times New Roman" w:eastAsia="Times New Roman" w:hint="default"/>
                <w:spacing w:val="-9"/>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35" w:lineRule="auto"/>
              <w:ind w:left="100" w:right="98"/>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 </w:t>
            </w:r>
            <w:r>
              <w:rPr>
                <w:rFonts w:ascii="宋体" w:hAnsi="宋体" w:cs="宋体" w:eastAsia="宋体" w:hint="default"/>
                <w:w w:val="100"/>
                <w:sz w:val="21"/>
                <w:szCs w:val="21"/>
              </w:rPr>
              <w:t>月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17"/>
                <w:w w:val="100"/>
                <w:sz w:val="21"/>
                <w:szCs w:val="21"/>
              </w:rPr>
              <w:t>日在《中国证券报》、《上海证</w:t>
            </w:r>
            <w:r>
              <w:rPr>
                <w:rFonts w:ascii="宋体" w:hAnsi="宋体" w:cs="宋体" w:eastAsia="宋体" w:hint="default"/>
                <w:w w:val="100"/>
                <w:sz w:val="21"/>
                <w:szCs w:val="21"/>
              </w:rPr>
              <w:t> </w:t>
            </w:r>
            <w:r>
              <w:rPr>
                <w:rFonts w:ascii="宋体" w:hAnsi="宋体" w:cs="宋体" w:eastAsia="宋体" w:hint="default"/>
                <w:spacing w:val="-29"/>
                <w:w w:val="100"/>
                <w:sz w:val="21"/>
                <w:szCs w:val="21"/>
              </w:rPr>
              <w:t>券报》、《证券时报》、《证券日报》及上</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8"/>
                <w:w w:val="100"/>
                <w:sz w:val="21"/>
                <w:szCs w:val="21"/>
              </w:rPr>
              <w:t>海证券交易所网站披露的《宁波建工股</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9"/>
                <w:w w:val="100"/>
                <w:sz w:val="21"/>
                <w:szCs w:val="21"/>
              </w:rPr>
              <w:t>份有限公司子公司涉及仲裁公告》、《宁</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3"/>
                <w:sz w:val="21"/>
                <w:szCs w:val="21"/>
              </w:rPr>
              <w:t>波建工股份有限公司子公司涉及仲裁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9"/>
                <w:w w:val="100"/>
                <w:sz w:val="21"/>
                <w:szCs w:val="21"/>
              </w:rPr>
              <w:t>结果公告》。</w:t>
            </w:r>
          </w:p>
        </w:tc>
      </w:tr>
      <w:tr>
        <w:trPr>
          <w:trHeight w:val="2189"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月，新昌营造建筑有限公司向杭州市仲裁委员会提起仲</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裁，申请裁决本公司支付人民币 </w:t>
            </w:r>
            <w:r>
              <w:rPr>
                <w:rFonts w:ascii="宋体" w:hAnsi="宋体" w:cs="宋体" w:eastAsia="宋体" w:hint="default"/>
                <w:sz w:val="21"/>
                <w:szCs w:val="21"/>
              </w:rPr>
              <w:t>205,254,922.50</w:t>
            </w:r>
            <w:r>
              <w:rPr>
                <w:rFonts w:ascii="宋体" w:hAnsi="宋体" w:cs="宋体" w:eastAsia="宋体" w:hint="default"/>
                <w:spacing w:val="-72"/>
                <w:sz w:val="21"/>
                <w:szCs w:val="21"/>
              </w:rPr>
              <w:t> </w:t>
            </w:r>
            <w:r>
              <w:rPr>
                <w:rFonts w:ascii="宋体" w:hAnsi="宋体" w:cs="宋体" w:eastAsia="宋体" w:hint="default"/>
                <w:sz w:val="21"/>
                <w:szCs w:val="21"/>
              </w:rPr>
              <w:t>元及承担向涉案</w:t>
            </w:r>
            <w:r>
              <w:rPr>
                <w:rFonts w:ascii="宋体" w:hAnsi="宋体" w:cs="宋体" w:eastAsia="宋体" w:hint="default"/>
                <w:w w:val="100"/>
                <w:sz w:val="21"/>
                <w:szCs w:val="21"/>
              </w:rPr>
              <w:t> </w:t>
            </w:r>
            <w:r>
              <w:rPr>
                <w:rFonts w:ascii="宋体" w:hAnsi="宋体" w:cs="宋体" w:eastAsia="宋体" w:hint="default"/>
                <w:spacing w:val="-4"/>
                <w:sz w:val="21"/>
                <w:szCs w:val="21"/>
              </w:rPr>
              <w:t>项目有关的分包商、供货商及其雇用的劳务人员支付工程款、货款</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及劳务工资，并承担本案仲裁费用。针对该项仲裁申请，本公司提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出仲裁反请求申请，仲裁反请求金额为 </w:t>
            </w:r>
            <w:r>
              <w:rPr>
                <w:rFonts w:ascii="宋体" w:hAnsi="宋体" w:cs="宋体" w:eastAsia="宋体" w:hint="default"/>
                <w:sz w:val="21"/>
                <w:szCs w:val="21"/>
              </w:rPr>
              <w:t>221,360,202.13</w:t>
            </w:r>
            <w:r>
              <w:rPr>
                <w:rFonts w:ascii="宋体" w:hAnsi="宋体" w:cs="宋体" w:eastAsia="宋体" w:hint="default"/>
                <w:spacing w:val="-72"/>
                <w:sz w:val="21"/>
                <w:szCs w:val="21"/>
              </w:rPr>
              <w:t> </w:t>
            </w:r>
            <w:r>
              <w:rPr>
                <w:rFonts w:ascii="宋体" w:hAnsi="宋体" w:cs="宋体" w:eastAsia="宋体" w:hint="default"/>
                <w:sz w:val="21"/>
                <w:szCs w:val="21"/>
              </w:rPr>
              <w:t>元，并由</w:t>
            </w:r>
            <w:r>
              <w:rPr>
                <w:rFonts w:ascii="宋体" w:hAnsi="宋体" w:cs="宋体" w:eastAsia="宋体" w:hint="default"/>
                <w:w w:val="100"/>
                <w:sz w:val="21"/>
                <w:szCs w:val="21"/>
              </w:rPr>
              <w:t> </w:t>
            </w:r>
            <w:r>
              <w:rPr>
                <w:rFonts w:ascii="宋体" w:hAnsi="宋体" w:cs="宋体" w:eastAsia="宋体" w:hint="default"/>
                <w:sz w:val="21"/>
                <w:szCs w:val="21"/>
              </w:rPr>
              <w:t>新昌营造承担本案全部仲裁费用。</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2</w:t>
            </w:r>
            <w:r>
              <w:rPr>
                <w:rFonts w:ascii="宋体" w:hAnsi="宋体" w:cs="宋体" w:eastAsia="宋体" w:hint="default"/>
                <w:spacing w:val="-72"/>
                <w:sz w:val="21"/>
                <w:szCs w:val="21"/>
              </w:rPr>
              <w:t> </w:t>
            </w:r>
            <w:r>
              <w:rPr>
                <w:rFonts w:ascii="宋体" w:hAnsi="宋体" w:cs="宋体" w:eastAsia="宋体" w:hint="default"/>
                <w:sz w:val="21"/>
                <w:szCs w:val="21"/>
              </w:rPr>
              <w:t>月，杭州仲裁委员会</w:t>
            </w:r>
            <w:r>
              <w:rPr>
                <w:rFonts w:ascii="宋体" w:hAnsi="宋体" w:cs="宋体" w:eastAsia="宋体" w:hint="default"/>
                <w:w w:val="100"/>
                <w:sz w:val="21"/>
                <w:szCs w:val="21"/>
              </w:rPr>
              <w:t> </w:t>
            </w:r>
            <w:r>
              <w:rPr>
                <w:rFonts w:ascii="宋体" w:hAnsi="宋体" w:cs="宋体" w:eastAsia="宋体" w:hint="default"/>
                <w:sz w:val="21"/>
                <w:szCs w:val="21"/>
              </w:rPr>
              <w:t>裁决：仲裁庭支持申请人金额总计人民币 </w:t>
            </w:r>
            <w:r>
              <w:rPr>
                <w:rFonts w:ascii="宋体" w:hAnsi="宋体" w:cs="宋体" w:eastAsia="宋体" w:hint="default"/>
                <w:sz w:val="21"/>
                <w:szCs w:val="21"/>
              </w:rPr>
              <w:t>117,925,239.03</w:t>
            </w:r>
            <w:r>
              <w:rPr>
                <w:rFonts w:ascii="宋体" w:hAnsi="宋体" w:cs="宋体" w:eastAsia="宋体" w:hint="default"/>
                <w:spacing w:val="-72"/>
                <w:sz w:val="21"/>
                <w:szCs w:val="21"/>
              </w:rPr>
              <w:t> </w:t>
            </w:r>
            <w:r>
              <w:rPr>
                <w:rFonts w:ascii="宋体" w:hAnsi="宋体" w:cs="宋体" w:eastAsia="宋体" w:hint="default"/>
                <w:sz w:val="21"/>
                <w:szCs w:val="21"/>
              </w:rPr>
              <w:t>元，仲</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裁庭支持被申请人金额总计为人民币 </w:t>
            </w:r>
            <w:r>
              <w:rPr>
                <w:rFonts w:ascii="宋体" w:hAnsi="宋体" w:cs="宋体" w:eastAsia="宋体" w:hint="default"/>
                <w:sz w:val="21"/>
                <w:szCs w:val="21"/>
              </w:rPr>
              <w:t>107,640,001.77</w:t>
            </w:r>
            <w:r>
              <w:rPr>
                <w:rFonts w:ascii="宋体" w:hAnsi="宋体" w:cs="宋体" w:eastAsia="宋体" w:hint="default"/>
                <w:spacing w:val="-73"/>
                <w:sz w:val="21"/>
                <w:szCs w:val="21"/>
              </w:rPr>
              <w:t> </w:t>
            </w:r>
            <w:r>
              <w:rPr>
                <w:rFonts w:ascii="宋体" w:hAnsi="宋体" w:cs="宋体" w:eastAsia="宋体" w:hint="default"/>
                <w:sz w:val="21"/>
                <w:szCs w:val="21"/>
              </w:rPr>
              <w:t>元，两相抵</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详见公司于</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2014</w:t>
            </w:r>
          </w:p>
          <w:p>
            <w:pPr>
              <w:pStyle w:val="TableParagraph"/>
              <w:spacing w:line="235" w:lineRule="auto"/>
              <w:ind w:left="100"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日在《中</w:t>
            </w:r>
            <w:r>
              <w:rPr>
                <w:rFonts w:ascii="宋体" w:hAnsi="宋体" w:cs="宋体" w:eastAsia="宋体" w:hint="default"/>
                <w:w w:val="100"/>
                <w:sz w:val="21"/>
                <w:szCs w:val="21"/>
              </w:rPr>
              <w:t> </w:t>
            </w:r>
            <w:r>
              <w:rPr>
                <w:rFonts w:ascii="宋体" w:hAnsi="宋体" w:cs="宋体" w:eastAsia="宋体" w:hint="default"/>
                <w:spacing w:val="-19"/>
                <w:w w:val="100"/>
                <w:sz w:val="21"/>
                <w:szCs w:val="21"/>
              </w:rPr>
              <w:t>国证券报》、《上海证券报》、《证券时</w:t>
            </w:r>
            <w:r>
              <w:rPr>
                <w:rFonts w:ascii="宋体" w:hAnsi="宋体" w:cs="宋体" w:eastAsia="宋体" w:hint="default"/>
                <w:w w:val="100"/>
                <w:sz w:val="21"/>
                <w:szCs w:val="21"/>
              </w:rPr>
              <w:t> </w:t>
            </w:r>
            <w:r>
              <w:rPr>
                <w:rFonts w:ascii="宋体" w:hAnsi="宋体" w:cs="宋体" w:eastAsia="宋体" w:hint="default"/>
                <w:spacing w:val="-19"/>
                <w:w w:val="100"/>
                <w:sz w:val="21"/>
                <w:szCs w:val="21"/>
              </w:rPr>
              <w:t>报》、《证券日报》及上海证券交易所网</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站披露的《宁波建工股份有限公司涉及</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9"/>
                <w:w w:val="100"/>
                <w:sz w:val="21"/>
                <w:szCs w:val="21"/>
              </w:rPr>
              <w:t>仲裁公告》、《宁波建工股份有限公司关</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7"/>
                <w:w w:val="100"/>
                <w:sz w:val="21"/>
                <w:szCs w:val="21"/>
              </w:rPr>
              <w:t>于仲裁进展的公告》《宁波建工股份有</w:t>
            </w:r>
            <w:r>
              <w:rPr>
                <w:rFonts w:ascii="宋体" w:hAnsi="宋体" w:cs="宋体" w:eastAsia="宋体" w:hint="default"/>
                <w:w w:val="100"/>
                <w:sz w:val="21"/>
                <w:szCs w:val="21"/>
              </w:rPr>
              <w:t> </w:t>
            </w:r>
            <w:r>
              <w:rPr>
                <w:rFonts w:ascii="宋体" w:hAnsi="宋体" w:cs="宋体" w:eastAsia="宋体" w:hint="default"/>
                <w:sz w:val="21"/>
                <w:szCs w:val="21"/>
              </w:rPr>
              <w:t>限公司关于涉及仲裁结果公告》</w:t>
            </w:r>
          </w:p>
        </w:tc>
      </w:tr>
    </w:tbl>
    <w:p>
      <w:pPr>
        <w:spacing w:after="0" w:line="235" w:lineRule="auto"/>
        <w:jc w:val="both"/>
        <w:rPr>
          <w:rFonts w:ascii="宋体" w:hAnsi="宋体" w:cs="宋体" w:eastAsia="宋体" w:hint="default"/>
          <w:sz w:val="21"/>
          <w:szCs w:val="21"/>
        </w:rPr>
        <w:sectPr>
          <w:pgSz w:w="11910" w:h="16840"/>
          <w:pgMar w:header="880" w:footer="1195" w:top="1120" w:bottom="138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p>
      <w:pPr>
        <w:spacing w:line="576" w:lineRule="exact"/>
        <w:ind w:left="4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6.7pt;height:28.85pt;mso-position-horizontal-relative:char;mso-position-vertical-relative:line" coordorigin="0,0" coordsize="9934,577">
            <v:group style="position:absolute;left:10;top:10;width:6230;height:2" coordorigin="10,10" coordsize="6230,2">
              <v:shape style="position:absolute;left:10;top:10;width:6230;height:2" coordorigin="10,10" coordsize="6230,0" path="m10,10l6239,10e" filled="false" stroked="true" strokeweight=".48pt" strokecolor="#000000">
                <v:path arrowok="t"/>
              </v:shape>
            </v:group>
            <v:group style="position:absolute;left:6249;top:10;width:3675;height:2" coordorigin="6249,10" coordsize="3675,2">
              <v:shape style="position:absolute;left:6249;top:10;width:3675;height:2" coordorigin="6249,10" coordsize="3675,0" path="m6249,10l9923,10e" filled="false" stroked="true" strokeweight=".48pt" strokecolor="#000000">
                <v:path arrowok="t"/>
              </v:shape>
            </v:group>
            <v:group style="position:absolute;left:5;top:5;width:2;height:567" coordorigin="5,5" coordsize="2,567">
              <v:shape style="position:absolute;left:5;top:5;width:2;height:567" coordorigin="5,5" coordsize="0,567" path="m5,5l5,572e" filled="false" stroked="true" strokeweight=".48pt" strokecolor="#000000">
                <v:path arrowok="t"/>
              </v:shape>
            </v:group>
            <v:group style="position:absolute;left:10;top:567;width:6230;height:2" coordorigin="10,567" coordsize="6230,2">
              <v:shape style="position:absolute;left:10;top:567;width:6230;height:2" coordorigin="10,567" coordsize="6230,0" path="m10,567l6239,567e" filled="false" stroked="true" strokeweight=".48pt" strokecolor="#000000">
                <v:path arrowok="t"/>
              </v:shape>
            </v:group>
            <v:group style="position:absolute;left:6244;top:5;width:2;height:567" coordorigin="6244,5" coordsize="2,567">
              <v:shape style="position:absolute;left:6244;top:5;width:2;height:567" coordorigin="6244,5" coordsize="0,567" path="m6244,5l6244,572e" filled="false" stroked="true" strokeweight=".47998pt" strokecolor="#000000">
                <v:path arrowok="t"/>
              </v:shape>
            </v:group>
            <v:group style="position:absolute;left:6249;top:567;width:3675;height:2" coordorigin="6249,567" coordsize="3675,2">
              <v:shape style="position:absolute;left:6249;top:567;width:3675;height:2" coordorigin="6249,567" coordsize="3675,0" path="m6249,567l9923,567e" filled="false" stroked="true" strokeweight=".48pt" strokecolor="#000000">
                <v:path arrowok="t"/>
              </v:shape>
            </v:group>
            <v:group style="position:absolute;left:9928;top:5;width:2;height:567" coordorigin="9928,5" coordsize="2,567">
              <v:shape style="position:absolute;left:9928;top:5;width:2;height:567" coordorigin="9928,5" coordsize="0,567" path="m9928,5l9928,572e" filled="false" stroked="true" strokeweight=".47998pt" strokecolor="#000000">
                <v:path arrowok="t"/>
              </v:shape>
              <v:shape style="position:absolute;left:5;top:10;width:6239;height:558" type="#_x0000_t202" filled="false" stroked="false">
                <v:textbox inset="0,0,0,0">
                  <w:txbxContent>
                    <w:p>
                      <w:pPr>
                        <w:spacing w:line="247" w:lineRule="exact" w:before="0"/>
                        <w:ind w:left="105" w:right="0" w:firstLine="0"/>
                        <w:jc w:val="left"/>
                        <w:rPr>
                          <w:rFonts w:ascii="宋体" w:hAnsi="宋体" w:cs="宋体" w:eastAsia="宋体" w:hint="default"/>
                          <w:sz w:val="21"/>
                          <w:szCs w:val="21"/>
                        </w:rPr>
                      </w:pPr>
                      <w:r>
                        <w:rPr>
                          <w:rFonts w:ascii="宋体" w:hAnsi="宋体" w:cs="宋体" w:eastAsia="宋体" w:hint="default"/>
                          <w:spacing w:val="-4"/>
                          <w:sz w:val="21"/>
                          <w:szCs w:val="21"/>
                        </w:rPr>
                        <w:t>扣，被申请人尚应向申请人支付人民币 </w:t>
                      </w:r>
                      <w:r>
                        <w:rPr>
                          <w:rFonts w:ascii="宋体" w:hAnsi="宋体" w:cs="宋体" w:eastAsia="宋体" w:hint="default"/>
                          <w:sz w:val="21"/>
                          <w:szCs w:val="21"/>
                        </w:rPr>
                        <w:t>10,285,237.26</w:t>
                      </w:r>
                      <w:r>
                        <w:rPr>
                          <w:rFonts w:ascii="宋体" w:hAnsi="宋体" w:cs="宋体" w:eastAsia="宋体" w:hint="default"/>
                          <w:spacing w:val="-67"/>
                          <w:sz w:val="21"/>
                          <w:szCs w:val="21"/>
                        </w:rPr>
                        <w:t> </w:t>
                      </w:r>
                      <w:r>
                        <w:rPr>
                          <w:rFonts w:ascii="宋体" w:hAnsi="宋体" w:cs="宋体" w:eastAsia="宋体" w:hint="default"/>
                          <w:spacing w:val="-8"/>
                          <w:sz w:val="21"/>
                          <w:szCs w:val="21"/>
                        </w:rPr>
                        <w:t>元，且双方</w:t>
                      </w:r>
                    </w:p>
                    <w:p>
                      <w:pPr>
                        <w:spacing w:line="273" w:lineRule="exact" w:before="0"/>
                        <w:ind w:left="105" w:right="0" w:firstLine="0"/>
                        <w:jc w:val="left"/>
                        <w:rPr>
                          <w:rFonts w:ascii="宋体" w:hAnsi="宋体" w:cs="宋体" w:eastAsia="宋体" w:hint="default"/>
                          <w:sz w:val="21"/>
                          <w:szCs w:val="21"/>
                        </w:rPr>
                      </w:pPr>
                      <w:r>
                        <w:rPr>
                          <w:rFonts w:ascii="宋体" w:hAnsi="宋体" w:cs="宋体" w:eastAsia="宋体" w:hint="default"/>
                          <w:sz w:val="21"/>
                          <w:szCs w:val="21"/>
                        </w:rPr>
                        <w:t>承担其他相关费用。截止</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月，双方已履行完毕。</w:t>
                      </w:r>
                    </w:p>
                  </w:txbxContent>
                </v:textbox>
                <w10:wrap type="none"/>
              </v:shape>
            </v:group>
          </v:group>
        </w:pict>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header="880" w:footer="1195" w:top="1120" w:bottom="1380" w:left="680" w:right="480"/>
        </w:sectPr>
      </w:pPr>
    </w:p>
    <w:p>
      <w:pPr>
        <w:pStyle w:val="Heading3"/>
        <w:spacing w:line="240" w:lineRule="auto"/>
        <w:ind w:left="1118" w:right="-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11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018" w:val="left" w:leader="none"/>
        </w:tabs>
        <w:spacing w:line="240" w:lineRule="auto"/>
        <w:ind w:left="11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680" w:right="480"/>
          <w:cols w:num="2" w:equalWidth="0">
            <w:col w:w="5967" w:space="860"/>
            <w:col w:w="3923"/>
          </w:cols>
        </w:sect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283" w:hRule="exact"/>
        </w:trPr>
        <w:tc>
          <w:tcPr>
            <w:tcW w:w="1049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报告期内</w:t>
            </w:r>
            <w:r>
              <w:rPr>
                <w:rFonts w:ascii="Times New Roman" w:hAnsi="Times New Roman" w:cs="Times New Roman" w:eastAsia="Times New Roman" w:hint="default"/>
                <w:sz w:val="21"/>
                <w:szCs w:val="21"/>
              </w:rPr>
              <w:t>:</w:t>
            </w:r>
          </w:p>
        </w:tc>
      </w:tr>
      <w:tr>
        <w:trPr>
          <w:trHeight w:val="218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起诉</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申</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应诉</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被申</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请</w:t>
            </w:r>
            <w:r>
              <w:rPr>
                <w:rFonts w:ascii="Times New Roman" w:hAnsi="Times New Roman" w:cs="Times New Roman" w:eastAsia="Times New Roman" w:hint="default"/>
                <w:sz w:val="21"/>
                <w:szCs w:val="21"/>
              </w:rPr>
              <w:t>)</w:t>
            </w:r>
            <w:r>
              <w:rPr>
                <w:rFonts w:ascii="宋体" w:hAnsi="宋体" w:cs="宋体" w:eastAsia="宋体" w:hint="default"/>
                <w:sz w:val="21"/>
                <w:szCs w:val="21"/>
              </w:rPr>
              <w:t>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173"/>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0" w:right="173"/>
              <w:jc w:val="both"/>
              <w:rPr>
                <w:rFonts w:ascii="宋体" w:hAnsi="宋体" w:cs="宋体" w:eastAsia="宋体" w:hint="default"/>
                <w:sz w:val="21"/>
                <w:szCs w:val="21"/>
              </w:rPr>
            </w:pP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w w:val="100"/>
                <w:sz w:val="21"/>
                <w:szCs w:val="21"/>
              </w:rPr>
              <w:t> </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4" w:lineRule="exact"/>
              <w:ind w:left="633" w:right="144" w:hanging="490"/>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仲裁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涉及</w:t>
            </w:r>
            <w:r>
              <w:rPr>
                <w:rFonts w:ascii="宋体" w:hAnsi="宋体" w:cs="宋体" w:eastAsia="宋体" w:hint="default"/>
                <w:spacing w:val="-92"/>
                <w:sz w:val="21"/>
                <w:szCs w:val="21"/>
              </w:rPr>
              <w:t> </w:t>
            </w: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5" w:lineRule="auto"/>
              <w:ind w:left="103" w:right="101" w:firstLine="105"/>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是否形</w:t>
            </w:r>
            <w:r>
              <w:rPr>
                <w:rFonts w:ascii="宋体" w:hAnsi="宋体" w:cs="宋体" w:eastAsia="宋体" w:hint="default"/>
                <w:spacing w:val="-102"/>
                <w:sz w:val="21"/>
                <w:szCs w:val="21"/>
              </w:rPr>
              <w:t> </w:t>
            </w:r>
            <w:r>
              <w:rPr>
                <w:rFonts w:ascii="宋体" w:hAnsi="宋体" w:cs="宋体" w:eastAsia="宋体" w:hint="default"/>
                <w:sz w:val="21"/>
                <w:szCs w:val="21"/>
              </w:rPr>
              <w:t>成预计</w:t>
            </w:r>
            <w:r>
              <w:rPr>
                <w:rFonts w:ascii="宋体" w:hAnsi="宋体" w:cs="宋体" w:eastAsia="宋体" w:hint="default"/>
                <w:spacing w:val="-102"/>
                <w:sz w:val="21"/>
                <w:szCs w:val="21"/>
              </w:rPr>
              <w:t> </w:t>
            </w:r>
            <w:r>
              <w:rPr>
                <w:rFonts w:ascii="宋体" w:hAnsi="宋体" w:cs="宋体" w:eastAsia="宋体" w:hint="default"/>
                <w:sz w:val="21"/>
                <w:szCs w:val="21"/>
              </w:rPr>
              <w:t>负债及</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72"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讼</w:t>
            </w:r>
          </w:p>
          <w:p>
            <w:pPr>
              <w:pStyle w:val="TableParagraph"/>
              <w:spacing w:line="279" w:lineRule="exact"/>
              <w:ind w:left="136"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仲</w:t>
            </w:r>
          </w:p>
          <w:p>
            <w:pPr>
              <w:pStyle w:val="TableParagraph"/>
              <w:spacing w:line="235" w:lineRule="auto"/>
              <w:ind w:left="172" w:right="138" w:hanging="36"/>
              <w:jc w:val="both"/>
              <w:rPr>
                <w:rFonts w:ascii="宋体" w:hAnsi="宋体" w:cs="宋体" w:eastAsia="宋体" w:hint="default"/>
                <w:sz w:val="21"/>
                <w:szCs w:val="21"/>
              </w:rPr>
            </w:pP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6" w:right="0"/>
              <w:jc w:val="both"/>
              <w:rPr>
                <w:rFonts w:ascii="宋体" w:hAnsi="宋体" w:cs="宋体" w:eastAsia="宋体" w:hint="default"/>
                <w:sz w:val="21"/>
                <w:szCs w:val="21"/>
              </w:rPr>
            </w:pPr>
            <w:r>
              <w:rPr>
                <w:rFonts w:ascii="宋体" w:hAnsi="宋体" w:cs="宋体" w:eastAsia="宋体" w:hint="default"/>
                <w:sz w:val="21"/>
                <w:szCs w:val="21"/>
              </w:rPr>
              <w:t>诉讼</w:t>
            </w:r>
          </w:p>
          <w:p>
            <w:pPr>
              <w:pStyle w:val="TableParagraph"/>
              <w:spacing w:line="279"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仲</w:t>
            </w:r>
          </w:p>
          <w:p>
            <w:pPr>
              <w:pStyle w:val="TableParagraph"/>
              <w:spacing w:line="235" w:lineRule="auto"/>
              <w:ind w:left="136" w:right="103" w:hanging="36"/>
              <w:jc w:val="both"/>
              <w:rPr>
                <w:rFonts w:ascii="宋体" w:hAnsi="宋体" w:cs="宋体" w:eastAsia="宋体" w:hint="default"/>
                <w:sz w:val="21"/>
                <w:szCs w:val="21"/>
              </w:rPr>
            </w:pP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理结</w:t>
            </w:r>
            <w:r>
              <w:rPr>
                <w:rFonts w:ascii="宋体" w:hAnsi="宋体" w:cs="宋体" w:eastAsia="宋体" w:hint="default"/>
                <w:w w:val="100"/>
                <w:sz w:val="21"/>
                <w:szCs w:val="21"/>
              </w:rPr>
              <w:t> </w:t>
            </w:r>
            <w:r>
              <w:rPr>
                <w:rFonts w:ascii="宋体" w:hAnsi="宋体" w:cs="宋体" w:eastAsia="宋体" w:hint="default"/>
                <w:sz w:val="21"/>
                <w:szCs w:val="21"/>
              </w:rPr>
              <w:t>果及</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9" w:right="0"/>
              <w:jc w:val="both"/>
              <w:rPr>
                <w:rFonts w:ascii="宋体" w:hAnsi="宋体" w:cs="宋体" w:eastAsia="宋体" w:hint="default"/>
                <w:sz w:val="21"/>
                <w:szCs w:val="21"/>
              </w:rPr>
            </w:pPr>
            <w:r>
              <w:rPr>
                <w:rFonts w:ascii="宋体" w:hAnsi="宋体" w:cs="宋体" w:eastAsia="宋体" w:hint="default"/>
                <w:sz w:val="21"/>
                <w:szCs w:val="21"/>
              </w:rPr>
              <w:t>诉讼</w:t>
            </w:r>
          </w:p>
          <w:p>
            <w:pPr>
              <w:pStyle w:val="TableParagraph"/>
              <w:spacing w:line="279"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仲</w:t>
            </w:r>
          </w:p>
          <w:p>
            <w:pPr>
              <w:pStyle w:val="TableParagraph"/>
              <w:spacing w:line="235" w:lineRule="auto"/>
              <w:ind w:left="139" w:right="103" w:hanging="36"/>
              <w:jc w:val="both"/>
              <w:rPr>
                <w:rFonts w:ascii="宋体" w:hAnsi="宋体" w:cs="宋体" w:eastAsia="宋体" w:hint="default"/>
                <w:sz w:val="21"/>
                <w:szCs w:val="21"/>
              </w:rPr>
            </w:pP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判</w:t>
            </w:r>
            <w:r>
              <w:rPr>
                <w:rFonts w:ascii="宋体" w:hAnsi="宋体" w:cs="宋体" w:eastAsia="宋体" w:hint="default"/>
                <w:w w:val="100"/>
                <w:sz w:val="21"/>
                <w:szCs w:val="21"/>
              </w:rPr>
              <w:t> </w:t>
            </w:r>
            <w:r>
              <w:rPr>
                <w:rFonts w:ascii="宋体" w:hAnsi="宋体" w:cs="宋体" w:eastAsia="宋体" w:hint="default"/>
                <w:sz w:val="21"/>
                <w:szCs w:val="21"/>
              </w:rPr>
              <w:t>决执</w:t>
            </w:r>
            <w:r>
              <w:rPr>
                <w:rFonts w:ascii="宋体" w:hAnsi="宋体" w:cs="宋体" w:eastAsia="宋体" w:hint="default"/>
                <w:w w:val="100"/>
                <w:sz w:val="21"/>
                <w:szCs w:val="21"/>
              </w:rPr>
              <w:t> </w:t>
            </w:r>
            <w:r>
              <w:rPr>
                <w:rFonts w:ascii="宋体" w:hAnsi="宋体" w:cs="宋体" w:eastAsia="宋体" w:hint="default"/>
                <w:sz w:val="21"/>
                <w:szCs w:val="21"/>
              </w:rPr>
              <w:t>行情</w:t>
            </w:r>
            <w:r>
              <w:rPr>
                <w:rFonts w:ascii="宋体" w:hAnsi="宋体" w:cs="宋体" w:eastAsia="宋体" w:hint="default"/>
                <w:w w:val="100"/>
                <w:sz w:val="21"/>
                <w:szCs w:val="21"/>
              </w:rPr>
              <w:t> </w:t>
            </w:r>
            <w:r>
              <w:rPr>
                <w:rFonts w:ascii="宋体" w:hAnsi="宋体" w:cs="宋体" w:eastAsia="宋体" w:hint="default"/>
                <w:sz w:val="21"/>
                <w:szCs w:val="21"/>
              </w:rPr>
              <w:t>况</w:t>
            </w:r>
          </w:p>
        </w:tc>
      </w:tr>
      <w:tr>
        <w:trPr>
          <w:trHeight w:val="191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艾迪</w:t>
            </w:r>
            <w:r>
              <w:rPr>
                <w:rFonts w:ascii="宋体" w:hAnsi="宋体" w:cs="宋体" w:eastAsia="宋体" w:hint="default"/>
                <w:spacing w:val="-101"/>
                <w:sz w:val="21"/>
                <w:szCs w:val="21"/>
              </w:rPr>
              <w:t> </w:t>
            </w:r>
            <w:r>
              <w:rPr>
                <w:rFonts w:ascii="宋体" w:hAnsi="宋体" w:cs="宋体" w:eastAsia="宋体" w:hint="default"/>
                <w:spacing w:val="36"/>
                <w:sz w:val="21"/>
                <w:szCs w:val="21"/>
              </w:rPr>
              <w:t>姆斯</w:t>
            </w:r>
            <w:r>
              <w:rPr>
                <w:rFonts w:ascii="宋体" w:hAnsi="宋体" w:cs="宋体" w:eastAsia="宋体" w:hint="default"/>
                <w:spacing w:val="-101"/>
                <w:sz w:val="21"/>
                <w:szCs w:val="21"/>
              </w:rPr>
              <w:t> </w:t>
            </w:r>
            <w:r>
              <w:rPr>
                <w:rFonts w:ascii="宋体" w:hAnsi="宋体" w:cs="宋体" w:eastAsia="宋体" w:hint="default"/>
                <w:spacing w:val="36"/>
                <w:sz w:val="21"/>
                <w:szCs w:val="21"/>
              </w:rPr>
              <w:t>运动</w:t>
            </w:r>
            <w:r>
              <w:rPr>
                <w:rFonts w:ascii="宋体" w:hAnsi="宋体" w:cs="宋体" w:eastAsia="宋体" w:hint="default"/>
                <w:spacing w:val="-101"/>
                <w:sz w:val="21"/>
                <w:szCs w:val="21"/>
              </w:rPr>
              <w:t> </w:t>
            </w:r>
            <w:r>
              <w:rPr>
                <w:rFonts w:ascii="宋体" w:hAnsi="宋体" w:cs="宋体" w:eastAsia="宋体" w:hint="default"/>
                <w:spacing w:val="36"/>
                <w:sz w:val="21"/>
                <w:szCs w:val="21"/>
              </w:rPr>
              <w:t>用品</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本公司向宁波市镇海区人民法院提</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起诉讼，要求宁波艾迪姆斯运动用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品有限公司支付逾期工程款及逾期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利息。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45,517,598.82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60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吉林</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白山</w:t>
            </w:r>
            <w:r>
              <w:rPr>
                <w:rFonts w:ascii="宋体" w:hAnsi="宋体" w:cs="宋体" w:eastAsia="宋体" w:hint="default"/>
                <w:spacing w:val="-101"/>
                <w:sz w:val="21"/>
                <w:szCs w:val="21"/>
              </w:rPr>
              <w:t> </w:t>
            </w:r>
            <w:r>
              <w:rPr>
                <w:rFonts w:ascii="宋体" w:hAnsi="宋体" w:cs="宋体" w:eastAsia="宋体" w:hint="default"/>
                <w:spacing w:val="36"/>
                <w:sz w:val="21"/>
                <w:szCs w:val="21"/>
              </w:rPr>
              <w:t>和丰</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本公司向宁波市中级人民法院提起</w:t>
            </w:r>
          </w:p>
          <w:p>
            <w:pPr>
              <w:pStyle w:val="TableParagraph"/>
              <w:spacing w:line="235" w:lineRule="auto" w:before="3"/>
              <w:ind w:left="103" w:right="99"/>
              <w:jc w:val="both"/>
              <w:rPr>
                <w:rFonts w:ascii="宋体" w:hAnsi="宋体" w:cs="宋体" w:eastAsia="宋体" w:hint="default"/>
                <w:sz w:val="21"/>
                <w:szCs w:val="21"/>
              </w:rPr>
            </w:pPr>
            <w:r>
              <w:rPr>
                <w:rFonts w:ascii="宋体" w:hAnsi="宋体" w:cs="宋体" w:eastAsia="宋体" w:hint="default"/>
                <w:sz w:val="21"/>
                <w:szCs w:val="21"/>
              </w:rPr>
              <w:t>诉讼，要求吉林白山和丰置业有限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公司支付工程款及违约金，一审判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决后，</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日，浙江省</w:t>
            </w:r>
            <w:r>
              <w:rPr>
                <w:rFonts w:ascii="宋体" w:hAnsi="宋体" w:cs="宋体" w:eastAsia="宋体" w:hint="default"/>
                <w:w w:val="100"/>
                <w:sz w:val="21"/>
                <w:szCs w:val="21"/>
              </w:rPr>
              <w:t> </w:t>
            </w:r>
            <w:r>
              <w:rPr>
                <w:rFonts w:ascii="宋体" w:hAnsi="宋体" w:cs="宋体" w:eastAsia="宋体" w:hint="default"/>
                <w:sz w:val="21"/>
                <w:szCs w:val="21"/>
              </w:rPr>
              <w:t>高级人民法院组织双方进行了二审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开庭并进行了调解，后达成调解协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议，并约定和丰置业若未按期履行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调解协议，将按一审判决履行给付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义务。由于白山和丰置业未完整履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sz w:val="21"/>
                <w:szCs w:val="21"/>
              </w:rPr>
              <w:t>行调解协议，本公司于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32" w:lineRule="auto"/>
              <w:ind w:left="103"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日向宁波市中级人民法院申请执</w:t>
            </w:r>
            <w:r>
              <w:rPr>
                <w:rFonts w:ascii="宋体" w:hAnsi="宋体" w:cs="宋体" w:eastAsia="宋体" w:hint="default"/>
                <w:w w:val="100"/>
                <w:sz w:val="21"/>
                <w:szCs w:val="21"/>
              </w:rPr>
              <w:t> </w:t>
            </w:r>
            <w:r>
              <w:rPr>
                <w:rFonts w:ascii="宋体" w:hAnsi="宋体" w:cs="宋体" w:eastAsia="宋体" w:hint="default"/>
                <w:sz w:val="21"/>
                <w:szCs w:val="21"/>
              </w:rPr>
              <w:t>行一审判决。</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月，白山和</w:t>
            </w:r>
            <w:r>
              <w:rPr>
                <w:rFonts w:ascii="宋体" w:hAnsi="宋体" w:cs="宋体" w:eastAsia="宋体" w:hint="default"/>
                <w:w w:val="100"/>
                <w:sz w:val="21"/>
                <w:szCs w:val="21"/>
              </w:rPr>
              <w:t> </w:t>
            </w:r>
            <w:r>
              <w:rPr>
                <w:rFonts w:ascii="宋体" w:hAnsi="宋体" w:cs="宋体" w:eastAsia="宋体" w:hint="default"/>
                <w:sz w:val="21"/>
                <w:szCs w:val="21"/>
              </w:rPr>
              <w:t>丰置业有限公司向本公司出具书面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承诺书，同意继续履行浙江省高院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调解协议，并承诺如果未履行，宁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波中院可以启动评估拍卖程序，并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按一审判决执行，公司已收到执行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款</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2489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白山和丰置业有限公司与本公司签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订和解协议，承诺以部分房产折抵</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执行款</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38,464,504.00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元，现各项手</w:t>
            </w:r>
            <w:r>
              <w:rPr>
                <w:rFonts w:ascii="宋体" w:hAnsi="宋体" w:cs="宋体" w:eastAsia="宋体" w:hint="default"/>
                <w:w w:val="100"/>
                <w:sz w:val="21"/>
                <w:szCs w:val="21"/>
              </w:rPr>
              <w:t> </w:t>
            </w:r>
            <w:r>
              <w:rPr>
                <w:rFonts w:ascii="宋体" w:hAnsi="宋体" w:cs="宋体" w:eastAsia="宋体" w:hint="default"/>
                <w:sz w:val="21"/>
                <w:szCs w:val="21"/>
              </w:rPr>
              <w:t>续办理中。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47,513,372.50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镇海</w:t>
            </w:r>
            <w:r>
              <w:rPr>
                <w:rFonts w:ascii="宋体" w:hAnsi="宋体" w:cs="宋体" w:eastAsia="宋体" w:hint="default"/>
                <w:spacing w:val="-101"/>
                <w:sz w:val="21"/>
                <w:szCs w:val="21"/>
              </w:rPr>
              <w:t> </w:t>
            </w:r>
            <w:r>
              <w:rPr>
                <w:rFonts w:ascii="宋体" w:hAnsi="宋体" w:cs="宋体" w:eastAsia="宋体" w:hint="default"/>
                <w:spacing w:val="36"/>
                <w:sz w:val="21"/>
                <w:szCs w:val="21"/>
              </w:rPr>
              <w:t>新恒</w:t>
            </w:r>
            <w:r>
              <w:rPr>
                <w:rFonts w:ascii="宋体" w:hAnsi="宋体" w:cs="宋体" w:eastAsia="宋体" w:hint="default"/>
                <w:spacing w:val="-101"/>
                <w:sz w:val="21"/>
                <w:szCs w:val="21"/>
              </w:rPr>
              <w:t> </w:t>
            </w:r>
            <w:r>
              <w:rPr>
                <w:rFonts w:ascii="宋体" w:hAnsi="宋体" w:cs="宋体" w:eastAsia="宋体" w:hint="default"/>
                <w:spacing w:val="36"/>
                <w:sz w:val="21"/>
                <w:szCs w:val="21"/>
              </w:rPr>
              <w:t>德房</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31"/>
                <w:sz w:val="21"/>
                <w:szCs w:val="21"/>
              </w:rPr>
              <w:t> </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本公司向宁波市镇海人民法院提起</w:t>
            </w:r>
          </w:p>
          <w:p>
            <w:pPr>
              <w:pStyle w:val="TableParagraph"/>
              <w:spacing w:line="232" w:lineRule="auto" w:before="6"/>
              <w:ind w:left="103" w:right="-2"/>
              <w:jc w:val="left"/>
              <w:rPr>
                <w:rFonts w:ascii="宋体" w:hAnsi="宋体" w:cs="宋体" w:eastAsia="宋体" w:hint="default"/>
                <w:sz w:val="21"/>
                <w:szCs w:val="21"/>
              </w:rPr>
            </w:pPr>
            <w:r>
              <w:rPr>
                <w:rFonts w:ascii="宋体" w:hAnsi="宋体" w:cs="宋体" w:eastAsia="宋体" w:hint="default"/>
                <w:sz w:val="21"/>
                <w:szCs w:val="21"/>
              </w:rPr>
              <w:t>诉讼，请求判令宁波镇海新恒德房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产开发有限公司（简称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新恒德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80"/>
                <w:sz w:val="21"/>
                <w:szCs w:val="21"/>
              </w:rPr>
              <w:t> </w:t>
            </w:r>
            <w:r>
              <w:rPr>
                <w:rFonts w:ascii="宋体" w:hAnsi="宋体" w:cs="宋体" w:eastAsia="宋体" w:hint="default"/>
                <w:spacing w:val="-6"/>
                <w:sz w:val="21"/>
                <w:szCs w:val="21"/>
              </w:rPr>
              <w:t>支付所欠本公司工程款、利息损失、</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窝工损失，并依法确认本公司的建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84,446,712.30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4" w:lineRule="exact"/>
        <w:jc w:val="left"/>
        <w:rPr>
          <w:rFonts w:ascii="宋体" w:hAnsi="宋体" w:cs="宋体" w:eastAsia="宋体" w:hint="default"/>
          <w:sz w:val="21"/>
          <w:szCs w:val="21"/>
        </w:rPr>
        <w:sectPr>
          <w:type w:val="continuous"/>
          <w:pgSz w:w="11910" w:h="16840"/>
          <w:pgMar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2734"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发有</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设工程优先权。</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月，镇海</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区人民法院判决新恒德支付工程款</w:t>
            </w:r>
          </w:p>
          <w:p>
            <w:pPr>
              <w:pStyle w:val="TableParagraph"/>
              <w:tabs>
                <w:tab w:pos="1675" w:val="left" w:leader="none"/>
                <w:tab w:pos="2143" w:val="left" w:leader="none"/>
                <w:tab w:pos="2611" w:val="left" w:leader="none"/>
                <w:tab w:pos="3081" w:val="left" w:leader="none"/>
              </w:tabs>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84,446,712.30</w:t>
              <w:tab/>
            </w:r>
            <w:r>
              <w:rPr>
                <w:rFonts w:ascii="宋体" w:hAnsi="宋体" w:cs="宋体" w:eastAsia="宋体" w:hint="default"/>
                <w:sz w:val="21"/>
                <w:szCs w:val="21"/>
              </w:rPr>
              <w:t>元</w:t>
              <w:tab/>
              <w:t>及</w:t>
              <w:tab/>
              <w:t>利</w:t>
              <w:tab/>
              <w:t>息</w:t>
            </w:r>
          </w:p>
          <w:p>
            <w:pPr>
              <w:pStyle w:val="TableParagraph"/>
              <w:spacing w:line="228" w:lineRule="auto" w:before="2"/>
              <w:ind w:left="103"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5,440,159.90 </w:t>
            </w:r>
            <w:r>
              <w:rPr>
                <w:rFonts w:ascii="宋体" w:hAnsi="宋体" w:cs="宋体" w:eastAsia="宋体" w:hint="default"/>
                <w:spacing w:val="-9"/>
                <w:sz w:val="21"/>
                <w:szCs w:val="21"/>
              </w:rPr>
              <w:t>元及后续利息、窝工损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失</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1,240,655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4"/>
                <w:sz w:val="21"/>
                <w:szCs w:val="21"/>
              </w:rPr>
              <w:t>确认本</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83,929,514.30</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元范围内享有优先受</w:t>
            </w:r>
            <w:r>
              <w:rPr>
                <w:rFonts w:ascii="宋体" w:hAnsi="宋体" w:cs="宋体" w:eastAsia="宋体" w:hint="default"/>
                <w:w w:val="100"/>
                <w:sz w:val="21"/>
                <w:szCs w:val="21"/>
              </w:rPr>
              <w:t> </w:t>
            </w:r>
            <w:r>
              <w:rPr>
                <w:rFonts w:ascii="宋体" w:hAnsi="宋体" w:cs="宋体" w:eastAsia="宋体" w:hint="default"/>
                <w:spacing w:val="-6"/>
                <w:sz w:val="21"/>
                <w:szCs w:val="21"/>
              </w:rPr>
              <w:t>偿权，双方未提起上诉，判决生效。</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截止</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9"/>
                <w:sz w:val="21"/>
                <w:szCs w:val="21"/>
              </w:rPr>
              <w:t>月，公司已收到优先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受偿权款项 </w:t>
            </w:r>
            <w:r>
              <w:rPr>
                <w:rFonts w:ascii="宋体" w:hAnsi="宋体" w:cs="宋体" w:eastAsia="宋体" w:hint="default"/>
                <w:sz w:val="21"/>
                <w:szCs w:val="21"/>
              </w:rPr>
              <w:t>83,929,514.30</w:t>
            </w:r>
            <w:r>
              <w:rPr>
                <w:rFonts w:ascii="宋体" w:hAnsi="宋体" w:cs="宋体" w:eastAsia="宋体" w:hint="default"/>
                <w:spacing w:val="-69"/>
                <w:sz w:val="21"/>
                <w:szCs w:val="21"/>
              </w:rPr>
              <w:t> </w:t>
            </w:r>
            <w:r>
              <w:rPr>
                <w:rFonts w:ascii="宋体" w:hAnsi="宋体" w:cs="宋体" w:eastAsia="宋体" w:hint="default"/>
                <w:sz w:val="21"/>
                <w:szCs w:val="21"/>
              </w:rPr>
              <w:t>元，尚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余普通债权</w:t>
            </w:r>
            <w:r>
              <w:rPr>
                <w:rFonts w:ascii="宋体" w:hAnsi="宋体" w:cs="宋体" w:eastAsia="宋体" w:hint="default"/>
                <w:spacing w:val="-52"/>
                <w:sz w:val="21"/>
                <w:szCs w:val="21"/>
              </w:rPr>
              <w:t> </w:t>
            </w:r>
            <w:r>
              <w:rPr>
                <w:rFonts w:ascii="宋体" w:hAnsi="宋体" w:cs="宋体" w:eastAsia="宋体" w:hint="default"/>
                <w:sz w:val="21"/>
                <w:szCs w:val="21"/>
              </w:rPr>
              <w:t>719.80</w:t>
            </w:r>
            <w:r>
              <w:rPr>
                <w:rFonts w:ascii="宋体" w:hAnsi="宋体" w:cs="宋体" w:eastAsia="宋体" w:hint="default"/>
                <w:spacing w:val="-55"/>
                <w:sz w:val="21"/>
                <w:szCs w:val="21"/>
              </w:rPr>
              <w:t> </w:t>
            </w:r>
            <w:r>
              <w:rPr>
                <w:rFonts w:ascii="宋体" w:hAnsi="宋体" w:cs="宋体" w:eastAsia="宋体" w:hint="default"/>
                <w:sz w:val="21"/>
                <w:szCs w:val="21"/>
              </w:rPr>
              <w:t>万元。</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0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杭州</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森淼</w:t>
            </w:r>
            <w:r>
              <w:rPr>
                <w:rFonts w:ascii="宋体" w:hAnsi="宋体" w:cs="宋体" w:eastAsia="宋体" w:hint="default"/>
                <w:spacing w:val="-101"/>
                <w:sz w:val="21"/>
                <w:szCs w:val="21"/>
              </w:rPr>
              <w:t> </w:t>
            </w:r>
            <w:r>
              <w:rPr>
                <w:rFonts w:ascii="宋体" w:hAnsi="宋体" w:cs="宋体" w:eastAsia="宋体" w:hint="default"/>
                <w:spacing w:val="35"/>
                <w:sz w:val="21"/>
                <w:szCs w:val="21"/>
              </w:rPr>
              <w:t>房地</w:t>
            </w:r>
            <w:r>
              <w:rPr>
                <w:rFonts w:ascii="宋体" w:hAnsi="宋体" w:cs="宋体" w:eastAsia="宋体" w:hint="default"/>
                <w:spacing w:val="-101"/>
                <w:sz w:val="21"/>
                <w:szCs w:val="21"/>
              </w:rPr>
              <w:t> </w:t>
            </w:r>
            <w:r>
              <w:rPr>
                <w:rFonts w:ascii="宋体" w:hAnsi="宋体" w:cs="宋体" w:eastAsia="宋体" w:hint="default"/>
                <w:spacing w:val="35"/>
                <w:sz w:val="21"/>
                <w:szCs w:val="21"/>
              </w:rPr>
              <w:t>产开</w:t>
            </w:r>
            <w:r>
              <w:rPr>
                <w:rFonts w:ascii="宋体" w:hAnsi="宋体" w:cs="宋体" w:eastAsia="宋体" w:hint="default"/>
                <w:spacing w:val="-101"/>
                <w:sz w:val="21"/>
                <w:szCs w:val="21"/>
              </w:rPr>
              <w:t> </w:t>
            </w:r>
            <w:r>
              <w:rPr>
                <w:rFonts w:ascii="宋体" w:hAnsi="宋体" w:cs="宋体" w:eastAsia="宋体" w:hint="default"/>
                <w:spacing w:val="35"/>
                <w:sz w:val="21"/>
                <w:szCs w:val="21"/>
              </w:rPr>
              <w:t>发有</w:t>
            </w:r>
            <w:r>
              <w:rPr>
                <w:rFonts w:ascii="宋体" w:hAnsi="宋体" w:cs="宋体" w:eastAsia="宋体" w:hint="default"/>
                <w:spacing w:val="-101"/>
                <w:sz w:val="21"/>
                <w:szCs w:val="21"/>
              </w:rPr>
              <w:t> </w:t>
            </w:r>
            <w:r>
              <w:rPr>
                <w:rFonts w:ascii="宋体" w:hAnsi="宋体" w:cs="宋体" w:eastAsia="宋体" w:hint="default"/>
                <w:spacing w:val="3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股份</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本公司与杭州森淼房地产开发有限</w:t>
            </w:r>
          </w:p>
          <w:p>
            <w:pPr>
              <w:pStyle w:val="TableParagraph"/>
              <w:spacing w:line="272" w:lineRule="exact" w:before="26"/>
              <w:ind w:left="103"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杭州森淼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）产生建设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工程施工合同纠纷。杭州森淼</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2015</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月向杭州市余杭区人民法院提</w:t>
            </w:r>
            <w:r>
              <w:rPr>
                <w:rFonts w:ascii="宋体" w:hAnsi="宋体" w:cs="宋体" w:eastAsia="宋体" w:hint="default"/>
                <w:w w:val="100"/>
                <w:sz w:val="21"/>
                <w:szCs w:val="21"/>
              </w:rPr>
              <w:t> </w:t>
            </w:r>
            <w:r>
              <w:rPr>
                <w:rFonts w:ascii="宋体" w:hAnsi="宋体" w:cs="宋体" w:eastAsia="宋体" w:hint="default"/>
                <w:sz w:val="21"/>
                <w:szCs w:val="21"/>
              </w:rPr>
              <w:t>起诉讼，要求本公司支付工期逾期</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z w:val="21"/>
                <w:szCs w:val="21"/>
              </w:rPr>
              <w:t>违约金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13,367,541.46</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元。本公司向</w:t>
            </w:r>
            <w:r>
              <w:rPr>
                <w:rFonts w:ascii="宋体" w:hAnsi="宋体" w:cs="宋体" w:eastAsia="宋体" w:hint="default"/>
                <w:w w:val="100"/>
                <w:sz w:val="21"/>
                <w:szCs w:val="21"/>
              </w:rPr>
              <w:t> </w:t>
            </w:r>
            <w:r>
              <w:rPr>
                <w:rFonts w:ascii="宋体" w:hAnsi="宋体" w:cs="宋体" w:eastAsia="宋体" w:hint="default"/>
                <w:sz w:val="21"/>
                <w:szCs w:val="21"/>
              </w:rPr>
              <w:t>杭州森淼提起反诉，要求其归还履</w:t>
            </w:r>
          </w:p>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约保证金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12,128,129.00 </w:t>
            </w:r>
            <w:r>
              <w:rPr>
                <w:rFonts w:ascii="宋体" w:hAnsi="宋体" w:cs="宋体" w:eastAsia="宋体" w:hint="default"/>
                <w:spacing w:val="-5"/>
                <w:sz w:val="21"/>
                <w:szCs w:val="21"/>
              </w:rPr>
              <w:t>元，支付工</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程欠款 </w:t>
            </w:r>
            <w:r>
              <w:rPr>
                <w:rFonts w:ascii="Times New Roman" w:hAnsi="Times New Roman" w:cs="Times New Roman" w:eastAsia="Times New Roman" w:hint="default"/>
                <w:sz w:val="21"/>
                <w:szCs w:val="21"/>
              </w:rPr>
              <w:t>3,361,345.00</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元并承担以上</w:t>
            </w:r>
            <w:r>
              <w:rPr>
                <w:rFonts w:ascii="宋体" w:hAnsi="宋体" w:cs="宋体" w:eastAsia="宋体" w:hint="default"/>
                <w:w w:val="100"/>
                <w:sz w:val="21"/>
                <w:szCs w:val="21"/>
              </w:rPr>
              <w:t> </w:t>
            </w:r>
            <w:r>
              <w:rPr>
                <w:rFonts w:ascii="宋体" w:hAnsi="宋体" w:cs="宋体" w:eastAsia="宋体" w:hint="default"/>
                <w:sz w:val="21"/>
                <w:szCs w:val="21"/>
              </w:rPr>
              <w:t>延期付款的利息。</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月，本</w:t>
            </w:r>
            <w:r>
              <w:rPr>
                <w:rFonts w:ascii="宋体" w:hAnsi="宋体" w:cs="宋体" w:eastAsia="宋体" w:hint="default"/>
                <w:w w:val="100"/>
                <w:sz w:val="21"/>
                <w:szCs w:val="21"/>
              </w:rPr>
              <w:t> </w:t>
            </w:r>
            <w:r>
              <w:rPr>
                <w:rFonts w:ascii="宋体" w:hAnsi="宋体" w:cs="宋体" w:eastAsia="宋体" w:hint="default"/>
                <w:sz w:val="21"/>
                <w:szCs w:val="21"/>
              </w:rPr>
              <w:t>公司收到杭州市余杭区人民法院民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事判决书，判决：</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、本公司支付森</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76"/>
                <w:w w:val="100"/>
                <w:sz w:val="21"/>
                <w:szCs w:val="21"/>
              </w:rPr>
              <w:t>淼房地产工期逾期违约</w:t>
            </w:r>
            <w:r>
              <w:rPr>
                <w:rFonts w:ascii="宋体" w:hAnsi="宋体" w:cs="宋体" w:eastAsia="宋体" w:hint="default"/>
                <w:spacing w:val="-6"/>
                <w:w w:val="100"/>
                <w:sz w:val="21"/>
                <w:szCs w:val="21"/>
              </w:rPr>
              <w:t> </w:t>
            </w:r>
            <w:r>
              <w:rPr>
                <w:rFonts w:ascii="宋体" w:hAnsi="宋体" w:cs="宋体" w:eastAsia="宋体" w:hint="default"/>
                <w:w w:val="100"/>
                <w:sz w:val="21"/>
                <w:szCs w:val="21"/>
              </w:rPr>
              <w:t>金</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Times New Roman" w:hAnsi="Times New Roman" w:cs="Times New Roman" w:eastAsia="Times New Roman" w:hint="default"/>
                <w:sz w:val="21"/>
                <w:szCs w:val="21"/>
              </w:rPr>
              <w:t>2,183,063.22</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、本公司返还森</w:t>
            </w:r>
          </w:p>
          <w:p>
            <w:pPr>
              <w:pStyle w:val="TableParagraph"/>
              <w:spacing w:line="232" w:lineRule="auto"/>
              <w:ind w:left="103" w:right="-5"/>
              <w:jc w:val="left"/>
              <w:rPr>
                <w:rFonts w:ascii="宋体" w:hAnsi="宋体" w:cs="宋体" w:eastAsia="宋体" w:hint="default"/>
                <w:sz w:val="21"/>
                <w:szCs w:val="21"/>
              </w:rPr>
            </w:pPr>
            <w:r>
              <w:rPr>
                <w:rFonts w:ascii="宋体" w:hAnsi="宋体" w:cs="宋体" w:eastAsia="宋体" w:hint="default"/>
                <w:spacing w:val="-1"/>
                <w:w w:val="100"/>
                <w:sz w:val="21"/>
                <w:szCs w:val="21"/>
              </w:rPr>
              <w:t>淼房地产工程款</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1"/>
                <w:w w:val="100"/>
                <w:sz w:val="21"/>
                <w:szCs w:val="21"/>
              </w:rPr>
              <w:t>5,267,094.50</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27"/>
                <w:w w:val="100"/>
                <w:sz w:val="21"/>
                <w:szCs w:val="21"/>
              </w:rPr>
              <w:t>元；</w:t>
            </w:r>
            <w:r>
              <w:rPr>
                <w:rFonts w:ascii="Times New Roman" w:hAnsi="Times New Roman" w:cs="Times New Roman" w:eastAsia="Times New Roman" w:hint="default"/>
                <w:spacing w:val="-27"/>
                <w:w w:val="100"/>
                <w:sz w:val="21"/>
                <w:szCs w:val="21"/>
              </w:rPr>
              <w:t>3</w:t>
            </w:r>
            <w:r>
              <w:rPr>
                <w:rFonts w:ascii="宋体" w:hAnsi="宋体" w:cs="宋体" w:eastAsia="宋体" w:hint="default"/>
                <w:spacing w:val="-27"/>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森淼房地产返还本公司履约保证金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10,915,316.10 </w:t>
            </w:r>
            <w:r>
              <w:rPr>
                <w:rFonts w:ascii="宋体" w:hAnsi="宋体" w:cs="宋体" w:eastAsia="宋体" w:hint="default"/>
                <w:spacing w:val="-9"/>
                <w:sz w:val="21"/>
                <w:szCs w:val="21"/>
              </w:rPr>
              <w:t>元；</w:t>
            </w:r>
            <w:r>
              <w:rPr>
                <w:rFonts w:ascii="Times New Roman" w:hAnsi="Times New Roman" w:cs="Times New Roman" w:eastAsia="Times New Roman" w:hint="default"/>
                <w:spacing w:val="-9"/>
                <w:sz w:val="21"/>
                <w:szCs w:val="21"/>
              </w:rPr>
              <w:t>4</w:t>
            </w:r>
            <w:r>
              <w:rPr>
                <w:rFonts w:ascii="宋体" w:hAnsi="宋体" w:cs="宋体" w:eastAsia="宋体" w:hint="default"/>
                <w:spacing w:val="-9"/>
                <w:sz w:val="21"/>
                <w:szCs w:val="21"/>
              </w:rPr>
              <w:t>、森淼房地产支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付本公司上述履约保证金相应利</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息。</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月，本公司及森淼房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地产均向杭州市中级人民法院提起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上诉。目前杭州市中级人民法院已</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受理。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2,183,063.22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38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香格</w:t>
            </w:r>
            <w:r>
              <w:rPr>
                <w:rFonts w:ascii="宋体" w:hAnsi="宋体" w:cs="宋体" w:eastAsia="宋体" w:hint="default"/>
                <w:spacing w:val="-101"/>
                <w:sz w:val="21"/>
                <w:szCs w:val="21"/>
              </w:rPr>
              <w:t> </w:t>
            </w:r>
            <w:r>
              <w:rPr>
                <w:rFonts w:ascii="宋体" w:hAnsi="宋体" w:cs="宋体" w:eastAsia="宋体" w:hint="default"/>
                <w:spacing w:val="36"/>
                <w:sz w:val="21"/>
                <w:szCs w:val="21"/>
              </w:rPr>
              <w:t>房地</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本公司与宁波香格房地产开发有限</w:t>
            </w:r>
          </w:p>
          <w:p>
            <w:pPr>
              <w:pStyle w:val="TableParagraph"/>
              <w:spacing w:line="232" w:lineRule="auto" w:before="6"/>
              <w:ind w:left="103" w:right="99"/>
              <w:jc w:val="both"/>
              <w:rPr>
                <w:rFonts w:ascii="宋体" w:hAnsi="宋体" w:cs="宋体" w:eastAsia="宋体" w:hint="default"/>
                <w:sz w:val="21"/>
                <w:szCs w:val="21"/>
              </w:rPr>
            </w:pPr>
            <w:r>
              <w:rPr>
                <w:rFonts w:ascii="宋体" w:hAnsi="宋体" w:cs="宋体" w:eastAsia="宋体" w:hint="default"/>
                <w:spacing w:val="2"/>
                <w:sz w:val="21"/>
                <w:szCs w:val="21"/>
              </w:rPr>
              <w:t>公司（简称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香格房产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）发生建设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工程合同纠纷，</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月本公司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向宁波市江东区人民法院提起诉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讼，宁波市江东区人民法院作出民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事调解，双方达成调解协议：香格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房产确认截止</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日尚</w:t>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欠本公司工程款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32,200,000.00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月向江东区人民</w:t>
            </w:r>
            <w:r>
              <w:rPr>
                <w:rFonts w:ascii="宋体" w:hAnsi="宋体" w:cs="宋体" w:eastAsia="宋体" w:hint="default"/>
                <w:w w:val="100"/>
                <w:sz w:val="21"/>
                <w:szCs w:val="21"/>
              </w:rPr>
              <w:t> </w:t>
            </w:r>
            <w:r>
              <w:rPr>
                <w:rFonts w:ascii="宋体" w:hAnsi="宋体" w:cs="宋体" w:eastAsia="宋体" w:hint="default"/>
                <w:sz w:val="21"/>
                <w:szCs w:val="21"/>
              </w:rPr>
              <w:t>法院申请强制执行。因上述财产由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宁波市慈溪市人民法院处置，故江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5"/>
                <w:sz w:val="21"/>
                <w:szCs w:val="21"/>
              </w:rPr>
              <w:t>东区人民法院已作出执行终结裁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定，待香格房地产有其他可供执行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财产时可恢复执行。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110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33"/>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盛宏</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永</w:t>
            </w:r>
          </w:p>
          <w:p>
            <w:pPr>
              <w:pStyle w:val="TableParagraph"/>
              <w:spacing w:line="272" w:lineRule="exact" w:before="27"/>
              <w:ind w:left="100" w:right="26"/>
              <w:jc w:val="left"/>
              <w:rPr>
                <w:rFonts w:ascii="宋体" w:hAnsi="宋体" w:cs="宋体" w:eastAsia="宋体" w:hint="default"/>
                <w:sz w:val="21"/>
                <w:szCs w:val="21"/>
              </w:rPr>
            </w:pPr>
            <w:r>
              <w:rPr>
                <w:rFonts w:ascii="宋体" w:hAnsi="宋体" w:cs="宋体" w:eastAsia="宋体" w:hint="default"/>
                <w:spacing w:val="36"/>
                <w:sz w:val="21"/>
                <w:szCs w:val="21"/>
              </w:rPr>
              <w:t>（九</w:t>
            </w:r>
            <w:r>
              <w:rPr>
                <w:rFonts w:ascii="宋体" w:hAnsi="宋体" w:cs="宋体" w:eastAsia="宋体" w:hint="default"/>
                <w:spacing w:val="-101"/>
                <w:sz w:val="21"/>
                <w:szCs w:val="21"/>
              </w:rPr>
              <w:t> </w:t>
            </w:r>
            <w:r>
              <w:rPr>
                <w:rFonts w:ascii="宋体" w:hAnsi="宋体" w:cs="宋体" w:eastAsia="宋体" w:hint="default"/>
                <w:spacing w:val="36"/>
                <w:sz w:val="21"/>
                <w:szCs w:val="21"/>
              </w:rPr>
              <w:t>江）</w:t>
            </w:r>
            <w:r>
              <w:rPr>
                <w:rFonts w:ascii="宋体" w:hAnsi="宋体" w:cs="宋体" w:eastAsia="宋体" w:hint="default"/>
                <w:spacing w:val="-31"/>
                <w:sz w:val="21"/>
                <w:szCs w:val="21"/>
              </w:rPr>
              <w:t> </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本公司与盛宏永（九江）实业发展</w:t>
            </w:r>
          </w:p>
          <w:p>
            <w:pPr>
              <w:pStyle w:val="TableParagraph"/>
              <w:spacing w:line="230" w:lineRule="auto" w:before="8"/>
              <w:ind w:left="103" w:right="99"/>
              <w:jc w:val="both"/>
              <w:rPr>
                <w:rFonts w:ascii="宋体" w:hAnsi="宋体" w:cs="宋体" w:eastAsia="宋体" w:hint="default"/>
                <w:sz w:val="21"/>
                <w:szCs w:val="21"/>
              </w:rPr>
            </w:pPr>
            <w:r>
              <w:rPr>
                <w:rFonts w:ascii="宋体" w:hAnsi="宋体" w:cs="宋体" w:eastAsia="宋体" w:hint="default"/>
                <w:spacing w:val="2"/>
                <w:sz w:val="21"/>
                <w:szCs w:val="21"/>
              </w:rPr>
              <w:t>有限公司（简称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盛宏永实业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）建</w:t>
            </w:r>
            <w:r>
              <w:rPr>
                <w:rFonts w:ascii="宋体" w:hAnsi="宋体" w:cs="宋体" w:eastAsia="宋体" w:hint="default"/>
                <w:spacing w:val="-79"/>
                <w:sz w:val="21"/>
                <w:szCs w:val="21"/>
              </w:rPr>
              <w:t> </w:t>
            </w:r>
            <w:r>
              <w:rPr>
                <w:rFonts w:ascii="宋体" w:hAnsi="宋体" w:cs="宋体" w:eastAsia="宋体" w:hint="default"/>
                <w:sz w:val="21"/>
                <w:szCs w:val="21"/>
              </w:rPr>
              <w:t>设工程产生合同纠纷，本公司向宁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波市江东区人民法院提起诉讼，要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38,067,235.62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3" w:lineRule="exact"/>
        <w:jc w:val="left"/>
        <w:rPr>
          <w:rFonts w:ascii="宋体" w:hAnsi="宋体" w:cs="宋体" w:eastAsia="宋体" w:hint="default"/>
          <w:sz w:val="21"/>
          <w:szCs w:val="21"/>
        </w:rPr>
        <w:sectPr>
          <w:pgSz w:w="11910" w:h="16840"/>
          <w:pgMar w:header="880" w:footer="1195"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464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实业</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发展</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求盛宏永实业支付本公司工程款及</w:t>
            </w:r>
          </w:p>
          <w:p>
            <w:pPr>
              <w:pStyle w:val="TableParagraph"/>
              <w:spacing w:line="235" w:lineRule="auto" w:before="3"/>
              <w:ind w:left="103" w:right="99"/>
              <w:jc w:val="both"/>
              <w:rPr>
                <w:rFonts w:ascii="宋体" w:hAnsi="宋体" w:cs="宋体" w:eastAsia="宋体" w:hint="default"/>
                <w:sz w:val="21"/>
                <w:szCs w:val="21"/>
              </w:rPr>
            </w:pPr>
            <w:r>
              <w:rPr>
                <w:rFonts w:ascii="宋体" w:hAnsi="宋体" w:cs="宋体" w:eastAsia="宋体" w:hint="default"/>
                <w:sz w:val="21"/>
                <w:szCs w:val="21"/>
              </w:rPr>
              <w:t>利息、停窝工损失等</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38,067,235.62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元，并解除与其签订的《建设工程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w w:val="100"/>
                <w:sz w:val="21"/>
                <w:szCs w:val="21"/>
              </w:rPr>
              <w:t>施工合同》。</w:t>
            </w:r>
            <w:r>
              <w:rPr>
                <w:rFonts w:ascii="Times New Roman" w:hAnsi="Times New Roman" w:cs="Times New Roman" w:eastAsia="Times New Roman" w:hint="default"/>
                <w:spacing w:val="-14"/>
                <w:w w:val="100"/>
                <w:sz w:val="21"/>
                <w:szCs w:val="21"/>
              </w:rPr>
              <w:t>2014</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月江东区法</w:t>
            </w:r>
            <w:r>
              <w:rPr>
                <w:rFonts w:ascii="宋体" w:hAnsi="宋体" w:cs="宋体" w:eastAsia="宋体" w:hint="default"/>
                <w:w w:val="100"/>
                <w:sz w:val="21"/>
                <w:szCs w:val="21"/>
              </w:rPr>
              <w:t> </w:t>
            </w:r>
            <w:r>
              <w:rPr>
                <w:rFonts w:ascii="宋体" w:hAnsi="宋体" w:cs="宋体" w:eastAsia="宋体" w:hint="default"/>
                <w:sz w:val="21"/>
                <w:szCs w:val="21"/>
              </w:rPr>
              <w:t>院依本公司所请裁定冻结盛宏永实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业银行存款及相当于保全额度的等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值财产。</w:t>
            </w:r>
            <w:r>
              <w:rPr>
                <w:rFonts w:ascii="宋体" w:hAnsi="宋体" w:cs="宋体" w:eastAsia="宋体" w:hint="default"/>
                <w:sz w:val="21"/>
                <w:szCs w:val="21"/>
              </w:rPr>
              <w:t>2017 </w:t>
            </w:r>
            <w:r>
              <w:rPr>
                <w:rFonts w:ascii="宋体" w:hAnsi="宋体" w:cs="宋体" w:eastAsia="宋体" w:hint="default"/>
                <w:sz w:val="21"/>
                <w:szCs w:val="21"/>
              </w:rPr>
              <w:t>年 </w:t>
            </w:r>
            <w:r>
              <w:rPr>
                <w:rFonts w:ascii="宋体" w:hAnsi="宋体" w:cs="宋体" w:eastAsia="宋体" w:hint="default"/>
                <w:sz w:val="21"/>
                <w:szCs w:val="21"/>
              </w:rPr>
              <w:t>4</w:t>
            </w:r>
            <w:r>
              <w:rPr>
                <w:rFonts w:ascii="宋体" w:hAnsi="宋体" w:cs="宋体" w:eastAsia="宋体" w:hint="default"/>
                <w:spacing w:val="-70"/>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公司收到宁</w:t>
            </w:r>
            <w:r>
              <w:rPr>
                <w:rFonts w:ascii="宋体" w:hAnsi="宋体" w:cs="宋体" w:eastAsia="宋体" w:hint="default"/>
                <w:w w:val="100"/>
                <w:sz w:val="21"/>
                <w:szCs w:val="21"/>
              </w:rPr>
              <w:t> </w:t>
            </w:r>
            <w:r>
              <w:rPr>
                <w:rFonts w:ascii="宋体" w:hAnsi="宋体" w:cs="宋体" w:eastAsia="宋体" w:hint="default"/>
                <w:sz w:val="21"/>
                <w:szCs w:val="21"/>
              </w:rPr>
              <w:t>波市中级人民法院下发的《民事判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w w:val="100"/>
                <w:sz w:val="21"/>
                <w:szCs w:val="21"/>
              </w:rPr>
              <w:t>决书》，判决：</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、双方《建设工程</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sz w:val="21"/>
                <w:szCs w:val="21"/>
              </w:rPr>
              <w:t>施工合同》解除；</w:t>
            </w:r>
            <w:r>
              <w:rPr>
                <w:rFonts w:ascii="宋体" w:hAnsi="宋体" w:cs="宋体" w:eastAsia="宋体" w:hint="default"/>
                <w:spacing w:val="-6"/>
                <w:sz w:val="21"/>
                <w:szCs w:val="21"/>
              </w:rPr>
              <w:t>2</w:t>
            </w:r>
            <w:r>
              <w:rPr>
                <w:rFonts w:ascii="宋体" w:hAnsi="宋体" w:cs="宋体" w:eastAsia="宋体" w:hint="default"/>
                <w:spacing w:val="-6"/>
                <w:sz w:val="21"/>
                <w:szCs w:val="21"/>
              </w:rPr>
              <w:t>、被告支付公司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垫资款 </w:t>
            </w:r>
            <w:r>
              <w:rPr>
                <w:rFonts w:ascii="宋体" w:hAnsi="宋体" w:cs="宋体" w:eastAsia="宋体" w:hint="default"/>
                <w:sz w:val="21"/>
                <w:szCs w:val="21"/>
              </w:rPr>
              <w:t>1800</w:t>
            </w:r>
            <w:r>
              <w:rPr>
                <w:rFonts w:ascii="宋体" w:hAnsi="宋体" w:cs="宋体" w:eastAsia="宋体" w:hint="default"/>
                <w:spacing w:val="-72"/>
                <w:sz w:val="21"/>
                <w:szCs w:val="21"/>
              </w:rPr>
              <w:t> </w:t>
            </w:r>
            <w:r>
              <w:rPr>
                <w:rFonts w:ascii="宋体" w:hAnsi="宋体" w:cs="宋体" w:eastAsia="宋体" w:hint="default"/>
                <w:sz w:val="21"/>
                <w:szCs w:val="21"/>
              </w:rPr>
              <w:t>万元及相应利息；</w:t>
            </w:r>
            <w:r>
              <w:rPr>
                <w:rFonts w:ascii="宋体" w:hAnsi="宋体" w:cs="宋体" w:eastAsia="宋体" w:hint="default"/>
                <w:sz w:val="21"/>
                <w:szCs w:val="21"/>
              </w:rPr>
              <w:t>3</w:t>
            </w:r>
            <w:r>
              <w:rPr>
                <w:rFonts w:ascii="宋体" w:hAnsi="宋体" w:cs="宋体" w:eastAsia="宋体" w:hint="default"/>
                <w:sz w:val="21"/>
                <w:szCs w:val="21"/>
              </w:rPr>
              <w:t>、</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支付剩余工程款 </w:t>
            </w:r>
            <w:r>
              <w:rPr>
                <w:rFonts w:ascii="宋体" w:hAnsi="宋体" w:cs="宋体" w:eastAsia="宋体" w:hint="default"/>
                <w:sz w:val="21"/>
                <w:szCs w:val="21"/>
              </w:rPr>
              <w:t>3,834,785</w:t>
            </w:r>
            <w:r>
              <w:rPr>
                <w:rFonts w:ascii="宋体" w:hAnsi="宋体" w:cs="宋体" w:eastAsia="宋体" w:hint="default"/>
                <w:spacing w:val="-69"/>
                <w:sz w:val="21"/>
                <w:szCs w:val="21"/>
              </w:rPr>
              <w:t> </w:t>
            </w:r>
            <w:r>
              <w:rPr>
                <w:rFonts w:ascii="宋体" w:hAnsi="宋体" w:cs="宋体" w:eastAsia="宋体" w:hint="default"/>
                <w:sz w:val="21"/>
                <w:szCs w:val="21"/>
              </w:rPr>
              <w:t>元及相</w:t>
            </w:r>
          </w:p>
          <w:p>
            <w:pPr>
              <w:pStyle w:val="TableParagraph"/>
              <w:spacing w:line="237" w:lineRule="auto" w:before="1"/>
              <w:ind w:left="103" w:right="57"/>
              <w:jc w:val="both"/>
              <w:rPr>
                <w:rFonts w:ascii="宋体" w:hAnsi="宋体" w:cs="宋体" w:eastAsia="宋体" w:hint="default"/>
                <w:sz w:val="21"/>
                <w:szCs w:val="21"/>
              </w:rPr>
            </w:pPr>
            <w:r>
              <w:rPr>
                <w:rFonts w:ascii="宋体" w:hAnsi="宋体" w:cs="宋体" w:eastAsia="宋体" w:hint="default"/>
                <w:spacing w:val="22"/>
                <w:sz w:val="21"/>
                <w:szCs w:val="21"/>
              </w:rPr>
              <w:t>应利息及停窝工损失</w:t>
            </w:r>
            <w:r>
              <w:rPr>
                <w:rFonts w:ascii="宋体" w:hAnsi="宋体" w:cs="宋体" w:eastAsia="宋体" w:hint="default"/>
                <w:spacing w:val="38"/>
                <w:sz w:val="21"/>
                <w:szCs w:val="21"/>
              </w:rPr>
              <w:t> </w:t>
            </w:r>
            <w:r>
              <w:rPr>
                <w:rFonts w:ascii="宋体" w:hAnsi="宋体" w:cs="宋体" w:eastAsia="宋体" w:hint="default"/>
                <w:sz w:val="21"/>
                <w:szCs w:val="21"/>
              </w:rPr>
              <w:t>1,812,164</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元；</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39"/>
                <w:sz w:val="21"/>
                <w:szCs w:val="21"/>
              </w:rPr>
              <w:t>、本公司就涉案工程在</w:t>
            </w:r>
            <w:r>
              <w:rPr>
                <w:rFonts w:ascii="宋体" w:hAnsi="宋体" w:cs="宋体" w:eastAsia="宋体" w:hint="default"/>
                <w:spacing w:val="-93"/>
                <w:sz w:val="21"/>
                <w:szCs w:val="21"/>
              </w:rPr>
              <w:t> </w:t>
            </w:r>
            <w:r>
              <w:rPr>
                <w:rFonts w:ascii="宋体" w:hAnsi="宋体" w:cs="宋体" w:eastAsia="宋体" w:hint="default"/>
                <w:sz w:val="21"/>
                <w:szCs w:val="21"/>
              </w:rPr>
              <w:t>21,834,785</w:t>
            </w:r>
            <w:r>
              <w:rPr>
                <w:rFonts w:ascii="宋体" w:hAnsi="宋体" w:cs="宋体" w:eastAsia="宋体" w:hint="default"/>
                <w:spacing w:val="-70"/>
                <w:sz w:val="21"/>
                <w:szCs w:val="21"/>
              </w:rPr>
              <w:t> </w:t>
            </w:r>
            <w:r>
              <w:rPr>
                <w:rFonts w:ascii="宋体" w:hAnsi="宋体" w:cs="宋体" w:eastAsia="宋体" w:hint="default"/>
                <w:sz w:val="21"/>
                <w:szCs w:val="21"/>
              </w:rPr>
              <w:t>元工程款范围内享有优</w:t>
            </w:r>
            <w:r>
              <w:rPr>
                <w:rFonts w:ascii="宋体" w:hAnsi="宋体" w:cs="宋体" w:eastAsia="宋体" w:hint="default"/>
                <w:w w:val="100"/>
                <w:sz w:val="21"/>
                <w:szCs w:val="21"/>
              </w:rPr>
              <w:t> </w:t>
            </w:r>
            <w:r>
              <w:rPr>
                <w:rFonts w:ascii="宋体" w:hAnsi="宋体" w:cs="宋体" w:eastAsia="宋体" w:hint="default"/>
                <w:sz w:val="21"/>
                <w:szCs w:val="21"/>
              </w:rPr>
              <w:t>先受偿权。盛宏永已上诉，目前审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理中。</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63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镇江</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深国</w:t>
            </w:r>
            <w:r>
              <w:rPr>
                <w:rFonts w:ascii="宋体" w:hAnsi="宋体" w:cs="宋体" w:eastAsia="宋体" w:hint="default"/>
                <w:spacing w:val="-101"/>
                <w:sz w:val="21"/>
                <w:szCs w:val="21"/>
              </w:rPr>
              <w:t> </w:t>
            </w:r>
            <w:r>
              <w:rPr>
                <w:rFonts w:ascii="宋体" w:hAnsi="宋体" w:cs="宋体" w:eastAsia="宋体" w:hint="default"/>
                <w:spacing w:val="36"/>
                <w:sz w:val="21"/>
                <w:szCs w:val="21"/>
              </w:rPr>
              <w:t>投商</w:t>
            </w:r>
            <w:r>
              <w:rPr>
                <w:rFonts w:ascii="宋体" w:hAnsi="宋体" w:cs="宋体" w:eastAsia="宋体" w:hint="default"/>
                <w:spacing w:val="-101"/>
                <w:sz w:val="21"/>
                <w:szCs w:val="21"/>
              </w:rPr>
              <w:t> </w:t>
            </w:r>
            <w:r>
              <w:rPr>
                <w:rFonts w:ascii="宋体" w:hAnsi="宋体" w:cs="宋体" w:eastAsia="宋体" w:hint="default"/>
                <w:spacing w:val="36"/>
                <w:sz w:val="21"/>
                <w:szCs w:val="21"/>
              </w:rPr>
              <w:t>用置</w:t>
            </w:r>
            <w:r>
              <w:rPr>
                <w:rFonts w:ascii="宋体" w:hAnsi="宋体" w:cs="宋体" w:eastAsia="宋体" w:hint="default"/>
                <w:spacing w:val="-101"/>
                <w:sz w:val="21"/>
                <w:szCs w:val="21"/>
              </w:rPr>
              <w:t> </w:t>
            </w:r>
            <w:r>
              <w:rPr>
                <w:rFonts w:ascii="宋体" w:hAnsi="宋体" w:cs="宋体" w:eastAsia="宋体" w:hint="default"/>
                <w:spacing w:val="36"/>
                <w:sz w:val="21"/>
                <w:szCs w:val="21"/>
              </w:rPr>
              <w:t>业有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本公司与镇江深国投商用置业有限</w:t>
            </w:r>
          </w:p>
          <w:p>
            <w:pPr>
              <w:pStyle w:val="TableParagraph"/>
              <w:spacing w:line="230" w:lineRule="auto" w:before="8"/>
              <w:ind w:left="103" w:right="98"/>
              <w:jc w:val="both"/>
              <w:rPr>
                <w:rFonts w:ascii="宋体" w:hAnsi="宋体" w:cs="宋体" w:eastAsia="宋体" w:hint="default"/>
                <w:sz w:val="21"/>
                <w:szCs w:val="21"/>
              </w:rPr>
            </w:pPr>
            <w:r>
              <w:rPr>
                <w:rFonts w:ascii="宋体" w:hAnsi="宋体" w:cs="宋体" w:eastAsia="宋体" w:hint="default"/>
                <w:spacing w:val="2"/>
                <w:sz w:val="21"/>
                <w:szCs w:val="21"/>
              </w:rPr>
              <w:t>公司（简称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深国投公司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）产生建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9"/>
                <w:sz w:val="21"/>
                <w:szCs w:val="21"/>
              </w:rPr>
              <w:t>设工程合同纠纷，于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月向</w:t>
            </w:r>
            <w:r>
              <w:rPr>
                <w:rFonts w:ascii="宋体" w:hAnsi="宋体" w:cs="宋体" w:eastAsia="宋体" w:hint="default"/>
                <w:spacing w:val="-3"/>
                <w:w w:val="100"/>
                <w:sz w:val="21"/>
                <w:szCs w:val="21"/>
              </w:rPr>
              <w:t> </w:t>
            </w:r>
            <w:r>
              <w:rPr>
                <w:rFonts w:ascii="宋体" w:hAnsi="宋体" w:cs="宋体" w:eastAsia="宋体" w:hint="default"/>
                <w:sz w:val="21"/>
                <w:szCs w:val="21"/>
              </w:rPr>
              <w:t>镇江市中级人民法院提起诉讼，要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求深国投公司支付工程款及逾期付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0"/>
                <w:sz w:val="21"/>
                <w:szCs w:val="21"/>
              </w:rPr>
              <w:t>款利息合计人民币</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33,998,011.00</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元，并请求对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镇江东方伟业广场</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5"/>
                <w:sz w:val="21"/>
                <w:szCs w:val="21"/>
              </w:rPr>
              <w:t>项目折价或以拍卖所得款优先受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sz w:val="21"/>
                <w:szCs w:val="21"/>
              </w:rPr>
              <w:t>偿。镇江市中级人民法院于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p>
          <w:p>
            <w:pPr>
              <w:pStyle w:val="TableParagraph"/>
              <w:spacing w:line="264"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5"/>
                <w:sz w:val="21"/>
                <w:szCs w:val="21"/>
              </w:rPr>
              <w:t> </w:t>
            </w:r>
            <w:r>
              <w:rPr>
                <w:rFonts w:ascii="宋体" w:hAnsi="宋体" w:cs="宋体" w:eastAsia="宋体" w:hint="default"/>
                <w:spacing w:val="-3"/>
                <w:sz w:val="21"/>
                <w:szCs w:val="21"/>
              </w:rPr>
              <w:t>月作出民事判决，判令深国投支</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付本公司工程款 </w:t>
            </w:r>
            <w:r>
              <w:rPr>
                <w:rFonts w:ascii="Times New Roman" w:hAnsi="Times New Roman" w:cs="Times New Roman" w:eastAsia="Times New Roman" w:hint="default"/>
                <w:sz w:val="21"/>
                <w:szCs w:val="21"/>
              </w:rPr>
              <w:t>3920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万元及逾期</w:t>
            </w:r>
          </w:p>
          <w:p>
            <w:pPr>
              <w:pStyle w:val="TableParagraph"/>
              <w:spacing w:line="232" w:lineRule="auto"/>
              <w:ind w:left="103" w:right="98"/>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363.43</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万元，并支持本公司对</w:t>
            </w:r>
            <w:r>
              <w:rPr>
                <w:rFonts w:ascii="宋体" w:hAnsi="宋体" w:cs="宋体" w:eastAsia="宋体" w:hint="default"/>
                <w:w w:val="100"/>
                <w:sz w:val="21"/>
                <w:szCs w:val="21"/>
              </w:rPr>
              <w:t> </w:t>
            </w:r>
            <w:r>
              <w:rPr>
                <w:rFonts w:ascii="宋体" w:hAnsi="宋体" w:cs="宋体" w:eastAsia="宋体" w:hint="default"/>
                <w:sz w:val="21"/>
                <w:szCs w:val="21"/>
              </w:rPr>
              <w:t>项目工程折价或以拍卖所得价款在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5"/>
                <w:sz w:val="21"/>
                <w:szCs w:val="21"/>
              </w:rPr>
              <w:t>应付工程款范围内享有优先受偿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15"/>
                <w:sz w:val="21"/>
                <w:szCs w:val="21"/>
              </w:rPr>
              <w:t>权。根据镇江市润州区人民法院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日下发的《执行裁</w:t>
            </w:r>
            <w:r>
              <w:rPr>
                <w:rFonts w:ascii="宋体" w:hAnsi="宋体" w:cs="宋体" w:eastAsia="宋体" w:hint="default"/>
                <w:w w:val="100"/>
                <w:sz w:val="21"/>
                <w:szCs w:val="21"/>
              </w:rPr>
              <w:t> </w:t>
            </w:r>
            <w:r>
              <w:rPr>
                <w:rFonts w:ascii="宋体" w:hAnsi="宋体" w:cs="宋体" w:eastAsia="宋体" w:hint="default"/>
                <w:spacing w:val="-12"/>
                <w:w w:val="100"/>
                <w:sz w:val="21"/>
                <w:szCs w:val="21"/>
              </w:rPr>
              <w:t>定书》，裁定深国投公司以其房产作</w:t>
            </w:r>
            <w:r>
              <w:rPr>
                <w:rFonts w:ascii="宋体" w:hAnsi="宋体" w:cs="宋体" w:eastAsia="宋体" w:hint="default"/>
                <w:w w:val="100"/>
                <w:sz w:val="21"/>
                <w:szCs w:val="21"/>
              </w:rPr>
              <w:t> </w:t>
            </w:r>
            <w:r>
              <w:rPr>
                <w:rFonts w:ascii="宋体" w:hAnsi="宋体" w:cs="宋体" w:eastAsia="宋体" w:hint="default"/>
                <w:sz w:val="21"/>
                <w:szCs w:val="21"/>
              </w:rPr>
              <w:t>价 </w:t>
            </w:r>
            <w:r>
              <w:rPr>
                <w:rFonts w:ascii="Times New Roman" w:hAnsi="Times New Roman" w:cs="Times New Roman" w:eastAsia="Times New Roman" w:hint="default"/>
                <w:sz w:val="21"/>
                <w:szCs w:val="21"/>
              </w:rPr>
              <w:t>4027.9488</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万元交付给本公司抵</w:t>
            </w:r>
            <w:r>
              <w:rPr>
                <w:rFonts w:ascii="宋体" w:hAnsi="宋体" w:cs="宋体" w:eastAsia="宋体" w:hint="default"/>
                <w:w w:val="100"/>
                <w:sz w:val="21"/>
                <w:szCs w:val="21"/>
              </w:rPr>
              <w:t> </w:t>
            </w:r>
            <w:r>
              <w:rPr>
                <w:rFonts w:ascii="宋体" w:hAnsi="宋体" w:cs="宋体" w:eastAsia="宋体" w:hint="default"/>
                <w:sz w:val="21"/>
                <w:szCs w:val="21"/>
              </w:rPr>
              <w:t>偿债务，利息不足部分继续予以执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行，上述房产所有权及土地使用权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自该裁定送达之时起转移。</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月，镇江市润州区人民法院下发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决定书，受理镇江深国投破产清算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一案，指定江苏江成律师事务所担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任镇江深国投的破产管理人，公司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月向破产管理人申报</w:t>
            </w:r>
            <w:r>
              <w:rPr>
                <w:rFonts w:ascii="宋体" w:hAnsi="宋体" w:cs="宋体" w:eastAsia="宋体" w:hint="default"/>
                <w:w w:val="100"/>
                <w:sz w:val="21"/>
                <w:szCs w:val="21"/>
              </w:rPr>
              <w:t> </w:t>
            </w:r>
            <w:r>
              <w:rPr>
                <w:rFonts w:ascii="宋体" w:hAnsi="宋体" w:cs="宋体" w:eastAsia="宋体" w:hint="default"/>
                <w:sz w:val="21"/>
                <w:szCs w:val="21"/>
              </w:rPr>
              <w:t>了债权，目前破产管理人已接收相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关材料。</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137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广隆</w:t>
            </w:r>
            <w:r>
              <w:rPr>
                <w:rFonts w:ascii="宋体" w:hAnsi="宋体" w:cs="宋体" w:eastAsia="宋体" w:hint="default"/>
                <w:spacing w:val="-101"/>
                <w:sz w:val="21"/>
                <w:szCs w:val="21"/>
              </w:rPr>
              <w:t> </w:t>
            </w:r>
            <w:r>
              <w:rPr>
                <w:rFonts w:ascii="宋体" w:hAnsi="宋体" w:cs="宋体" w:eastAsia="宋体" w:hint="default"/>
                <w:spacing w:val="36"/>
                <w:sz w:val="21"/>
                <w:szCs w:val="21"/>
              </w:rPr>
              <w:t>房地</w:t>
            </w:r>
            <w:r>
              <w:rPr>
                <w:rFonts w:ascii="宋体" w:hAnsi="宋体" w:cs="宋体" w:eastAsia="宋体" w:hint="default"/>
                <w:spacing w:val="-101"/>
                <w:sz w:val="21"/>
                <w:szCs w:val="21"/>
              </w:rPr>
              <w:t> </w:t>
            </w:r>
            <w:r>
              <w:rPr>
                <w:rFonts w:ascii="宋体" w:hAnsi="宋体" w:cs="宋体" w:eastAsia="宋体" w:hint="default"/>
                <w:spacing w:val="36"/>
                <w:sz w:val="21"/>
                <w:szCs w:val="21"/>
              </w:rPr>
              <w:t>产开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31"/>
                <w:sz w:val="21"/>
                <w:szCs w:val="21"/>
              </w:rPr>
              <w:t> </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案</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日与宁波广</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隆房地产开发有限公司签订《建筑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2"/>
                <w:w w:val="100"/>
                <w:sz w:val="21"/>
                <w:szCs w:val="21"/>
              </w:rPr>
              <w:t>工程施工合同》，约定由本公司承建</w:t>
            </w:r>
            <w:r>
              <w:rPr>
                <w:rFonts w:ascii="宋体" w:hAnsi="宋体" w:cs="宋体" w:eastAsia="宋体" w:hint="default"/>
                <w:w w:val="100"/>
                <w:sz w:val="21"/>
                <w:szCs w:val="21"/>
              </w:rPr>
              <w:t> </w:t>
            </w:r>
            <w:r>
              <w:rPr>
                <w:rFonts w:ascii="宋体" w:hAnsi="宋体" w:cs="宋体" w:eastAsia="宋体" w:hint="default"/>
                <w:sz w:val="21"/>
                <w:szCs w:val="21"/>
              </w:rPr>
              <w:t>北仑金融大厦，该工程于 </w:t>
            </w: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pacing w:val="-8"/>
                <w:sz w:val="21"/>
                <w:szCs w:val="21"/>
              </w:rPr>
              <w:t>月经竣工验收合格。双方于</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2014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调解</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bl>
    <w:p>
      <w:pPr>
        <w:spacing w:after="0" w:line="272" w:lineRule="exact"/>
        <w:jc w:val="left"/>
        <w:rPr>
          <w:rFonts w:ascii="宋体" w:hAnsi="宋体" w:cs="宋体" w:eastAsia="宋体" w:hint="default"/>
          <w:sz w:val="21"/>
          <w:szCs w:val="21"/>
        </w:rPr>
        <w:sectPr>
          <w:pgSz w:w="11910" w:h="16840"/>
          <w:pgMar w:header="880" w:footer="1195"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4914"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限公</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汉</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餐</w:t>
            </w:r>
            <w:r>
              <w:rPr>
                <w:rFonts w:ascii="宋体" w:hAnsi="宋体" w:cs="宋体" w:eastAsia="宋体" w:hint="default"/>
                <w:w w:val="100"/>
                <w:sz w:val="21"/>
                <w:szCs w:val="21"/>
              </w:rPr>
              <w:t> </w:t>
            </w:r>
            <w:r>
              <w:rPr>
                <w:rFonts w:ascii="宋体" w:hAnsi="宋体" w:cs="宋体" w:eastAsia="宋体" w:hint="default"/>
                <w:sz w:val="21"/>
                <w:szCs w:val="21"/>
              </w:rPr>
              <w:t>饮</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p>
          <w:p>
            <w:pPr>
              <w:pStyle w:val="TableParagraph"/>
              <w:spacing w:line="272" w:lineRule="exact" w:before="26"/>
              <w:ind w:left="100" w:right="31"/>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03"/>
                <w:sz w:val="21"/>
                <w:szCs w:val="21"/>
              </w:rPr>
              <w:t> </w:t>
            </w:r>
            <w:r>
              <w:rPr>
                <w:rFonts w:ascii="宋体" w:hAnsi="宋体" w:cs="宋体" w:eastAsia="宋体" w:hint="default"/>
                <w:sz w:val="21"/>
                <w:szCs w:val="21"/>
              </w:rPr>
              <w:t>竺</w:t>
            </w:r>
          </w:p>
          <w:p>
            <w:pPr>
              <w:pStyle w:val="TableParagraph"/>
              <w:spacing w:line="272" w:lineRule="exact" w:before="1"/>
              <w:ind w:left="100" w:right="242"/>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忠</w:t>
            </w:r>
          </w:p>
        </w:tc>
        <w:tc>
          <w:tcPr>
            <w:tcW w:w="566"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日就该工程签订结算及</w:t>
            </w:r>
          </w:p>
          <w:p>
            <w:pPr>
              <w:pStyle w:val="TableParagraph"/>
              <w:spacing w:line="237" w:lineRule="auto"/>
              <w:ind w:left="103" w:right="-2"/>
              <w:jc w:val="left"/>
              <w:rPr>
                <w:rFonts w:ascii="宋体" w:hAnsi="宋体" w:cs="宋体" w:eastAsia="宋体" w:hint="default"/>
                <w:sz w:val="21"/>
                <w:szCs w:val="21"/>
              </w:rPr>
            </w:pPr>
            <w:r>
              <w:rPr>
                <w:rFonts w:ascii="宋体" w:hAnsi="宋体" w:cs="宋体" w:eastAsia="宋体" w:hint="default"/>
                <w:sz w:val="21"/>
                <w:szCs w:val="21"/>
              </w:rPr>
              <w:t>尾款支付协议，确认广隆房地产应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支付工程款金额，并就分期支付时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间节点进行约定。现因宁波广隆房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地产开发有限公司未支付工程款，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公司向宁波市北仑区人民法院提起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诉讼，要求其立即支付公司工程款、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8"/>
                <w:sz w:val="21"/>
                <w:szCs w:val="21"/>
              </w:rPr>
              <w:t>配合费、水电费及利息共计 </w:t>
            </w:r>
            <w:r>
              <w:rPr>
                <w:rFonts w:ascii="Times New Roman" w:hAnsi="Times New Roman" w:cs="Times New Roman" w:eastAsia="Times New Roman" w:hint="default"/>
                <w:sz w:val="21"/>
                <w:szCs w:val="21"/>
              </w:rPr>
              <w:t>5300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w:t>
            </w:r>
          </w:p>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元，北仑区人民法院于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日受理本案。经北仑区人民法院</w:t>
            </w:r>
          </w:p>
          <w:p>
            <w:pPr>
              <w:pStyle w:val="TableParagraph"/>
              <w:spacing w:line="232" w:lineRule="auto"/>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日主持调解，双方</w:t>
            </w:r>
            <w:r>
              <w:rPr>
                <w:rFonts w:ascii="宋体" w:hAnsi="宋体" w:cs="宋体" w:eastAsia="宋体" w:hint="default"/>
                <w:w w:val="100"/>
                <w:sz w:val="21"/>
                <w:szCs w:val="21"/>
              </w:rPr>
              <w:t> </w:t>
            </w:r>
            <w:r>
              <w:rPr>
                <w:rFonts w:ascii="宋体" w:hAnsi="宋体" w:cs="宋体" w:eastAsia="宋体" w:hint="default"/>
                <w:sz w:val="21"/>
                <w:szCs w:val="21"/>
              </w:rPr>
              <w:t>达成协议，确认广隆房地产应支付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本公司工程款、配合费、水电费及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利息共计</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5300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万元，且案外人宁波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汉通餐饮发展有限公司、竺成忠对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上述款项承担连带清偿责任。截至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月，累计收到款项</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2820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27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千和</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臻</w:t>
            </w:r>
            <w:r>
              <w:rPr>
                <w:rFonts w:ascii="宋体" w:hAnsi="宋体" w:cs="宋体" w:eastAsia="宋体" w:hint="default"/>
                <w:w w:val="100"/>
                <w:sz w:val="21"/>
                <w:szCs w:val="21"/>
              </w:rPr>
              <w:t> </w:t>
            </w:r>
            <w:r>
              <w:rPr>
                <w:rFonts w:ascii="宋体" w:hAnsi="宋体" w:cs="宋体" w:eastAsia="宋体" w:hint="default"/>
                <w:sz w:val="21"/>
                <w:szCs w:val="21"/>
              </w:rPr>
              <w:t>德</w:t>
            </w:r>
            <w:r>
              <w:rPr>
                <w:rFonts w:ascii="宋体" w:hAnsi="宋体" w:cs="宋体" w:eastAsia="宋体" w:hint="default"/>
                <w:w w:val="100"/>
                <w:sz w:val="21"/>
                <w:szCs w:val="21"/>
              </w:rPr>
              <w:t> </w:t>
            </w:r>
            <w:r>
              <w:rPr>
                <w:rFonts w:ascii="宋体" w:hAnsi="宋体" w:cs="宋体" w:eastAsia="宋体" w:hint="default"/>
                <w:sz w:val="21"/>
                <w:szCs w:val="21"/>
              </w:rPr>
              <w:t>环</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p>
          <w:p>
            <w:pPr>
              <w:pStyle w:val="TableParagraph"/>
              <w:spacing w:line="272" w:lineRule="exact" w:before="26"/>
              <w:ind w:left="100" w:right="31"/>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03"/>
                <w:sz w:val="21"/>
                <w:szCs w:val="21"/>
              </w:rPr>
              <w:t> </w:t>
            </w:r>
            <w:r>
              <w:rPr>
                <w:rFonts w:ascii="宋体" w:hAnsi="宋体" w:cs="宋体" w:eastAsia="宋体" w:hint="default"/>
                <w:sz w:val="21"/>
                <w:szCs w:val="21"/>
              </w:rPr>
              <w:t>李</w:t>
            </w:r>
          </w:p>
          <w:p>
            <w:pPr>
              <w:pStyle w:val="TableParagraph"/>
              <w:spacing w:line="272" w:lineRule="exact" w:before="1"/>
              <w:ind w:left="100" w:right="242"/>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因宁波千和置业有限公司拖欠本公</w:t>
            </w:r>
          </w:p>
          <w:p>
            <w:pPr>
              <w:pStyle w:val="TableParagraph"/>
              <w:spacing w:line="232" w:lineRule="auto" w:before="6"/>
              <w:ind w:left="103" w:right="99"/>
              <w:jc w:val="both"/>
              <w:rPr>
                <w:rFonts w:ascii="宋体" w:hAnsi="宋体" w:cs="宋体" w:eastAsia="宋体" w:hint="default"/>
                <w:sz w:val="21"/>
                <w:szCs w:val="21"/>
              </w:rPr>
            </w:pPr>
            <w:r>
              <w:rPr>
                <w:rFonts w:ascii="宋体" w:hAnsi="宋体" w:cs="宋体" w:eastAsia="宋体" w:hint="default"/>
                <w:spacing w:val="-3"/>
                <w:sz w:val="21"/>
                <w:szCs w:val="21"/>
              </w:rPr>
              <w:t>司工程款，</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月本公司向宁</w:t>
            </w:r>
            <w:r>
              <w:rPr>
                <w:rFonts w:ascii="宋体" w:hAnsi="宋体" w:cs="宋体" w:eastAsia="宋体" w:hint="default"/>
                <w:w w:val="100"/>
                <w:sz w:val="21"/>
                <w:szCs w:val="21"/>
              </w:rPr>
              <w:t> </w:t>
            </w:r>
            <w:r>
              <w:rPr>
                <w:rFonts w:ascii="宋体" w:hAnsi="宋体" w:cs="宋体" w:eastAsia="宋体" w:hint="default"/>
                <w:sz w:val="21"/>
                <w:szCs w:val="21"/>
              </w:rPr>
              <w:t>波市北仑区人民法院提起诉讼，请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求法院判决千和置业支付本公司工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程进度款 </w:t>
            </w:r>
            <w:r>
              <w:rPr>
                <w:rFonts w:ascii="Times New Roman" w:hAnsi="Times New Roman" w:cs="Times New Roman" w:eastAsia="Times New Roman" w:hint="default"/>
                <w:sz w:val="21"/>
                <w:szCs w:val="21"/>
              </w:rPr>
              <w:t>23,749,429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元及利息共计</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24,290,785.78</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元，并请求判</w:t>
            </w:r>
            <w:r>
              <w:rPr>
                <w:rFonts w:ascii="宋体" w:hAnsi="宋体" w:cs="宋体" w:eastAsia="宋体" w:hint="default"/>
                <w:w w:val="100"/>
                <w:sz w:val="21"/>
                <w:szCs w:val="21"/>
              </w:rPr>
              <w:t> </w:t>
            </w:r>
            <w:r>
              <w:rPr>
                <w:rFonts w:ascii="宋体" w:hAnsi="宋体" w:cs="宋体" w:eastAsia="宋体" w:hint="default"/>
                <w:sz w:val="21"/>
                <w:szCs w:val="21"/>
              </w:rPr>
              <w:t>决公司对千和大厦工程拍卖价款享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有优先受偿权。</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月，宁</w:t>
            </w:r>
            <w:r>
              <w:rPr>
                <w:rFonts w:ascii="宋体" w:hAnsi="宋体" w:cs="宋体" w:eastAsia="宋体" w:hint="default"/>
                <w:w w:val="100"/>
                <w:sz w:val="21"/>
                <w:szCs w:val="21"/>
              </w:rPr>
              <w:t> </w:t>
            </w:r>
            <w:r>
              <w:rPr>
                <w:rFonts w:ascii="宋体" w:hAnsi="宋体" w:cs="宋体" w:eastAsia="宋体" w:hint="default"/>
                <w:sz w:val="21"/>
                <w:szCs w:val="21"/>
              </w:rPr>
              <w:t>波市北仑区人民法院出具民事判决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书</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判</w:t>
            </w:r>
            <w:r>
              <w:rPr>
                <w:rFonts w:ascii="宋体" w:hAnsi="宋体" w:cs="宋体" w:eastAsia="宋体" w:hint="default"/>
                <w:spacing w:val="-69"/>
                <w:sz w:val="21"/>
                <w:szCs w:val="21"/>
              </w:rPr>
              <w:t> </w:t>
            </w:r>
            <w:r>
              <w:rPr>
                <w:rFonts w:ascii="宋体" w:hAnsi="宋体" w:cs="宋体" w:eastAsia="宋体" w:hint="default"/>
                <w:sz w:val="21"/>
                <w:szCs w:val="21"/>
              </w:rPr>
              <w:t>令</w:t>
            </w:r>
            <w:r>
              <w:rPr>
                <w:rFonts w:ascii="宋体" w:hAnsi="宋体" w:cs="宋体" w:eastAsia="宋体" w:hint="default"/>
                <w:spacing w:val="-66"/>
                <w:sz w:val="21"/>
                <w:szCs w:val="21"/>
              </w:rPr>
              <w:t> </w:t>
            </w:r>
            <w:r>
              <w:rPr>
                <w:rFonts w:ascii="宋体" w:hAnsi="宋体" w:cs="宋体" w:eastAsia="宋体" w:hint="default"/>
                <w:sz w:val="21"/>
                <w:szCs w:val="21"/>
              </w:rPr>
              <w:t>千</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置</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9"/>
                <w:sz w:val="21"/>
                <w:szCs w:val="21"/>
              </w:rPr>
              <w:t> </w:t>
            </w:r>
            <w:r>
              <w:rPr>
                <w:rFonts w:ascii="宋体" w:hAnsi="宋体" w:cs="宋体" w:eastAsia="宋体" w:hint="default"/>
                <w:sz w:val="21"/>
                <w:szCs w:val="21"/>
              </w:rPr>
              <w:t>支</w:t>
            </w:r>
            <w:r>
              <w:rPr>
                <w:rFonts w:ascii="宋体" w:hAnsi="宋体" w:cs="宋体" w:eastAsia="宋体" w:hint="default"/>
                <w:spacing w:val="-69"/>
                <w:sz w:val="21"/>
                <w:szCs w:val="21"/>
              </w:rPr>
              <w:t> </w:t>
            </w:r>
            <w:r>
              <w:rPr>
                <w:rFonts w:ascii="宋体" w:hAnsi="宋体" w:cs="宋体" w:eastAsia="宋体" w:hint="default"/>
                <w:sz w:val="21"/>
                <w:szCs w:val="21"/>
              </w:rPr>
              <w:t>付</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程</w:t>
            </w:r>
            <w:r>
              <w:rPr>
                <w:rFonts w:ascii="宋体" w:hAnsi="宋体" w:cs="宋体" w:eastAsia="宋体" w:hint="default"/>
                <w:spacing w:val="-66"/>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23,749,429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元及相应利息。后因千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和置业提出由本公司继续履行施工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合同，本公司与千和置业及第三方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宁波臻德环保科技有限公司、李兴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常签订《建设工程施工合同补充协</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3"/>
                <w:w w:val="100"/>
                <w:sz w:val="21"/>
                <w:szCs w:val="21"/>
              </w:rPr>
              <w:t>议》，约定由千和置业支付工程款共</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万元后，本公司再组织该工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程复工，若未履行则由第三方对未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付工程款承担连带责任。因千和置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业仍拖欠工程款，公司再次向北仑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区人民法院提起诉讼，要求判令千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和置业支付工程款及相应利息合计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88,697,513.21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88,697,513.21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第五</w:t>
            </w:r>
            <w:r>
              <w:rPr>
                <w:rFonts w:ascii="宋体" w:hAnsi="宋体" w:cs="宋体" w:eastAsia="宋体" w:hint="default"/>
                <w:spacing w:val="-101"/>
                <w:sz w:val="21"/>
                <w:szCs w:val="21"/>
              </w:rPr>
              <w:t> </w:t>
            </w:r>
            <w:r>
              <w:rPr>
                <w:rFonts w:ascii="宋体" w:hAnsi="宋体" w:cs="宋体" w:eastAsia="宋体" w:hint="default"/>
                <w:spacing w:val="36"/>
                <w:sz w:val="21"/>
                <w:szCs w:val="21"/>
              </w:rPr>
              <w:t>医院</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p>
          <w:p>
            <w:pPr>
              <w:pStyle w:val="TableParagraph"/>
              <w:spacing w:line="237" w:lineRule="auto" w:before="1"/>
              <w:ind w:left="100" w:right="26"/>
              <w:jc w:val="both"/>
              <w:rPr>
                <w:rFonts w:ascii="宋体" w:hAnsi="宋体" w:cs="宋体" w:eastAsia="宋体" w:hint="default"/>
                <w:sz w:val="21"/>
                <w:szCs w:val="21"/>
              </w:rPr>
            </w:pP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太仓</w:t>
            </w:r>
            <w:r>
              <w:rPr>
                <w:rFonts w:ascii="宋体" w:hAnsi="宋体" w:cs="宋体" w:eastAsia="宋体" w:hint="default"/>
                <w:spacing w:val="-101"/>
                <w:sz w:val="21"/>
                <w:szCs w:val="21"/>
              </w:rPr>
              <w:t> </w:t>
            </w:r>
            <w:r>
              <w:rPr>
                <w:rFonts w:ascii="宋体" w:hAnsi="宋体" w:cs="宋体" w:eastAsia="宋体" w:hint="default"/>
                <w:spacing w:val="36"/>
                <w:sz w:val="21"/>
                <w:szCs w:val="21"/>
              </w:rPr>
              <w:t>康来</w:t>
            </w:r>
            <w:r>
              <w:rPr>
                <w:rFonts w:ascii="宋体" w:hAnsi="宋体" w:cs="宋体" w:eastAsia="宋体" w:hint="default"/>
                <w:spacing w:val="-101"/>
                <w:sz w:val="21"/>
                <w:szCs w:val="21"/>
              </w:rPr>
              <w:t> </w:t>
            </w:r>
            <w:r>
              <w:rPr>
                <w:rFonts w:ascii="宋体" w:hAnsi="宋体" w:cs="宋体" w:eastAsia="宋体" w:hint="default"/>
                <w:spacing w:val="36"/>
                <w:sz w:val="21"/>
                <w:szCs w:val="21"/>
              </w:rPr>
              <w:t>特房</w:t>
            </w:r>
            <w:r>
              <w:rPr>
                <w:rFonts w:ascii="宋体" w:hAnsi="宋体" w:cs="宋体" w:eastAsia="宋体" w:hint="default"/>
                <w:spacing w:val="-31"/>
                <w:sz w:val="21"/>
                <w:szCs w:val="21"/>
              </w:rPr>
              <w:t> </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因第五医院、太仓康来特房地产有</w:t>
            </w:r>
          </w:p>
          <w:p>
            <w:pPr>
              <w:pStyle w:val="TableParagraph"/>
              <w:spacing w:line="235" w:lineRule="auto" w:before="4"/>
              <w:ind w:left="103" w:right="98"/>
              <w:jc w:val="both"/>
              <w:rPr>
                <w:rFonts w:ascii="宋体" w:hAnsi="宋体" w:cs="宋体" w:eastAsia="宋体" w:hint="default"/>
                <w:sz w:val="21"/>
                <w:szCs w:val="21"/>
              </w:rPr>
            </w:pPr>
            <w:r>
              <w:rPr>
                <w:rFonts w:ascii="宋体" w:hAnsi="宋体" w:cs="宋体" w:eastAsia="宋体" w:hint="default"/>
                <w:sz w:val="21"/>
                <w:szCs w:val="21"/>
              </w:rPr>
              <w:t>限公司拖欠工程款，公司向镇海区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人民法院提起诉讼，</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月镇</w:t>
            </w:r>
            <w:r>
              <w:rPr>
                <w:rFonts w:ascii="宋体" w:hAnsi="宋体" w:cs="宋体" w:eastAsia="宋体" w:hint="default"/>
                <w:spacing w:val="-102"/>
                <w:sz w:val="21"/>
                <w:szCs w:val="21"/>
              </w:rPr>
              <w:t> </w:t>
            </w:r>
            <w:r>
              <w:rPr>
                <w:rFonts w:ascii="宋体" w:hAnsi="宋体" w:cs="宋体" w:eastAsia="宋体" w:hint="default"/>
                <w:sz w:val="21"/>
                <w:szCs w:val="21"/>
              </w:rPr>
              <w:t>海区人民法院主持双方达成调解，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后因第五医院、太仓康来特未及时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还款，本公司向镇海区人民法院提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交执行申请书，镇海区人民法院于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月决定立案执行，执行</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标的为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62,686,553.38</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62,686,553.38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4" w:lineRule="exact"/>
        <w:jc w:val="left"/>
        <w:rPr>
          <w:rFonts w:ascii="宋体" w:hAnsi="宋体" w:cs="宋体" w:eastAsia="宋体" w:hint="default"/>
          <w:sz w:val="21"/>
          <w:szCs w:val="21"/>
        </w:rPr>
        <w:sectPr>
          <w:pgSz w:w="11910" w:h="16840"/>
          <w:pgMar w:header="880" w:footer="1195"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地产</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40" w:lineRule="auto"/>
              <w:ind w:left="100" w:right="26"/>
              <w:jc w:val="left"/>
              <w:rPr>
                <w:rFonts w:ascii="宋体" w:hAnsi="宋体" w:cs="宋体" w:eastAsia="宋体" w:hint="default"/>
                <w:sz w:val="21"/>
                <w:szCs w:val="21"/>
              </w:rPr>
            </w:pP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月，本公司又与第五医院、太仓康</w:t>
            </w:r>
          </w:p>
          <w:p>
            <w:pPr>
              <w:pStyle w:val="TableParagraph"/>
              <w:spacing w:line="240" w:lineRule="auto"/>
              <w:ind w:left="103" w:right="101"/>
              <w:jc w:val="both"/>
              <w:rPr>
                <w:rFonts w:ascii="宋体" w:hAnsi="宋体" w:cs="宋体" w:eastAsia="宋体" w:hint="default"/>
                <w:sz w:val="21"/>
                <w:szCs w:val="21"/>
              </w:rPr>
            </w:pPr>
            <w:r>
              <w:rPr>
                <w:rFonts w:ascii="宋体" w:hAnsi="宋体" w:cs="宋体" w:eastAsia="宋体" w:hint="default"/>
                <w:sz w:val="21"/>
                <w:szCs w:val="21"/>
              </w:rPr>
              <w:t>来特达成执行和解协议，约定第五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医院、太仓康来特于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61"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日前支付 </w:t>
            </w:r>
            <w:r>
              <w:rPr>
                <w:rFonts w:ascii="Times New Roman" w:hAnsi="Times New Roman" w:cs="Times New Roman" w:eastAsia="Times New Roman" w:hint="default"/>
                <w:sz w:val="21"/>
                <w:szCs w:val="21"/>
              </w:rPr>
              <w:t>6100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万元，若未按时</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支付则按照强制执行。截止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p>
          <w:p>
            <w:pPr>
              <w:pStyle w:val="TableParagraph"/>
              <w:spacing w:line="228" w:lineRule="auto" w:before="3"/>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日，第五医院、太仓康来特</w:t>
            </w:r>
            <w:r>
              <w:rPr>
                <w:rFonts w:ascii="宋体" w:hAnsi="宋体" w:cs="宋体" w:eastAsia="宋体" w:hint="default"/>
                <w:w w:val="100"/>
                <w:sz w:val="21"/>
                <w:szCs w:val="21"/>
              </w:rPr>
              <w:t> </w:t>
            </w:r>
            <w:r>
              <w:rPr>
                <w:rFonts w:ascii="宋体" w:hAnsi="宋体" w:cs="宋体" w:eastAsia="宋体" w:hint="default"/>
                <w:sz w:val="21"/>
                <w:szCs w:val="21"/>
              </w:rPr>
              <w:t>未按约支付款项，公司已申请强制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执行，截至目前，累计收到 </w:t>
            </w:r>
            <w:r>
              <w:rPr>
                <w:rFonts w:ascii="Times New Roman" w:hAnsi="Times New Roman" w:cs="Times New Roman" w:eastAsia="Times New Roman" w:hint="default"/>
                <w:sz w:val="21"/>
                <w:szCs w:val="21"/>
              </w:rPr>
              <w:t>280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600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仪征</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市晶</w:t>
            </w:r>
            <w:r>
              <w:rPr>
                <w:rFonts w:ascii="宋体" w:hAnsi="宋体" w:cs="宋体" w:eastAsia="宋体" w:hint="default"/>
                <w:spacing w:val="-101"/>
                <w:sz w:val="21"/>
                <w:szCs w:val="21"/>
              </w:rPr>
              <w:t> </w:t>
            </w:r>
            <w:r>
              <w:rPr>
                <w:rFonts w:ascii="宋体" w:hAnsi="宋体" w:cs="宋体" w:eastAsia="宋体" w:hint="default"/>
                <w:spacing w:val="36"/>
                <w:sz w:val="21"/>
                <w:szCs w:val="21"/>
              </w:rPr>
              <w:t>崴国</w:t>
            </w:r>
            <w:r>
              <w:rPr>
                <w:rFonts w:ascii="宋体" w:hAnsi="宋体" w:cs="宋体" w:eastAsia="宋体" w:hint="default"/>
                <w:spacing w:val="-101"/>
                <w:sz w:val="21"/>
                <w:szCs w:val="21"/>
              </w:rPr>
              <w:t> </w:t>
            </w:r>
            <w:r>
              <w:rPr>
                <w:rFonts w:ascii="宋体" w:hAnsi="宋体" w:cs="宋体" w:eastAsia="宋体" w:hint="default"/>
                <w:spacing w:val="36"/>
                <w:sz w:val="21"/>
                <w:szCs w:val="21"/>
              </w:rPr>
              <w:t>际大</w:t>
            </w:r>
            <w:r>
              <w:rPr>
                <w:rFonts w:ascii="宋体" w:hAnsi="宋体" w:cs="宋体" w:eastAsia="宋体" w:hint="default"/>
                <w:spacing w:val="-101"/>
                <w:sz w:val="21"/>
                <w:szCs w:val="21"/>
              </w:rPr>
              <w:t> </w:t>
            </w:r>
            <w:r>
              <w:rPr>
                <w:rFonts w:ascii="宋体" w:hAnsi="宋体" w:cs="宋体" w:eastAsia="宋体" w:hint="default"/>
                <w:spacing w:val="36"/>
                <w:sz w:val="21"/>
                <w:szCs w:val="21"/>
              </w:rPr>
              <w:t>酒店</w:t>
            </w:r>
            <w:r>
              <w:rPr>
                <w:rFonts w:ascii="宋体" w:hAnsi="宋体" w:cs="宋体" w:eastAsia="宋体" w:hint="default"/>
                <w:spacing w:val="-101"/>
                <w:sz w:val="21"/>
                <w:szCs w:val="21"/>
              </w:rPr>
              <w:t> </w:t>
            </w:r>
            <w:r>
              <w:rPr>
                <w:rFonts w:ascii="宋体" w:hAnsi="宋体" w:cs="宋体" w:eastAsia="宋体" w:hint="default"/>
                <w:spacing w:val="36"/>
                <w:sz w:val="21"/>
                <w:szCs w:val="21"/>
              </w:rPr>
              <w:t>投资</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因仪征市晶崴国际大酒店投资有限</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公司拖欠工程款，公司子公司建工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集团向仪征市人民法院提起诉讼，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请求判令支付工程款 </w:t>
            </w:r>
            <w:r>
              <w:rPr>
                <w:rFonts w:ascii="Times New Roman" w:hAnsi="Times New Roman" w:cs="Times New Roman" w:eastAsia="Times New Roman" w:hint="default"/>
                <w:sz w:val="21"/>
                <w:szCs w:val="21"/>
              </w:rPr>
              <w:t>30,299,067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w:t>
            </w:r>
          </w:p>
          <w:p>
            <w:pPr>
              <w:pStyle w:val="TableParagraph"/>
              <w:spacing w:line="235" w:lineRule="auto"/>
              <w:ind w:left="103" w:right="31"/>
              <w:jc w:val="both"/>
              <w:rPr>
                <w:rFonts w:ascii="宋体" w:hAnsi="宋体" w:cs="宋体" w:eastAsia="宋体" w:hint="default"/>
                <w:sz w:val="21"/>
                <w:szCs w:val="21"/>
              </w:rPr>
            </w:pPr>
            <w:r>
              <w:rPr>
                <w:rFonts w:ascii="宋体" w:hAnsi="宋体" w:cs="宋体" w:eastAsia="宋体" w:hint="default"/>
                <w:sz w:val="21"/>
                <w:szCs w:val="21"/>
              </w:rPr>
              <w:t>及相应利息共计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34,156,537.30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并请求判令对晶崴国际大酒店项目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工程折价或以拍卖所得价款在诉请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范围内优先受偿。江苏省仪征市人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民法院受理本案后，原被告达成和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解协议，并由江苏省仪征市人民法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院出具（</w:t>
            </w:r>
            <w:r>
              <w:rPr>
                <w:rFonts w:ascii="Times New Roman" w:hAnsi="Times New Roman" w:cs="Times New Roman" w:eastAsia="Times New Roman" w:hint="default"/>
                <w:sz w:val="21"/>
                <w:szCs w:val="21"/>
              </w:rPr>
              <w:t>2016</w:t>
            </w:r>
            <w:r>
              <w:rPr>
                <w:rFonts w:ascii="宋体" w:hAnsi="宋体" w:cs="宋体" w:eastAsia="宋体" w:hint="default"/>
                <w:sz w:val="21"/>
                <w:szCs w:val="21"/>
              </w:rPr>
              <w:t>）苏 </w:t>
            </w:r>
            <w:r>
              <w:rPr>
                <w:rFonts w:ascii="Times New Roman" w:hAnsi="Times New Roman" w:cs="Times New Roman" w:eastAsia="Times New Roman" w:hint="default"/>
                <w:sz w:val="21"/>
                <w:szCs w:val="21"/>
              </w:rPr>
              <w:t>1081 </w:t>
            </w:r>
            <w:r>
              <w:rPr>
                <w:rFonts w:ascii="宋体" w:hAnsi="宋体" w:cs="宋体" w:eastAsia="宋体" w:hint="default"/>
                <w:sz w:val="21"/>
                <w:szCs w:val="21"/>
              </w:rPr>
              <w:t>民初</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1236</w:t>
            </w:r>
            <w:r>
              <w:rPr>
                <w:rFonts w:ascii="Times New Roman" w:hAnsi="Times New Roman" w:cs="Times New Roman" w:eastAsia="Times New Roman" w:hint="default"/>
                <w:w w:val="100"/>
                <w:sz w:val="21"/>
                <w:szCs w:val="21"/>
              </w:rPr>
              <w:t> </w:t>
            </w:r>
            <w:r>
              <w:rPr>
                <w:rFonts w:ascii="宋体" w:hAnsi="宋体" w:cs="宋体" w:eastAsia="宋体" w:hint="default"/>
                <w:spacing w:val="-13"/>
                <w:w w:val="100"/>
                <w:sz w:val="21"/>
                <w:szCs w:val="21"/>
              </w:rPr>
              <w:t>号《民事调解书》，确认晶崴大酒店</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还应支付工程款 </w:t>
            </w:r>
            <w:r>
              <w:rPr>
                <w:rFonts w:ascii="Times New Roman" w:hAnsi="Times New Roman" w:cs="Times New Roman" w:eastAsia="Times New Roman" w:hint="default"/>
                <w:sz w:val="21"/>
                <w:szCs w:val="21"/>
              </w:rPr>
              <w:t>23,363,067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元并约</w:t>
            </w:r>
            <w:r>
              <w:rPr>
                <w:rFonts w:ascii="宋体" w:hAnsi="宋体" w:cs="宋体" w:eastAsia="宋体" w:hint="default"/>
                <w:w w:val="100"/>
                <w:sz w:val="21"/>
                <w:szCs w:val="21"/>
              </w:rPr>
              <w:t> </w:t>
            </w:r>
            <w:r>
              <w:rPr>
                <w:rFonts w:ascii="宋体" w:hAnsi="宋体" w:cs="宋体" w:eastAsia="宋体" w:hint="default"/>
                <w:sz w:val="21"/>
                <w:szCs w:val="21"/>
              </w:rPr>
              <w:t>定还款方式，同时确认建工集团对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涉案项目的折价及拍卖所得款项享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有建设工程优先受让权。</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月，仪征市人民法院裁定仪征市晶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崴国际大酒店投资有限公司破产清</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算，公司已向破产管理人申请支付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债权及评估款。</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月，公司</w:t>
            </w:r>
            <w:r>
              <w:rPr>
                <w:rFonts w:ascii="宋体" w:hAnsi="宋体" w:cs="宋体" w:eastAsia="宋体" w:hint="default"/>
                <w:w w:val="100"/>
                <w:sz w:val="21"/>
                <w:szCs w:val="21"/>
              </w:rPr>
              <w:t> </w:t>
            </w:r>
            <w:r>
              <w:rPr>
                <w:rFonts w:ascii="宋体" w:hAnsi="宋体" w:cs="宋体" w:eastAsia="宋体" w:hint="default"/>
                <w:sz w:val="21"/>
                <w:szCs w:val="21"/>
              </w:rPr>
              <w:t>收到仪征晶崴国际大酒店投资有限</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公司破产管理人支付的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23,363,067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调</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执</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调解</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3" w:right="29"/>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101"/>
                <w:sz w:val="21"/>
                <w:szCs w:val="21"/>
              </w:rPr>
              <w:t> </w:t>
            </w:r>
            <w:r>
              <w:rPr>
                <w:rFonts w:ascii="宋体" w:hAnsi="宋体" w:cs="宋体" w:eastAsia="宋体" w:hint="default"/>
                <w:sz w:val="21"/>
                <w:szCs w:val="21"/>
              </w:rPr>
              <w:t>中</w:t>
            </w:r>
          </w:p>
        </w:tc>
      </w:tr>
      <w:tr>
        <w:trPr>
          <w:trHeight w:val="464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叶庆</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峰</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公司前身宁波建工集团工程建设有</w:t>
            </w:r>
          </w:p>
          <w:p>
            <w:pPr>
              <w:pStyle w:val="TableParagraph"/>
              <w:spacing w:line="230" w:lineRule="auto" w:before="8"/>
              <w:ind w:left="103" w:right="-5"/>
              <w:jc w:val="both"/>
              <w:rPr>
                <w:rFonts w:ascii="宋体" w:hAnsi="宋体" w:cs="宋体" w:eastAsia="宋体" w:hint="default"/>
                <w:sz w:val="21"/>
                <w:szCs w:val="21"/>
              </w:rPr>
            </w:pPr>
            <w:r>
              <w:rPr>
                <w:rFonts w:ascii="宋体" w:hAnsi="宋体" w:cs="宋体" w:eastAsia="宋体" w:hint="default"/>
                <w:sz w:val="21"/>
                <w:szCs w:val="21"/>
              </w:rPr>
              <w:t>限公司于</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月与宁波广博建</w:t>
            </w:r>
            <w:r>
              <w:rPr>
                <w:rFonts w:ascii="宋体" w:hAnsi="宋体" w:cs="宋体" w:eastAsia="宋体" w:hint="default"/>
                <w:w w:val="100"/>
                <w:sz w:val="21"/>
                <w:szCs w:val="21"/>
              </w:rPr>
              <w:t> </w:t>
            </w:r>
            <w:r>
              <w:rPr>
                <w:rFonts w:ascii="宋体" w:hAnsi="宋体" w:cs="宋体" w:eastAsia="宋体" w:hint="default"/>
                <w:spacing w:val="15"/>
                <w:sz w:val="21"/>
                <w:szCs w:val="21"/>
              </w:rPr>
              <w:t>设开发有限公司签订工程施工合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同，约定由本公司承包施工广博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阳</w:t>
            </w:r>
            <w:r>
              <w:rPr>
                <w:rFonts w:ascii="宋体" w:hAnsi="宋体" w:cs="宋体" w:eastAsia="宋体" w:hint="default"/>
                <w:spacing w:val="-83"/>
                <w:sz w:val="21"/>
                <w:szCs w:val="21"/>
              </w:rPr>
              <w:t> </w:t>
            </w:r>
            <w:r>
              <w:rPr>
                <w:rFonts w:ascii="宋体" w:hAnsi="宋体" w:cs="宋体" w:eastAsia="宋体" w:hint="default"/>
                <w:sz w:val="21"/>
                <w:szCs w:val="21"/>
              </w:rPr>
              <w:t>光丽园</w:t>
            </w:r>
            <w:r>
              <w:rPr>
                <w:rFonts w:ascii="Times New Roman" w:hAnsi="Times New Roman" w:cs="Times New Roman" w:eastAsia="Times New Roman" w:hint="default"/>
                <w:sz w:val="21"/>
                <w:szCs w:val="21"/>
              </w:rPr>
              <w:t>”A </w:t>
            </w:r>
            <w:r>
              <w:rPr>
                <w:rFonts w:ascii="宋体" w:hAnsi="宋体" w:cs="宋体" w:eastAsia="宋体" w:hint="default"/>
                <w:spacing w:val="-6"/>
                <w:sz w:val="21"/>
                <w:szCs w:val="21"/>
              </w:rPr>
              <w:t>区二标段工程，叶庆峰作</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为该工程的经济负责人，该工程竣</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w w:val="100"/>
                <w:sz w:val="21"/>
                <w:szCs w:val="21"/>
              </w:rPr>
              <w:t>工后经结算，亏损</w:t>
            </w:r>
            <w:r>
              <w:rPr>
                <w:rFonts w:ascii="宋体" w:hAnsi="宋体" w:cs="宋体" w:eastAsia="宋体" w:hint="default"/>
                <w:spacing w:val="-62"/>
                <w:w w:val="100"/>
                <w:sz w:val="21"/>
                <w:szCs w:val="21"/>
              </w:rPr>
              <w:t> </w:t>
            </w:r>
            <w:r>
              <w:rPr>
                <w:rFonts w:ascii="Times New Roman" w:hAnsi="Times New Roman" w:cs="Times New Roman" w:eastAsia="Times New Roman" w:hint="default"/>
                <w:spacing w:val="-1"/>
                <w:w w:val="100"/>
                <w:sz w:val="21"/>
                <w:szCs w:val="21"/>
              </w:rPr>
              <w:t>13,676,789.12</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元。</w:t>
            </w:r>
          </w:p>
          <w:p>
            <w:pPr>
              <w:pStyle w:val="TableParagraph"/>
              <w:spacing w:line="232" w:lineRule="auto"/>
              <w:ind w:left="103" w:right="98"/>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日叶庆峰向公司出具</w:t>
            </w:r>
            <w:r>
              <w:rPr>
                <w:rFonts w:ascii="宋体" w:hAnsi="宋体" w:cs="宋体" w:eastAsia="宋体" w:hint="default"/>
                <w:w w:val="100"/>
                <w:sz w:val="21"/>
                <w:szCs w:val="21"/>
              </w:rPr>
              <w:t> </w:t>
            </w:r>
            <w:r>
              <w:rPr>
                <w:rFonts w:ascii="宋体" w:hAnsi="宋体" w:cs="宋体" w:eastAsia="宋体" w:hint="default"/>
                <w:sz w:val="21"/>
                <w:szCs w:val="21"/>
              </w:rPr>
              <w:t>承诺书，承诺上述工程亏损及相应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利息由其在</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日前归</w:t>
            </w:r>
            <w:r>
              <w:rPr>
                <w:rFonts w:ascii="宋体" w:hAnsi="宋体" w:cs="宋体" w:eastAsia="宋体" w:hint="default"/>
                <w:w w:val="100"/>
                <w:sz w:val="21"/>
                <w:szCs w:val="21"/>
              </w:rPr>
              <w:t> </w:t>
            </w:r>
            <w:r>
              <w:rPr>
                <w:rFonts w:ascii="宋体" w:hAnsi="宋体" w:cs="宋体" w:eastAsia="宋体" w:hint="default"/>
                <w:sz w:val="21"/>
                <w:szCs w:val="21"/>
              </w:rPr>
              <w:t>还本公司，还款期至，其未还款，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5"/>
                <w:sz w:val="21"/>
                <w:szCs w:val="21"/>
              </w:rPr>
              <w:t>本公司向鄞州区人民法院提起诉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讼，鄞州区人民法院于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月下发民事判决书，判决叶庆峰于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判决生效之日起十日内向本公司支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付欠款 </w:t>
            </w:r>
            <w:r>
              <w:rPr>
                <w:rFonts w:ascii="Times New Roman" w:hAnsi="Times New Roman" w:cs="Times New Roman" w:eastAsia="Times New Roman" w:hint="default"/>
                <w:sz w:val="21"/>
                <w:szCs w:val="21"/>
              </w:rPr>
              <w:t>13,676,789.12</w:t>
            </w:r>
            <w:r>
              <w:rPr>
                <w:rFonts w:ascii="Times New Roman" w:hAnsi="Times New Roman" w:cs="Times New Roman" w:eastAsia="Times New Roman" w:hint="default"/>
                <w:spacing w:val="30"/>
                <w:sz w:val="21"/>
                <w:szCs w:val="21"/>
              </w:rPr>
              <w:t> </w:t>
            </w:r>
            <w:r>
              <w:rPr>
                <w:rFonts w:ascii="宋体" w:hAnsi="宋体" w:cs="宋体" w:eastAsia="宋体" w:hint="default"/>
                <w:spacing w:val="6"/>
                <w:sz w:val="21"/>
                <w:szCs w:val="21"/>
              </w:rPr>
              <w:t>元及相应利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13,676,789.12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555"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33"/>
                <w:sz w:val="21"/>
                <w:szCs w:val="21"/>
              </w:rPr>
              <w:t> </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浙江</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武义</w:t>
            </w:r>
            <w:r>
              <w:rPr>
                <w:rFonts w:ascii="宋体" w:hAnsi="宋体" w:cs="宋体" w:eastAsia="宋体" w:hint="default"/>
                <w:spacing w:val="-31"/>
                <w:sz w:val="21"/>
                <w:szCs w:val="21"/>
              </w:rPr>
              <w:t> </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为维护公司合法权益，本公司向中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华人民共和国最高人民法院申请，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3" w:lineRule="exact"/>
        <w:jc w:val="left"/>
        <w:rPr>
          <w:rFonts w:ascii="宋体" w:hAnsi="宋体" w:cs="宋体" w:eastAsia="宋体" w:hint="default"/>
          <w:sz w:val="21"/>
          <w:szCs w:val="21"/>
        </w:rPr>
        <w:sectPr>
          <w:pgSz w:w="11910" w:h="16840"/>
          <w:pgMar w:header="880" w:footer="1195"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709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股份</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40"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元利</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投资</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pacing w:val="36"/>
                <w:sz w:val="21"/>
                <w:szCs w:val="21"/>
              </w:rPr>
              <w:t>责任</w:t>
            </w:r>
            <w:r>
              <w:rPr>
                <w:rFonts w:ascii="宋体" w:hAnsi="宋体" w:cs="宋体" w:eastAsia="宋体" w:hint="default"/>
                <w:spacing w:val="-101"/>
                <w:sz w:val="21"/>
                <w:szCs w:val="21"/>
              </w:rPr>
              <w:t> </w:t>
            </w:r>
            <w:r>
              <w:rPr>
                <w:rFonts w:ascii="宋体" w:hAnsi="宋体" w:cs="宋体" w:eastAsia="宋体" w:hint="default"/>
                <w:sz w:val="21"/>
                <w:szCs w:val="21"/>
              </w:rPr>
              <w:t>公</w:t>
            </w:r>
          </w:p>
          <w:p>
            <w:pPr>
              <w:pStyle w:val="TableParagraph"/>
              <w:spacing w:line="237" w:lineRule="auto" w:before="1"/>
              <w:ind w:left="100" w:right="26"/>
              <w:jc w:val="both"/>
              <w:rPr>
                <w:rFonts w:ascii="宋体" w:hAnsi="宋体" w:cs="宋体" w:eastAsia="宋体" w:hint="default"/>
                <w:sz w:val="21"/>
                <w:szCs w:val="21"/>
              </w:rPr>
            </w:pP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浙江</w:t>
            </w:r>
            <w:r>
              <w:rPr>
                <w:rFonts w:ascii="宋体" w:hAnsi="宋体" w:cs="宋体" w:eastAsia="宋体" w:hint="default"/>
                <w:spacing w:val="-101"/>
                <w:sz w:val="21"/>
                <w:szCs w:val="21"/>
              </w:rPr>
              <w:t> </w:t>
            </w:r>
            <w:r>
              <w:rPr>
                <w:rFonts w:ascii="宋体" w:hAnsi="宋体" w:cs="宋体" w:eastAsia="宋体" w:hint="default"/>
                <w:spacing w:val="36"/>
                <w:sz w:val="21"/>
                <w:szCs w:val="21"/>
              </w:rPr>
              <w:t>三新</w:t>
            </w:r>
            <w:r>
              <w:rPr>
                <w:rFonts w:ascii="宋体" w:hAnsi="宋体" w:cs="宋体" w:eastAsia="宋体" w:hint="default"/>
                <w:spacing w:val="-101"/>
                <w:sz w:val="21"/>
                <w:szCs w:val="21"/>
              </w:rPr>
              <w:t> </w:t>
            </w:r>
            <w:r>
              <w:rPr>
                <w:rFonts w:ascii="宋体" w:hAnsi="宋体" w:cs="宋体" w:eastAsia="宋体" w:hint="default"/>
                <w:spacing w:val="36"/>
                <w:sz w:val="21"/>
                <w:szCs w:val="21"/>
              </w:rPr>
              <w:t>建材</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p>
          <w:p>
            <w:pPr>
              <w:pStyle w:val="TableParagraph"/>
              <w:spacing w:line="237" w:lineRule="auto" w:before="1"/>
              <w:ind w:left="100" w:right="26"/>
              <w:jc w:val="both"/>
              <w:rPr>
                <w:rFonts w:ascii="宋体" w:hAnsi="宋体" w:cs="宋体" w:eastAsia="宋体" w:hint="default"/>
                <w:sz w:val="21"/>
                <w:szCs w:val="21"/>
              </w:rPr>
            </w:pP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浙江</w:t>
            </w:r>
            <w:r>
              <w:rPr>
                <w:rFonts w:ascii="宋体" w:hAnsi="宋体" w:cs="宋体" w:eastAsia="宋体" w:hint="default"/>
                <w:spacing w:val="-101"/>
                <w:sz w:val="21"/>
                <w:szCs w:val="21"/>
              </w:rPr>
              <w:t> </w:t>
            </w:r>
            <w:r>
              <w:rPr>
                <w:rFonts w:ascii="宋体" w:hAnsi="宋体" w:cs="宋体" w:eastAsia="宋体" w:hint="default"/>
                <w:spacing w:val="36"/>
                <w:sz w:val="21"/>
                <w:szCs w:val="21"/>
              </w:rPr>
              <w:t>华越</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w:t>
            </w:r>
          </w:p>
          <w:p>
            <w:pPr>
              <w:pStyle w:val="TableParagraph"/>
              <w:spacing w:line="237" w:lineRule="auto" w:before="1"/>
              <w:ind w:left="100" w:right="26"/>
              <w:jc w:val="both"/>
              <w:rPr>
                <w:rFonts w:ascii="宋体" w:hAnsi="宋体" w:cs="宋体" w:eastAsia="宋体" w:hint="default"/>
                <w:sz w:val="21"/>
                <w:szCs w:val="21"/>
              </w:rPr>
            </w:pPr>
            <w:r>
              <w:rPr>
                <w:rFonts w:ascii="宋体" w:hAnsi="宋体" w:cs="宋体" w:eastAsia="宋体" w:hint="default"/>
                <w:spacing w:val="36"/>
                <w:sz w:val="21"/>
                <w:szCs w:val="21"/>
              </w:rPr>
              <w:t>司、</w:t>
            </w:r>
            <w:r>
              <w:rPr>
                <w:rFonts w:ascii="宋体" w:hAnsi="宋体" w:cs="宋体" w:eastAsia="宋体" w:hint="default"/>
                <w:spacing w:val="-101"/>
                <w:sz w:val="21"/>
                <w:szCs w:val="21"/>
              </w:rPr>
              <w:t> </w:t>
            </w:r>
            <w:r>
              <w:rPr>
                <w:rFonts w:ascii="宋体" w:hAnsi="宋体" w:cs="宋体" w:eastAsia="宋体" w:hint="default"/>
                <w:spacing w:val="36"/>
                <w:sz w:val="21"/>
                <w:szCs w:val="21"/>
              </w:rPr>
              <w:t>杨伯</w:t>
            </w:r>
            <w:r>
              <w:rPr>
                <w:rFonts w:ascii="宋体" w:hAnsi="宋体" w:cs="宋体" w:eastAsia="宋体" w:hint="default"/>
                <w:spacing w:val="-101"/>
                <w:sz w:val="21"/>
                <w:szCs w:val="21"/>
              </w:rPr>
              <w:t> </w:t>
            </w:r>
            <w:r>
              <w:rPr>
                <w:rFonts w:ascii="宋体" w:hAnsi="宋体" w:cs="宋体" w:eastAsia="宋体" w:hint="default"/>
                <w:spacing w:val="36"/>
                <w:sz w:val="21"/>
                <w:szCs w:val="21"/>
              </w:rPr>
              <w:t>群、</w:t>
            </w:r>
            <w:r>
              <w:rPr>
                <w:rFonts w:ascii="宋体" w:hAnsi="宋体" w:cs="宋体" w:eastAsia="宋体" w:hint="default"/>
                <w:spacing w:val="-101"/>
                <w:sz w:val="21"/>
                <w:szCs w:val="21"/>
              </w:rPr>
              <w:t> </w:t>
            </w:r>
            <w:r>
              <w:rPr>
                <w:rFonts w:ascii="宋体" w:hAnsi="宋体" w:cs="宋体" w:eastAsia="宋体" w:hint="default"/>
                <w:spacing w:val="36"/>
                <w:sz w:val="21"/>
                <w:szCs w:val="21"/>
              </w:rPr>
              <w:t>杨樑</w:t>
            </w:r>
            <w:r>
              <w:rPr>
                <w:rFonts w:ascii="宋体" w:hAnsi="宋体" w:cs="宋体" w:eastAsia="宋体" w:hint="default"/>
                <w:spacing w:val="-101"/>
                <w:sz w:val="21"/>
                <w:szCs w:val="21"/>
              </w:rPr>
              <w:t> </w:t>
            </w:r>
            <w:r>
              <w:rPr>
                <w:rFonts w:ascii="宋体" w:hAnsi="宋体" w:cs="宋体" w:eastAsia="宋体" w:hint="default"/>
                <w:sz w:val="21"/>
                <w:szCs w:val="21"/>
              </w:rPr>
              <w:t>樑</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请求依法撤销在浙江省高级人民法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院作出的损害本公司合法权益的</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宋体" w:hAnsi="宋体" w:cs="宋体" w:eastAsia="宋体" w:hint="default"/>
                <w:sz w:val="21"/>
                <w:szCs w:val="21"/>
              </w:rPr>
              <w:t>）浙民二初字第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号《民事</w:t>
            </w:r>
          </w:p>
          <w:p>
            <w:pPr>
              <w:pStyle w:val="TableParagraph"/>
              <w:spacing w:line="27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9"/>
                <w:w w:val="100"/>
                <w:sz w:val="21"/>
                <w:szCs w:val="21"/>
              </w:rPr>
              <w:t>调解书</w:t>
            </w:r>
            <w:r>
              <w:rPr>
                <w:rFonts w:ascii="宋体" w:hAnsi="宋体" w:cs="宋体" w:eastAsia="宋体" w:hint="default"/>
                <w:spacing w:val="-97"/>
                <w:w w:val="100"/>
                <w:sz w:val="21"/>
                <w:szCs w:val="21"/>
              </w:rPr>
              <w:t>》</w:t>
            </w:r>
            <w:r>
              <w:rPr>
                <w:rFonts w:ascii="宋体" w:hAnsi="宋体" w:cs="宋体" w:eastAsia="宋体" w:hint="default"/>
                <w:spacing w:val="9"/>
                <w:w w:val="100"/>
                <w:sz w:val="21"/>
                <w:szCs w:val="21"/>
              </w:rPr>
              <w:t>，并依法</w:t>
            </w:r>
            <w:r>
              <w:rPr>
                <w:rFonts w:ascii="宋体" w:hAnsi="宋体" w:cs="宋体" w:eastAsia="宋体" w:hint="default"/>
                <w:spacing w:val="11"/>
                <w:w w:val="100"/>
                <w:sz w:val="21"/>
                <w:szCs w:val="21"/>
              </w:rPr>
              <w:t>作</w:t>
            </w:r>
            <w:r>
              <w:rPr>
                <w:rFonts w:ascii="宋体" w:hAnsi="宋体" w:cs="宋体" w:eastAsia="宋体" w:hint="default"/>
                <w:spacing w:val="9"/>
                <w:w w:val="100"/>
                <w:sz w:val="21"/>
                <w:szCs w:val="21"/>
              </w:rPr>
              <w:t>出判决</w:t>
            </w:r>
            <w:r>
              <w:rPr>
                <w:rFonts w:ascii="宋体" w:hAnsi="宋体" w:cs="宋体" w:eastAsia="宋体" w:hint="default"/>
                <w:spacing w:val="15"/>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15</w:t>
            </w:r>
          </w:p>
          <w:p>
            <w:pPr>
              <w:pStyle w:val="TableParagraph"/>
              <w:spacing w:line="230" w:lineRule="auto"/>
              <w:ind w:left="103" w:right="-5"/>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月，最高人民法院下发《民事</w:t>
            </w:r>
            <w:r>
              <w:rPr>
                <w:rFonts w:ascii="宋体" w:hAnsi="宋体" w:cs="宋体" w:eastAsia="宋体" w:hint="default"/>
                <w:w w:val="100"/>
                <w:sz w:val="21"/>
                <w:szCs w:val="21"/>
              </w:rPr>
              <w:t> </w:t>
            </w:r>
            <w:r>
              <w:rPr>
                <w:rFonts w:ascii="宋体" w:hAnsi="宋体" w:cs="宋体" w:eastAsia="宋体" w:hint="default"/>
                <w:sz w:val="21"/>
                <w:szCs w:val="21"/>
              </w:rPr>
              <w:t>裁定书》指令浙江省高级人民法院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再审《民事调解书》涉及的诉讼案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件。</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月，浙江省高级人民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法院下发《再审案件立案通知书》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9"/>
                <w:w w:val="100"/>
                <w:sz w:val="21"/>
                <w:szCs w:val="21"/>
              </w:rPr>
              <w:t>决定对该案重新审理。</w:t>
            </w:r>
            <w:r>
              <w:rPr>
                <w:rFonts w:ascii="Times New Roman" w:hAnsi="Times New Roman" w:cs="Times New Roman" w:eastAsia="Times New Roman" w:hint="default"/>
                <w:spacing w:val="-9"/>
                <w:w w:val="100"/>
                <w:sz w:val="21"/>
                <w:szCs w:val="21"/>
              </w:rPr>
              <w:t>2016</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月， </w:t>
            </w:r>
            <w:r>
              <w:rPr>
                <w:rFonts w:ascii="宋体" w:hAnsi="宋体" w:cs="宋体" w:eastAsia="宋体" w:hint="default"/>
                <w:sz w:val="21"/>
                <w:szCs w:val="21"/>
              </w:rPr>
              <w:t>浙江省高级人民法院主持各方达成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调解协议，并下达（</w:t>
            </w:r>
            <w:r>
              <w:rPr>
                <w:rFonts w:ascii="Times New Roman" w:hAnsi="Times New Roman" w:cs="Times New Roman" w:eastAsia="Times New Roman" w:hint="default"/>
                <w:sz w:val="21"/>
                <w:szCs w:val="21"/>
              </w:rPr>
              <w:t>2015</w:t>
            </w:r>
            <w:r>
              <w:rPr>
                <w:rFonts w:ascii="宋体" w:hAnsi="宋体" w:cs="宋体" w:eastAsia="宋体" w:hint="default"/>
                <w:sz w:val="21"/>
                <w:szCs w:val="21"/>
              </w:rPr>
              <w:t>）浙民再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w w:val="100"/>
                <w:sz w:val="21"/>
                <w:szCs w:val="21"/>
              </w:rPr>
              <w:t>字第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10"/>
                <w:w w:val="100"/>
                <w:sz w:val="21"/>
                <w:szCs w:val="21"/>
              </w:rPr>
              <w:t>号《民事调解书》，主要协</w:t>
            </w:r>
            <w:r>
              <w:rPr>
                <w:rFonts w:ascii="宋体" w:hAnsi="宋体" w:cs="宋体" w:eastAsia="宋体" w:hint="default"/>
                <w:w w:val="100"/>
                <w:sz w:val="21"/>
                <w:szCs w:val="21"/>
              </w:rPr>
              <w:t> </w:t>
            </w:r>
            <w:r>
              <w:rPr>
                <w:rFonts w:ascii="宋体" w:hAnsi="宋体" w:cs="宋体" w:eastAsia="宋体" w:hint="default"/>
                <w:spacing w:val="15"/>
                <w:sz w:val="21"/>
                <w:szCs w:val="21"/>
              </w:rPr>
              <w:t>定如下：协议各方同意不再执行</w:t>
            </w:r>
          </w:p>
          <w:p>
            <w:pPr>
              <w:pStyle w:val="TableParagraph"/>
              <w:spacing w:line="232"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宋体" w:hAnsi="宋体" w:cs="宋体" w:eastAsia="宋体" w:hint="default"/>
                <w:sz w:val="21"/>
                <w:szCs w:val="21"/>
              </w:rPr>
              <w:t>）浙民二初字第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号《民事</w:t>
            </w:r>
            <w:r>
              <w:rPr>
                <w:rFonts w:ascii="宋体" w:hAnsi="宋体" w:cs="宋体" w:eastAsia="宋体" w:hint="default"/>
                <w:w w:val="100"/>
                <w:sz w:val="21"/>
                <w:szCs w:val="21"/>
              </w:rPr>
              <w:t> </w:t>
            </w:r>
            <w:r>
              <w:rPr>
                <w:rFonts w:ascii="宋体" w:hAnsi="宋体" w:cs="宋体" w:eastAsia="宋体" w:hint="default"/>
                <w:spacing w:val="-13"/>
                <w:w w:val="100"/>
                <w:sz w:val="21"/>
                <w:szCs w:val="21"/>
              </w:rPr>
              <w:t>调解书》；约定由武义元利向法院申</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请撤回强制执行申请及财产查封，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并申请执行终结；武义元利对本公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司与华越置业生效判决（</w:t>
            </w:r>
            <w:r>
              <w:rPr>
                <w:rFonts w:ascii="Times New Roman" w:hAnsi="Times New Roman" w:cs="Times New Roman" w:eastAsia="Times New Roman" w:hint="default"/>
                <w:sz w:val="21"/>
                <w:szCs w:val="21"/>
              </w:rPr>
              <w:t>2014</w:t>
            </w: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甬民二初字第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号民事判决书不持</w:t>
            </w:r>
            <w:r>
              <w:rPr>
                <w:rFonts w:ascii="宋体" w:hAnsi="宋体" w:cs="宋体" w:eastAsia="宋体" w:hint="default"/>
                <w:w w:val="100"/>
                <w:sz w:val="21"/>
                <w:szCs w:val="21"/>
              </w:rPr>
              <w:t> </w:t>
            </w:r>
            <w:r>
              <w:rPr>
                <w:rFonts w:ascii="宋体" w:hAnsi="宋体" w:cs="宋体" w:eastAsia="宋体" w:hint="default"/>
                <w:sz w:val="21"/>
                <w:szCs w:val="21"/>
              </w:rPr>
              <w:t>异议，华越置业不再对该案判决提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起再审，其他再审被申请人不持异</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议；华越置业在再审调解书生效之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日起向本公司一次性补偿再审案件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费用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万元，逾期支付按年利率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支付利息。</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日地</w:t>
            </w:r>
            <w:r>
              <w:rPr>
                <w:rFonts w:ascii="宋体" w:hAnsi="宋体" w:cs="宋体" w:eastAsia="宋体" w:hint="default"/>
                <w:spacing w:val="-101"/>
                <w:sz w:val="21"/>
                <w:szCs w:val="21"/>
              </w:rPr>
              <w:t> </w:t>
            </w:r>
            <w:r>
              <w:rPr>
                <w:rFonts w:ascii="宋体" w:hAnsi="宋体" w:cs="宋体" w:eastAsia="宋体" w:hint="default"/>
                <w:spacing w:val="36"/>
                <w:sz w:val="21"/>
                <w:szCs w:val="21"/>
              </w:rPr>
              <w:t>太阳</w:t>
            </w:r>
            <w:r>
              <w:rPr>
                <w:rFonts w:ascii="宋体" w:hAnsi="宋体" w:cs="宋体" w:eastAsia="宋体" w:hint="default"/>
                <w:spacing w:val="-101"/>
                <w:sz w:val="21"/>
                <w:szCs w:val="21"/>
              </w:rPr>
              <w:t> </w:t>
            </w:r>
            <w:r>
              <w:rPr>
                <w:rFonts w:ascii="宋体" w:hAnsi="宋体" w:cs="宋体" w:eastAsia="宋体" w:hint="default"/>
                <w:spacing w:val="36"/>
                <w:sz w:val="21"/>
                <w:szCs w:val="21"/>
              </w:rPr>
              <w:t>能电</w:t>
            </w:r>
            <w:r>
              <w:rPr>
                <w:rFonts w:ascii="宋体" w:hAnsi="宋体" w:cs="宋体" w:eastAsia="宋体" w:hint="default"/>
                <w:spacing w:val="-101"/>
                <w:sz w:val="21"/>
                <w:szCs w:val="21"/>
              </w:rPr>
              <w:t> </w:t>
            </w:r>
            <w:r>
              <w:rPr>
                <w:rFonts w:ascii="宋体" w:hAnsi="宋体" w:cs="宋体" w:eastAsia="宋体" w:hint="default"/>
                <w:spacing w:val="36"/>
                <w:sz w:val="21"/>
                <w:szCs w:val="21"/>
              </w:rPr>
              <w:t>力有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本公司与日地太阳能因工程项目造</w:t>
            </w:r>
          </w:p>
          <w:p>
            <w:pPr>
              <w:pStyle w:val="TableParagraph"/>
              <w:spacing w:line="232" w:lineRule="auto" w:before="6"/>
              <w:ind w:left="103" w:right="98"/>
              <w:jc w:val="both"/>
              <w:rPr>
                <w:rFonts w:ascii="Times New Roman" w:hAnsi="Times New Roman" w:cs="Times New Roman" w:eastAsia="Times New Roman" w:hint="default"/>
                <w:sz w:val="21"/>
                <w:szCs w:val="21"/>
              </w:rPr>
            </w:pPr>
            <w:r>
              <w:rPr>
                <w:rFonts w:ascii="宋体" w:hAnsi="宋体" w:cs="宋体" w:eastAsia="宋体" w:hint="default"/>
                <w:spacing w:val="15"/>
                <w:sz w:val="21"/>
                <w:szCs w:val="21"/>
              </w:rPr>
              <w:t>价结算存在差异纠纷，本公司于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月向北仑区人民法院提起</w:t>
            </w:r>
            <w:r>
              <w:rPr>
                <w:rFonts w:ascii="宋体" w:hAnsi="宋体" w:cs="宋体" w:eastAsia="宋体" w:hint="default"/>
                <w:w w:val="100"/>
                <w:sz w:val="21"/>
                <w:szCs w:val="21"/>
              </w:rPr>
              <w:t> </w:t>
            </w:r>
            <w:r>
              <w:rPr>
                <w:rFonts w:ascii="宋体" w:hAnsi="宋体" w:cs="宋体" w:eastAsia="宋体" w:hint="default"/>
                <w:sz w:val="21"/>
                <w:szCs w:val="21"/>
              </w:rPr>
              <w:t>诉讼，并申请财产保全。北仑区人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民法院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月下达保全告知</w:t>
            </w:r>
            <w:r>
              <w:rPr>
                <w:rFonts w:ascii="宋体" w:hAnsi="宋体" w:cs="宋体" w:eastAsia="宋体" w:hint="default"/>
                <w:w w:val="100"/>
                <w:sz w:val="21"/>
                <w:szCs w:val="21"/>
              </w:rPr>
              <w:t> </w:t>
            </w:r>
            <w:r>
              <w:rPr>
                <w:rFonts w:ascii="宋体" w:hAnsi="宋体" w:cs="宋体" w:eastAsia="宋体" w:hint="default"/>
                <w:sz w:val="21"/>
                <w:szCs w:val="21"/>
              </w:rPr>
              <w:t>书，已查封、扣押、冻结了日地太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阳能 </w:t>
            </w:r>
            <w:r>
              <w:rPr>
                <w:rFonts w:ascii="Times New Roman" w:hAnsi="Times New Roman" w:cs="Times New Roman" w:eastAsia="Times New Roman" w:hint="default"/>
                <w:sz w:val="21"/>
                <w:szCs w:val="21"/>
              </w:rPr>
              <w:t>46,516,193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元等值财产。</w:t>
            </w:r>
            <w:r>
              <w:rPr>
                <w:rFonts w:ascii="Times New Roman" w:hAnsi="Times New Roman" w:cs="Times New Roman" w:eastAsia="Times New Roman" w:hint="default"/>
                <w:sz w:val="21"/>
                <w:szCs w:val="21"/>
              </w:rPr>
              <w:t>2017</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月日地太阳能向北仑区人民法</w:t>
            </w:r>
            <w:r>
              <w:rPr>
                <w:rFonts w:ascii="宋体" w:hAnsi="宋体" w:cs="宋体" w:eastAsia="宋体" w:hint="default"/>
                <w:w w:val="100"/>
                <w:sz w:val="21"/>
                <w:szCs w:val="21"/>
              </w:rPr>
              <w:t> </w:t>
            </w:r>
            <w:r>
              <w:rPr>
                <w:rFonts w:ascii="宋体" w:hAnsi="宋体" w:cs="宋体" w:eastAsia="宋体" w:hint="default"/>
                <w:sz w:val="21"/>
                <w:szCs w:val="21"/>
              </w:rPr>
              <w:t>院提起诉讼，要求本公司支付修复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18,967,054 </w:t>
            </w:r>
            <w:r>
              <w:rPr>
                <w:rFonts w:ascii="宋体" w:hAnsi="宋体" w:cs="宋体" w:eastAsia="宋体" w:hint="default"/>
                <w:sz w:val="21"/>
                <w:szCs w:val="21"/>
              </w:rPr>
              <w:t>元，现已受理。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46,516,193.04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382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南南</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因债务纠纷，经上海融建投资发展</w:t>
            </w:r>
          </w:p>
          <w:p>
            <w:pPr>
              <w:pStyle w:val="TableParagraph"/>
              <w:spacing w:line="232" w:lineRule="auto" w:before="6"/>
              <w:ind w:left="103" w:right="98"/>
              <w:jc w:val="both"/>
              <w:rPr>
                <w:rFonts w:ascii="宋体" w:hAnsi="宋体" w:cs="宋体" w:eastAsia="宋体" w:hint="default"/>
                <w:sz w:val="21"/>
                <w:szCs w:val="21"/>
              </w:rPr>
            </w:pPr>
            <w:r>
              <w:rPr>
                <w:rFonts w:ascii="宋体" w:hAnsi="宋体" w:cs="宋体" w:eastAsia="宋体" w:hint="default"/>
                <w:sz w:val="21"/>
                <w:szCs w:val="21"/>
              </w:rPr>
              <w:t>有限公司申请，宁波市镇海区人民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法院已裁定受理宁波南南置业有限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公司破产清算，并指定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世博花园</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房地产企业债务危机应急处置工作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领导小组为宁波南南置业有限公司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的破产管理人。因破产管理人未核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定公司债权，为确保公司利益，公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司于</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月向宁波市镇海区人</w:t>
            </w:r>
            <w:r>
              <w:rPr>
                <w:rFonts w:ascii="宋体" w:hAnsi="宋体" w:cs="宋体" w:eastAsia="宋体" w:hint="default"/>
                <w:w w:val="100"/>
                <w:sz w:val="21"/>
                <w:szCs w:val="21"/>
              </w:rPr>
              <w:t> </w:t>
            </w:r>
            <w:r>
              <w:rPr>
                <w:rFonts w:ascii="宋体" w:hAnsi="宋体" w:cs="宋体" w:eastAsia="宋体" w:hint="default"/>
                <w:sz w:val="21"/>
                <w:szCs w:val="21"/>
              </w:rPr>
              <w:t>民法院提起诉讼要求确认公司破产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债权。</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月镇海区人民法院</w:t>
            </w:r>
            <w:r>
              <w:rPr>
                <w:rFonts w:ascii="宋体" w:hAnsi="宋体" w:cs="宋体" w:eastAsia="宋体" w:hint="default"/>
                <w:w w:val="100"/>
                <w:sz w:val="21"/>
                <w:szCs w:val="21"/>
              </w:rPr>
              <w:t> </w:t>
            </w:r>
            <w:r>
              <w:rPr>
                <w:rFonts w:ascii="宋体" w:hAnsi="宋体" w:cs="宋体" w:eastAsia="宋体" w:hint="default"/>
                <w:sz w:val="21"/>
                <w:szCs w:val="21"/>
              </w:rPr>
              <w:t>裁定确认南南置业尚应支付本公司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6"/>
                <w:sz w:val="21"/>
                <w:szCs w:val="21"/>
              </w:rPr>
              <w:t>工程款</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41,553,543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2"/>
                <w:sz w:val="21"/>
                <w:szCs w:val="21"/>
              </w:rPr>
              <w:t> </w:t>
            </w:r>
            <w:r>
              <w:rPr>
                <w:rFonts w:ascii="宋体" w:hAnsi="宋体" w:cs="宋体" w:eastAsia="宋体" w:hint="default"/>
                <w:sz w:val="21"/>
                <w:szCs w:val="21"/>
              </w:rPr>
              <w:t>一</w:t>
            </w:r>
            <w:r>
              <w:rPr>
                <w:rFonts w:ascii="宋体" w:hAnsi="宋体" w:cs="宋体" w:eastAsia="宋体" w:hint="default"/>
                <w:spacing w:val="-79"/>
                <w:sz w:val="21"/>
                <w:szCs w:val="21"/>
              </w:rPr>
              <w:t> </w:t>
            </w:r>
            <w:r>
              <w:rPr>
                <w:rFonts w:ascii="宋体" w:hAnsi="宋体" w:cs="宋体" w:eastAsia="宋体" w:hint="default"/>
                <w:sz w:val="21"/>
                <w:szCs w:val="21"/>
              </w:rPr>
              <w:t>期</w:t>
            </w:r>
            <w:r>
              <w:rPr>
                <w:rFonts w:ascii="宋体" w:hAnsi="宋体" w:cs="宋体" w:eastAsia="宋体" w:hint="default"/>
                <w:spacing w:val="-79"/>
                <w:sz w:val="21"/>
                <w:szCs w:val="21"/>
              </w:rPr>
              <w:t> </w:t>
            </w:r>
            <w:r>
              <w:rPr>
                <w:rFonts w:ascii="宋体" w:hAnsi="宋体" w:cs="宋体" w:eastAsia="宋体" w:hint="default"/>
                <w:spacing w:val="-4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127,469,193</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9"/>
                <w:w w:val="100"/>
                <w:sz w:val="21"/>
                <w:szCs w:val="21"/>
              </w:rPr>
              <w:t>元（二期），公司有权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169,022,736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4" w:lineRule="exact"/>
        <w:jc w:val="left"/>
        <w:rPr>
          <w:rFonts w:ascii="宋体" w:hAnsi="宋体" w:cs="宋体" w:eastAsia="宋体" w:hint="default"/>
          <w:sz w:val="21"/>
          <w:szCs w:val="21"/>
        </w:rPr>
        <w:sectPr>
          <w:pgSz w:w="11910" w:h="16840"/>
          <w:pgMar w:header="880" w:footer="1195"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就工程款以一期、二期工程拍卖所</w:t>
            </w:r>
          </w:p>
          <w:p>
            <w:pPr>
              <w:pStyle w:val="TableParagraph"/>
              <w:spacing w:line="230" w:lineRule="auto" w:before="8"/>
              <w:ind w:left="103"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得款项优先受偿；利息可按银行同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0"/>
                <w:sz w:val="21"/>
                <w:szCs w:val="21"/>
              </w:rPr>
              <w:t>期贷款利率计算，一期</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2,294,679</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z w:val="21"/>
                <w:szCs w:val="21"/>
              </w:rPr>
              <w:t>元，二期 </w:t>
            </w:r>
            <w:r>
              <w:rPr>
                <w:rFonts w:ascii="Times New Roman" w:hAnsi="Times New Roman" w:cs="Times New Roman" w:eastAsia="Times New Roman" w:hint="default"/>
                <w:sz w:val="21"/>
                <w:szCs w:val="21"/>
              </w:rPr>
              <w:t>4,058,047  </w:t>
            </w:r>
            <w:r>
              <w:rPr>
                <w:rFonts w:ascii="宋体" w:hAnsi="宋体" w:cs="宋体" w:eastAsia="宋体" w:hint="default"/>
                <w:sz w:val="21"/>
                <w:szCs w:val="21"/>
              </w:rPr>
              <w:t>元。截止</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2018</w:t>
            </w:r>
          </w:p>
          <w:p>
            <w:pPr>
              <w:pStyle w:val="TableParagraph"/>
              <w:spacing w:line="274" w:lineRule="exact" w:before="8"/>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月，累计收到破产债权</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金地</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因金地置业拖欠工程款，公司向鄞</w:t>
            </w:r>
          </w:p>
          <w:p>
            <w:pPr>
              <w:pStyle w:val="TableParagraph"/>
              <w:spacing w:line="235" w:lineRule="auto" w:before="3"/>
              <w:ind w:left="103" w:right="102"/>
              <w:jc w:val="both"/>
              <w:rPr>
                <w:rFonts w:ascii="宋体" w:hAnsi="宋体" w:cs="宋体" w:eastAsia="宋体" w:hint="default"/>
                <w:sz w:val="21"/>
                <w:szCs w:val="21"/>
              </w:rPr>
            </w:pPr>
            <w:r>
              <w:rPr>
                <w:rFonts w:ascii="宋体" w:hAnsi="宋体" w:cs="宋体" w:eastAsia="宋体" w:hint="default"/>
                <w:sz w:val="21"/>
                <w:szCs w:val="21"/>
              </w:rPr>
              <w:t>州区人民法院提起诉讼，一审法院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判决金地置业支付宁波建工工程款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16,166,538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元及相应利息，判决后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双方均上诉，二审法院判决维持原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判，公司已申请强制执行，现执行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16,166,538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阶</w:t>
            </w:r>
            <w:r>
              <w:rPr>
                <w:rFonts w:ascii="宋体" w:hAnsi="宋体" w:cs="宋体" w:eastAsia="宋体" w:hint="default"/>
                <w:w w:val="100"/>
                <w:sz w:val="21"/>
                <w:szCs w:val="21"/>
              </w:rPr>
              <w:t> </w:t>
            </w:r>
            <w:r>
              <w:rPr>
                <w:rFonts w:ascii="宋体" w:hAnsi="宋体" w:cs="宋体" w:eastAsia="宋体" w:hint="default"/>
                <w:sz w:val="21"/>
                <w:szCs w:val="21"/>
              </w:rPr>
              <w:t>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327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新园</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因新园置业拖欠工程款，公司向法</w:t>
            </w:r>
          </w:p>
          <w:p>
            <w:pPr>
              <w:pStyle w:val="TableParagraph"/>
              <w:spacing w:line="235" w:lineRule="auto" w:before="4"/>
              <w:ind w:left="103" w:right="98"/>
              <w:jc w:val="both"/>
              <w:rPr>
                <w:rFonts w:ascii="宋体" w:hAnsi="宋体" w:cs="宋体" w:eastAsia="宋体" w:hint="default"/>
                <w:sz w:val="21"/>
                <w:szCs w:val="21"/>
              </w:rPr>
            </w:pPr>
            <w:r>
              <w:rPr>
                <w:rFonts w:ascii="宋体" w:hAnsi="宋体" w:cs="宋体" w:eastAsia="宋体" w:hint="default"/>
                <w:sz w:val="21"/>
                <w:szCs w:val="21"/>
              </w:rPr>
              <w:t>院提起诉讼，宁波市江北区人民法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院于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月立案。</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月宁波市江北区人民法院下发民事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判决书，判决双方《建设工程施工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合同》解除，并判决新园置业于判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决生效之日起三十日内支付本公司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工程款 </w:t>
            </w:r>
            <w:r>
              <w:rPr>
                <w:rFonts w:ascii="Times New Roman" w:hAnsi="Times New Roman" w:cs="Times New Roman" w:eastAsia="Times New Roman" w:hint="default"/>
                <w:sz w:val="21"/>
                <w:szCs w:val="21"/>
              </w:rPr>
              <w:t>10,501,657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元及相应利息，</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spacing w:val="-45"/>
                <w:sz w:val="21"/>
                <w:szCs w:val="21"/>
              </w:rPr>
              <w:t> </w:t>
            </w:r>
            <w:r>
              <w:rPr>
                <w:rFonts w:ascii="宋体" w:hAnsi="宋体" w:cs="宋体" w:eastAsia="宋体" w:hint="default"/>
                <w:sz w:val="21"/>
                <w:szCs w:val="21"/>
              </w:rPr>
              <w:t>判</w:t>
            </w:r>
            <w:r>
              <w:rPr>
                <w:rFonts w:ascii="宋体" w:hAnsi="宋体" w:cs="宋体" w:eastAsia="宋体" w:hint="default"/>
                <w:spacing w:val="-45"/>
                <w:sz w:val="21"/>
                <w:szCs w:val="21"/>
              </w:rPr>
              <w:t> </w:t>
            </w:r>
            <w:r>
              <w:rPr>
                <w:rFonts w:ascii="宋体" w:hAnsi="宋体" w:cs="宋体" w:eastAsia="宋体" w:hint="default"/>
                <w:sz w:val="21"/>
                <w:szCs w:val="21"/>
              </w:rPr>
              <w:t>决</w:t>
            </w:r>
            <w:r>
              <w:rPr>
                <w:rFonts w:ascii="宋体" w:hAnsi="宋体" w:cs="宋体" w:eastAsia="宋体" w:hint="default"/>
                <w:spacing w:val="-45"/>
                <w:sz w:val="21"/>
                <w:szCs w:val="21"/>
              </w:rPr>
              <w:t> </w:t>
            </w:r>
            <w:r>
              <w:rPr>
                <w:rFonts w:ascii="宋体" w:hAnsi="宋体" w:cs="宋体" w:eastAsia="宋体" w:hint="default"/>
                <w:sz w:val="21"/>
                <w:szCs w:val="21"/>
              </w:rPr>
              <w:t>本</w:t>
            </w:r>
            <w:r>
              <w:rPr>
                <w:rFonts w:ascii="宋体" w:hAnsi="宋体" w:cs="宋体" w:eastAsia="宋体" w:hint="default"/>
                <w:spacing w:val="-45"/>
                <w:sz w:val="21"/>
                <w:szCs w:val="21"/>
              </w:rPr>
              <w:t> </w:t>
            </w:r>
            <w:r>
              <w:rPr>
                <w:rFonts w:ascii="宋体" w:hAnsi="宋体" w:cs="宋体" w:eastAsia="宋体" w:hint="default"/>
                <w:sz w:val="21"/>
                <w:szCs w:val="21"/>
              </w:rPr>
              <w:t>公</w:t>
            </w:r>
            <w:r>
              <w:rPr>
                <w:rFonts w:ascii="宋体" w:hAnsi="宋体" w:cs="宋体" w:eastAsia="宋体" w:hint="default"/>
                <w:spacing w:val="-47"/>
                <w:sz w:val="21"/>
                <w:szCs w:val="21"/>
              </w:rPr>
              <w:t> </w:t>
            </w:r>
            <w:r>
              <w:rPr>
                <w:rFonts w:ascii="宋体" w:hAnsi="宋体" w:cs="宋体" w:eastAsia="宋体" w:hint="default"/>
                <w:sz w:val="21"/>
                <w:szCs w:val="21"/>
              </w:rPr>
              <w:t>司</w:t>
            </w:r>
            <w:r>
              <w:rPr>
                <w:rFonts w:ascii="宋体" w:hAnsi="宋体" w:cs="宋体" w:eastAsia="宋体" w:hint="default"/>
                <w:spacing w:val="-45"/>
                <w:sz w:val="21"/>
                <w:szCs w:val="21"/>
              </w:rPr>
              <w:t> </w:t>
            </w:r>
            <w:r>
              <w:rPr>
                <w:rFonts w:ascii="宋体" w:hAnsi="宋体" w:cs="宋体" w:eastAsia="宋体" w:hint="default"/>
                <w:sz w:val="21"/>
                <w:szCs w:val="21"/>
              </w:rPr>
              <w:t>对</w:t>
            </w:r>
            <w:r>
              <w:rPr>
                <w:rFonts w:ascii="宋体" w:hAnsi="宋体" w:cs="宋体" w:eastAsia="宋体" w:hint="default"/>
                <w:spacing w:val="-45"/>
                <w:sz w:val="21"/>
                <w:szCs w:val="21"/>
              </w:rPr>
              <w:t> </w:t>
            </w:r>
            <w:r>
              <w:rPr>
                <w:rFonts w:ascii="宋体" w:hAnsi="宋体" w:cs="宋体" w:eastAsia="宋体" w:hint="default"/>
                <w:sz w:val="21"/>
                <w:szCs w:val="21"/>
              </w:rPr>
              <w:t>涉</w:t>
            </w:r>
            <w:r>
              <w:rPr>
                <w:rFonts w:ascii="宋体" w:hAnsi="宋体" w:cs="宋体" w:eastAsia="宋体" w:hint="default"/>
                <w:spacing w:val="-45"/>
                <w:sz w:val="21"/>
                <w:szCs w:val="21"/>
              </w:rPr>
              <w:t> </w:t>
            </w:r>
            <w:r>
              <w:rPr>
                <w:rFonts w:ascii="宋体" w:hAnsi="宋体" w:cs="宋体" w:eastAsia="宋体" w:hint="default"/>
                <w:sz w:val="21"/>
                <w:szCs w:val="21"/>
              </w:rPr>
              <w:t>案</w:t>
            </w:r>
            <w:r>
              <w:rPr>
                <w:rFonts w:ascii="宋体" w:hAnsi="宋体" w:cs="宋体" w:eastAsia="宋体" w:hint="default"/>
                <w:spacing w:val="-47"/>
                <w:sz w:val="21"/>
                <w:szCs w:val="21"/>
              </w:rPr>
              <w:t> </w:t>
            </w:r>
            <w:r>
              <w:rPr>
                <w:rFonts w:ascii="宋体" w:hAnsi="宋体" w:cs="宋体" w:eastAsia="宋体" w:hint="default"/>
                <w:sz w:val="21"/>
                <w:szCs w:val="21"/>
              </w:rPr>
              <w:t>工</w:t>
            </w:r>
            <w:r>
              <w:rPr>
                <w:rFonts w:ascii="宋体" w:hAnsi="宋体" w:cs="宋体" w:eastAsia="宋体" w:hint="default"/>
                <w:spacing w:val="-45"/>
                <w:sz w:val="21"/>
                <w:szCs w:val="21"/>
              </w:rPr>
              <w:t> </w:t>
            </w:r>
            <w:r>
              <w:rPr>
                <w:rFonts w:ascii="宋体" w:hAnsi="宋体" w:cs="宋体" w:eastAsia="宋体" w:hint="default"/>
                <w:sz w:val="21"/>
                <w:szCs w:val="21"/>
              </w:rPr>
              <w:t>程</w:t>
            </w:r>
            <w:r>
              <w:rPr>
                <w:rFonts w:ascii="宋体" w:hAnsi="宋体" w:cs="宋体" w:eastAsia="宋体" w:hint="default"/>
                <w:spacing w:val="-45"/>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10,501,657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元的范围内享有优先受</w:t>
            </w:r>
          </w:p>
          <w:p>
            <w:pPr>
              <w:pStyle w:val="TableParagraph"/>
              <w:spacing w:line="272" w:lineRule="exact" w:before="11"/>
              <w:ind w:left="103" w:right="99"/>
              <w:jc w:val="both"/>
              <w:rPr>
                <w:rFonts w:ascii="宋体" w:hAnsi="宋体" w:cs="宋体" w:eastAsia="宋体" w:hint="default"/>
                <w:sz w:val="21"/>
                <w:szCs w:val="21"/>
              </w:rPr>
            </w:pPr>
            <w:r>
              <w:rPr>
                <w:rFonts w:ascii="宋体" w:hAnsi="宋体" w:cs="宋体" w:eastAsia="宋体" w:hint="default"/>
                <w:spacing w:val="-8"/>
                <w:sz w:val="21"/>
                <w:szCs w:val="21"/>
              </w:rPr>
              <w:t>偿权。截止</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7"/>
                <w:sz w:val="21"/>
                <w:szCs w:val="21"/>
              </w:rPr>
              <w:t>月，该案已执</w:t>
            </w:r>
            <w:r>
              <w:rPr>
                <w:rFonts w:ascii="宋体" w:hAnsi="宋体" w:cs="宋体" w:eastAsia="宋体" w:hint="default"/>
                <w:w w:val="100"/>
                <w:sz w:val="21"/>
                <w:szCs w:val="21"/>
              </w:rPr>
              <w:t> </w:t>
            </w:r>
            <w:r>
              <w:rPr>
                <w:rFonts w:ascii="宋体" w:hAnsi="宋体" w:cs="宋体" w:eastAsia="宋体" w:hint="default"/>
                <w:sz w:val="21"/>
                <w:szCs w:val="21"/>
              </w:rPr>
              <w:t>行完毕。</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10,501,657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执</w:t>
            </w:r>
          </w:p>
          <w:p>
            <w:pPr>
              <w:pStyle w:val="TableParagraph"/>
              <w:spacing w:line="237" w:lineRule="auto" w:before="2"/>
              <w:ind w:left="103" w:right="242"/>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完毕</w:t>
            </w:r>
          </w:p>
        </w:tc>
      </w:tr>
      <w:tr>
        <w:trPr>
          <w:trHeight w:val="4640"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建乐</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欢乐</w:t>
            </w:r>
            <w:r>
              <w:rPr>
                <w:rFonts w:ascii="宋体" w:hAnsi="宋体" w:cs="宋体" w:eastAsia="宋体" w:hint="default"/>
                <w:spacing w:val="-101"/>
                <w:sz w:val="21"/>
                <w:szCs w:val="21"/>
              </w:rPr>
              <w:t> </w:t>
            </w:r>
            <w:r>
              <w:rPr>
                <w:rFonts w:ascii="宋体" w:hAnsi="宋体" w:cs="宋体" w:eastAsia="宋体" w:hint="default"/>
                <w:spacing w:val="36"/>
                <w:sz w:val="21"/>
                <w:szCs w:val="21"/>
              </w:rPr>
              <w:t>购广</w:t>
            </w:r>
            <w:r>
              <w:rPr>
                <w:rFonts w:ascii="宋体" w:hAnsi="宋体" w:cs="宋体" w:eastAsia="宋体" w:hint="default"/>
                <w:spacing w:val="-101"/>
                <w:sz w:val="21"/>
                <w:szCs w:val="21"/>
              </w:rPr>
              <w:t> </w:t>
            </w:r>
            <w:r>
              <w:rPr>
                <w:rFonts w:ascii="宋体" w:hAnsi="宋体" w:cs="宋体" w:eastAsia="宋体" w:hint="default"/>
                <w:spacing w:val="36"/>
                <w:sz w:val="21"/>
                <w:szCs w:val="21"/>
              </w:rPr>
              <w:t>场开</w:t>
            </w:r>
            <w:r>
              <w:rPr>
                <w:rFonts w:ascii="宋体" w:hAnsi="宋体" w:cs="宋体" w:eastAsia="宋体" w:hint="default"/>
                <w:spacing w:val="-101"/>
                <w:sz w:val="21"/>
                <w:szCs w:val="21"/>
              </w:rPr>
              <w:t> </w:t>
            </w:r>
            <w:r>
              <w:rPr>
                <w:rFonts w:ascii="宋体" w:hAnsi="宋体" w:cs="宋体" w:eastAsia="宋体" w:hint="default"/>
                <w:spacing w:val="36"/>
                <w:sz w:val="21"/>
                <w:szCs w:val="21"/>
              </w:rPr>
              <w:t>发有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因宁波欢乐购广场开发有限公司逾</w:t>
            </w:r>
          </w:p>
          <w:p>
            <w:pPr>
              <w:pStyle w:val="TableParagraph"/>
              <w:spacing w:line="232" w:lineRule="auto" w:before="5"/>
              <w:ind w:left="103" w:right="31"/>
              <w:jc w:val="left"/>
              <w:rPr>
                <w:rFonts w:ascii="宋体" w:hAnsi="宋体" w:cs="宋体" w:eastAsia="宋体" w:hint="default"/>
                <w:sz w:val="21"/>
                <w:szCs w:val="21"/>
              </w:rPr>
            </w:pPr>
            <w:r>
              <w:rPr>
                <w:rFonts w:ascii="宋体" w:hAnsi="宋体" w:cs="宋体" w:eastAsia="宋体" w:hint="default"/>
                <w:spacing w:val="2"/>
                <w:sz w:val="21"/>
                <w:szCs w:val="21"/>
              </w:rPr>
              <w:t>期支付</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欢乐购广场桩基工程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的工</w:t>
            </w:r>
            <w:r>
              <w:rPr>
                <w:rFonts w:ascii="宋体" w:hAnsi="宋体" w:cs="宋体" w:eastAsia="宋体" w:hint="default"/>
                <w:spacing w:val="-79"/>
                <w:sz w:val="21"/>
                <w:szCs w:val="21"/>
              </w:rPr>
              <w:t> </w:t>
            </w:r>
            <w:r>
              <w:rPr>
                <w:rFonts w:ascii="宋体" w:hAnsi="宋体" w:cs="宋体" w:eastAsia="宋体" w:hint="default"/>
                <w:sz w:val="21"/>
                <w:szCs w:val="21"/>
              </w:rPr>
              <w:t>程款，建工建乐向宁波市鄞州区人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民法院起诉，要求：</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、欢乐购公司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支付工程款 </w:t>
            </w:r>
            <w:r>
              <w:rPr>
                <w:rFonts w:ascii="Times New Roman" w:hAnsi="Times New Roman" w:cs="Times New Roman" w:eastAsia="Times New Roman" w:hint="default"/>
                <w:sz w:val="21"/>
                <w:szCs w:val="21"/>
              </w:rPr>
              <w:t>30,296,623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元及逾期利</w:t>
            </w:r>
            <w:r>
              <w:rPr>
                <w:rFonts w:ascii="宋体" w:hAnsi="宋体" w:cs="宋体" w:eastAsia="宋体" w:hint="default"/>
                <w:w w:val="100"/>
                <w:sz w:val="21"/>
                <w:szCs w:val="21"/>
              </w:rPr>
              <w:t> </w:t>
            </w:r>
            <w:r>
              <w:rPr>
                <w:rFonts w:ascii="宋体" w:hAnsi="宋体" w:cs="宋体" w:eastAsia="宋体" w:hint="default"/>
                <w:spacing w:val="-4"/>
                <w:sz w:val="21"/>
                <w:szCs w:val="21"/>
              </w:rPr>
              <w:t>息；</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、建工建乐对</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欢乐购广场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工</w:t>
            </w:r>
            <w:r>
              <w:rPr>
                <w:rFonts w:ascii="宋体" w:hAnsi="宋体" w:cs="宋体" w:eastAsia="宋体" w:hint="default"/>
                <w:spacing w:val="-85"/>
                <w:sz w:val="21"/>
                <w:szCs w:val="21"/>
              </w:rPr>
              <w:t> </w:t>
            </w:r>
            <w:r>
              <w:rPr>
                <w:rFonts w:ascii="宋体" w:hAnsi="宋体" w:cs="宋体" w:eastAsia="宋体" w:hint="default"/>
                <w:sz w:val="21"/>
                <w:szCs w:val="21"/>
              </w:rPr>
              <w:t>程折价或以拍卖所得价款在前两款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诉请范围内享有建设工程价款优先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受偿权等。鄞州区人民法院已受理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此案并对该项目土地及银行账户一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并予以查封。欢乐购公司提出反诉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要求本公司支付维修费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经宁波市鄞州区人民法院调解，双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方达成和解协议，宁波市鄞州区人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民法院于</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月下发民事调解</w:t>
            </w:r>
          </w:p>
          <w:p>
            <w:pPr>
              <w:pStyle w:val="TableParagraph"/>
              <w:spacing w:line="274" w:lineRule="exact" w:before="8"/>
              <w:ind w:left="103" w:right="99"/>
              <w:jc w:val="left"/>
              <w:rPr>
                <w:rFonts w:ascii="宋体" w:hAnsi="宋体" w:cs="宋体" w:eastAsia="宋体" w:hint="default"/>
                <w:sz w:val="21"/>
                <w:szCs w:val="21"/>
              </w:rPr>
            </w:pPr>
            <w:r>
              <w:rPr>
                <w:rFonts w:ascii="宋体" w:hAnsi="宋体" w:cs="宋体" w:eastAsia="宋体" w:hint="default"/>
                <w:sz w:val="21"/>
                <w:szCs w:val="21"/>
              </w:rPr>
              <w:t>书，截至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月，公司已收</w:t>
            </w:r>
            <w:r>
              <w:rPr>
                <w:rFonts w:ascii="宋体" w:hAnsi="宋体" w:cs="宋体" w:eastAsia="宋体" w:hint="default"/>
                <w:w w:val="100"/>
                <w:sz w:val="21"/>
                <w:szCs w:val="21"/>
              </w:rPr>
              <w:t> </w:t>
            </w:r>
            <w:r>
              <w:rPr>
                <w:rFonts w:ascii="宋体" w:hAnsi="宋体" w:cs="宋体" w:eastAsia="宋体" w:hint="default"/>
                <w:sz w:val="21"/>
                <w:szCs w:val="21"/>
              </w:rPr>
              <w:t>到调解书确认款项，该案已完结。</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30,296,623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执行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完毕</w:t>
            </w:r>
          </w:p>
        </w:tc>
      </w:tr>
      <w:tr>
        <w:trPr>
          <w:trHeight w:val="218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建乐</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奉化</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市东</w:t>
            </w:r>
            <w:r>
              <w:rPr>
                <w:rFonts w:ascii="宋体" w:hAnsi="宋体" w:cs="宋体" w:eastAsia="宋体" w:hint="default"/>
                <w:spacing w:val="-101"/>
                <w:sz w:val="21"/>
                <w:szCs w:val="21"/>
              </w:rPr>
              <w:t> </w:t>
            </w:r>
            <w:r>
              <w:rPr>
                <w:rFonts w:ascii="宋体" w:hAnsi="宋体" w:cs="宋体" w:eastAsia="宋体" w:hint="default"/>
                <w:spacing w:val="36"/>
                <w:sz w:val="21"/>
                <w:szCs w:val="21"/>
              </w:rPr>
              <w:t>部新</w:t>
            </w:r>
            <w:r>
              <w:rPr>
                <w:rFonts w:ascii="宋体" w:hAnsi="宋体" w:cs="宋体" w:eastAsia="宋体" w:hint="default"/>
                <w:spacing w:val="-101"/>
                <w:sz w:val="21"/>
                <w:szCs w:val="21"/>
              </w:rPr>
              <w:t> </w:t>
            </w:r>
            <w:r>
              <w:rPr>
                <w:rFonts w:ascii="宋体" w:hAnsi="宋体" w:cs="宋体" w:eastAsia="宋体" w:hint="default"/>
                <w:spacing w:val="36"/>
                <w:sz w:val="21"/>
                <w:szCs w:val="21"/>
              </w:rPr>
              <w:t>城建</w:t>
            </w:r>
            <w:r>
              <w:rPr>
                <w:rFonts w:ascii="宋体" w:hAnsi="宋体" w:cs="宋体" w:eastAsia="宋体" w:hint="default"/>
                <w:spacing w:val="-101"/>
                <w:sz w:val="21"/>
                <w:szCs w:val="21"/>
              </w:rPr>
              <w:t> </w:t>
            </w:r>
            <w:r>
              <w:rPr>
                <w:rFonts w:ascii="宋体" w:hAnsi="宋体" w:cs="宋体" w:eastAsia="宋体" w:hint="default"/>
                <w:spacing w:val="36"/>
                <w:sz w:val="21"/>
                <w:szCs w:val="21"/>
              </w:rPr>
              <w:t>设投</w:t>
            </w:r>
            <w:r>
              <w:rPr>
                <w:rFonts w:ascii="宋体" w:hAnsi="宋体" w:cs="宋体" w:eastAsia="宋体" w:hint="default"/>
                <w:spacing w:val="-101"/>
                <w:sz w:val="21"/>
                <w:szCs w:val="21"/>
              </w:rPr>
              <w:t> </w:t>
            </w:r>
            <w:r>
              <w:rPr>
                <w:rFonts w:ascii="宋体" w:hAnsi="宋体" w:cs="宋体" w:eastAsia="宋体" w:hint="default"/>
                <w:spacing w:val="36"/>
                <w:sz w:val="21"/>
                <w:szCs w:val="21"/>
              </w:rPr>
              <w:t>资有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before="2"/>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年底本公司中标奉化市中央商</w:t>
            </w:r>
          </w:p>
          <w:p>
            <w:pPr>
              <w:pStyle w:val="TableParagraph"/>
              <w:spacing w:line="272" w:lineRule="exact" w:before="19"/>
              <w:ind w:left="103" w:right="99"/>
              <w:jc w:val="both"/>
              <w:rPr>
                <w:rFonts w:ascii="宋体" w:hAnsi="宋体" w:cs="宋体" w:eastAsia="宋体" w:hint="default"/>
                <w:sz w:val="21"/>
                <w:szCs w:val="21"/>
              </w:rPr>
            </w:pPr>
            <w:r>
              <w:rPr>
                <w:rFonts w:ascii="宋体" w:hAnsi="宋体" w:cs="宋体" w:eastAsia="宋体" w:hint="default"/>
                <w:sz w:val="21"/>
                <w:szCs w:val="21"/>
              </w:rPr>
              <w:t>务（中山广场）项目地下室Ⅰ标段</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工程，并于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日签订</w:t>
            </w:r>
          </w:p>
          <w:p>
            <w:pPr>
              <w:pStyle w:val="TableParagraph"/>
              <w:spacing w:line="255"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施</w:t>
            </w:r>
            <w:r>
              <w:rPr>
                <w:rFonts w:ascii="宋体" w:hAnsi="宋体" w:cs="宋体" w:eastAsia="宋体" w:hint="default"/>
                <w:spacing w:val="-3"/>
                <w:w w:val="100"/>
                <w:sz w:val="21"/>
                <w:szCs w:val="21"/>
              </w:rPr>
              <w:t>工</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20</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6"/>
                <w:sz w:val="21"/>
                <w:szCs w:val="21"/>
              </w:rPr>
              <w:t> </w:t>
            </w:r>
            <w:r>
              <w:rPr>
                <w:rFonts w:ascii="宋体" w:hAnsi="宋体" w:cs="宋体" w:eastAsia="宋体" w:hint="default"/>
                <w:w w:val="100"/>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w w:val="100"/>
                <w:sz w:val="21"/>
                <w:szCs w:val="21"/>
              </w:rPr>
              <w:t>12</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月因本公司架构重组，本公司及建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工建乐与奉化市东部新城建设投资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有限公司签订补充协议，约定由建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5"/>
                <w:sz w:val="21"/>
                <w:szCs w:val="21"/>
              </w:rPr>
              <w:t>工建乐履行及继承该合同权利义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26,443,900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4" w:lineRule="exact"/>
        <w:jc w:val="left"/>
        <w:rPr>
          <w:rFonts w:ascii="宋体" w:hAnsi="宋体" w:cs="宋体" w:eastAsia="宋体" w:hint="default"/>
          <w:sz w:val="21"/>
          <w:szCs w:val="21"/>
        </w:rPr>
        <w:sectPr>
          <w:pgSz w:w="11910" w:h="16840"/>
          <w:pgMar w:header="880" w:footer="1195" w:top="1120" w:bottom="1380" w:left="6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11"/>
        <w:gridCol w:w="710"/>
        <w:gridCol w:w="566"/>
        <w:gridCol w:w="566"/>
        <w:gridCol w:w="3404"/>
        <w:gridCol w:w="1699"/>
        <w:gridCol w:w="850"/>
        <w:gridCol w:w="569"/>
        <w:gridCol w:w="708"/>
        <w:gridCol w:w="710"/>
      </w:tblGrid>
      <w:tr>
        <w:trPr>
          <w:trHeight w:val="2734" w:hRule="exact"/>
        </w:trPr>
        <w:tc>
          <w:tcPr>
            <w:tcW w:w="71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务。项目开工后接奉化东部新城公</w:t>
            </w:r>
          </w:p>
          <w:p>
            <w:pPr>
              <w:pStyle w:val="TableParagraph"/>
              <w:spacing w:line="228" w:lineRule="auto" w:before="10"/>
              <w:ind w:left="103" w:right="31"/>
              <w:jc w:val="both"/>
              <w:rPr>
                <w:rFonts w:ascii="宋体" w:hAnsi="宋体" w:cs="宋体" w:eastAsia="宋体" w:hint="default"/>
                <w:sz w:val="21"/>
                <w:szCs w:val="21"/>
              </w:rPr>
            </w:pPr>
            <w:r>
              <w:rPr>
                <w:rFonts w:ascii="宋体" w:hAnsi="宋体" w:cs="宋体" w:eastAsia="宋体" w:hint="default"/>
                <w:sz w:val="21"/>
                <w:szCs w:val="21"/>
              </w:rPr>
              <w:t>司通知暂缓施工，后停工近两年。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月，建工建乐向奉化区人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民法院提起诉讼，要求：</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、判令解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w w:val="100"/>
                <w:sz w:val="21"/>
                <w:szCs w:val="21"/>
              </w:rPr>
              <w:t>除双方</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2014</w:t>
            </w:r>
            <w:r>
              <w:rPr>
                <w:rFonts w:ascii="Times New Roman" w:hAnsi="Times New Roman" w:cs="Times New Roman" w:eastAsia="Times New Roman" w:hint="default"/>
                <w:spacing w:val="-15"/>
                <w:w w:val="100"/>
                <w:sz w:val="21"/>
                <w:szCs w:val="21"/>
              </w:rPr>
              <w:t> </w:t>
            </w:r>
            <w:r>
              <w:rPr>
                <w:rFonts w:ascii="宋体" w:hAnsi="宋体" w:cs="宋体" w:eastAsia="宋体" w:hint="default"/>
                <w:w w:val="100"/>
                <w:sz w:val="21"/>
                <w:szCs w:val="21"/>
              </w:rPr>
              <w:t>年</w:t>
            </w:r>
            <w:r>
              <w:rPr>
                <w:rFonts w:ascii="宋体" w:hAnsi="宋体" w:cs="宋体" w:eastAsia="宋体" w:hint="default"/>
                <w:spacing w:val="-65"/>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2"/>
                <w:w w:val="100"/>
                <w:sz w:val="21"/>
                <w:szCs w:val="21"/>
              </w:rPr>
              <w:t> </w:t>
            </w:r>
            <w:r>
              <w:rPr>
                <w:rFonts w:ascii="宋体" w:hAnsi="宋体" w:cs="宋体" w:eastAsia="宋体" w:hint="default"/>
                <w:w w:val="100"/>
                <w:sz w:val="21"/>
                <w:szCs w:val="21"/>
              </w:rPr>
              <w:t>月</w:t>
            </w:r>
            <w:r>
              <w:rPr>
                <w:rFonts w:ascii="宋体" w:hAnsi="宋体" w:cs="宋体" w:eastAsia="宋体" w:hint="default"/>
                <w:spacing w:val="-67"/>
                <w:w w:val="100"/>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2"/>
                <w:w w:val="100"/>
                <w:sz w:val="21"/>
                <w:szCs w:val="21"/>
              </w:rPr>
              <w:t> </w:t>
            </w:r>
            <w:r>
              <w:rPr>
                <w:rFonts w:ascii="宋体" w:hAnsi="宋体" w:cs="宋体" w:eastAsia="宋体" w:hint="default"/>
                <w:spacing w:val="-20"/>
                <w:w w:val="100"/>
                <w:sz w:val="21"/>
                <w:szCs w:val="21"/>
              </w:rPr>
              <w:t>日签订的《建</w:t>
            </w:r>
            <w:r>
              <w:rPr>
                <w:rFonts w:ascii="宋体" w:hAnsi="宋体" w:cs="宋体" w:eastAsia="宋体" w:hint="default"/>
                <w:w w:val="100"/>
                <w:sz w:val="21"/>
                <w:szCs w:val="21"/>
              </w:rPr>
              <w:t> </w:t>
            </w:r>
            <w:r>
              <w:rPr>
                <w:rFonts w:ascii="宋体" w:hAnsi="宋体" w:cs="宋体" w:eastAsia="宋体" w:hint="default"/>
                <w:spacing w:val="-6"/>
                <w:w w:val="100"/>
                <w:sz w:val="21"/>
                <w:szCs w:val="21"/>
              </w:rPr>
              <w:t>设工程施工合同》；</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、判令奉化市</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东部新城建设投资有限公司因违约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赔偿 </w:t>
            </w:r>
            <w:r>
              <w:rPr>
                <w:rFonts w:ascii="Times New Roman" w:hAnsi="Times New Roman" w:cs="Times New Roman" w:eastAsia="Times New Roman" w:hint="default"/>
                <w:sz w:val="21"/>
                <w:szCs w:val="21"/>
              </w:rPr>
              <w:t>26,443,900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元，并支付相应利</w:t>
            </w:r>
            <w:r>
              <w:rPr>
                <w:rFonts w:ascii="宋体" w:hAnsi="宋体" w:cs="宋体" w:eastAsia="宋体" w:hint="default"/>
                <w:w w:val="100"/>
                <w:sz w:val="21"/>
                <w:szCs w:val="21"/>
              </w:rPr>
              <w:t> </w:t>
            </w:r>
            <w:r>
              <w:rPr>
                <w:rFonts w:ascii="宋体" w:hAnsi="宋体" w:cs="宋体" w:eastAsia="宋体" w:hint="default"/>
                <w:spacing w:val="-2"/>
                <w:sz w:val="21"/>
                <w:szCs w:val="21"/>
              </w:rPr>
              <w:t>息；</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、由被告承担本案诉讼费用。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目前奉化区人民法院审理中。</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康来</w:t>
            </w:r>
            <w:r>
              <w:rPr>
                <w:rFonts w:ascii="宋体" w:hAnsi="宋体" w:cs="宋体" w:eastAsia="宋体" w:hint="default"/>
                <w:spacing w:val="-101"/>
                <w:sz w:val="21"/>
                <w:szCs w:val="21"/>
              </w:rPr>
              <w:t> </w:t>
            </w:r>
            <w:r>
              <w:rPr>
                <w:rFonts w:ascii="宋体" w:hAnsi="宋体" w:cs="宋体" w:eastAsia="宋体" w:hint="default"/>
                <w:spacing w:val="36"/>
                <w:sz w:val="21"/>
                <w:szCs w:val="21"/>
              </w:rPr>
              <w:t>特房</w:t>
            </w:r>
            <w:r>
              <w:rPr>
                <w:rFonts w:ascii="宋体" w:hAnsi="宋体" w:cs="宋体" w:eastAsia="宋体" w:hint="default"/>
                <w:spacing w:val="-101"/>
                <w:sz w:val="21"/>
                <w:szCs w:val="21"/>
              </w:rPr>
              <w:t> </w:t>
            </w:r>
            <w:r>
              <w:rPr>
                <w:rFonts w:ascii="宋体" w:hAnsi="宋体" w:cs="宋体" w:eastAsia="宋体" w:hint="default"/>
                <w:spacing w:val="36"/>
                <w:sz w:val="21"/>
                <w:szCs w:val="21"/>
              </w:rPr>
              <w:t>地产</w:t>
            </w:r>
            <w:r>
              <w:rPr>
                <w:rFonts w:ascii="宋体" w:hAnsi="宋体" w:cs="宋体" w:eastAsia="宋体" w:hint="default"/>
                <w:spacing w:val="-101"/>
                <w:sz w:val="21"/>
                <w:szCs w:val="21"/>
              </w:rPr>
              <w:t> </w:t>
            </w:r>
            <w:r>
              <w:rPr>
                <w:rFonts w:ascii="宋体" w:hAnsi="宋体" w:cs="宋体" w:eastAsia="宋体" w:hint="default"/>
                <w:spacing w:val="36"/>
                <w:sz w:val="21"/>
                <w:szCs w:val="21"/>
              </w:rPr>
              <w:t>开发</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因宁波康来特房地产拖欠工程款，</w:t>
            </w:r>
          </w:p>
          <w:p>
            <w:pPr>
              <w:pStyle w:val="TableParagraph"/>
              <w:spacing w:line="232" w:lineRule="auto" w:before="5"/>
              <w:ind w:left="103" w:right="9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月向镇海区人民法</w:t>
            </w:r>
            <w:r>
              <w:rPr>
                <w:rFonts w:ascii="宋体" w:hAnsi="宋体" w:cs="宋体" w:eastAsia="宋体" w:hint="default"/>
                <w:w w:val="100"/>
                <w:sz w:val="21"/>
                <w:szCs w:val="21"/>
              </w:rPr>
              <w:t> </w:t>
            </w:r>
            <w:r>
              <w:rPr>
                <w:rFonts w:ascii="宋体" w:hAnsi="宋体" w:cs="宋体" w:eastAsia="宋体" w:hint="default"/>
                <w:sz w:val="21"/>
                <w:szCs w:val="21"/>
              </w:rPr>
              <w:t>院起诉，要求解除《建设工程施工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pacing w:val="-29"/>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判</w:t>
            </w:r>
            <w:r>
              <w:rPr>
                <w:rFonts w:ascii="宋体" w:hAnsi="宋体" w:cs="宋体" w:eastAsia="宋体" w:hint="default"/>
                <w:spacing w:val="-59"/>
                <w:sz w:val="21"/>
                <w:szCs w:val="21"/>
              </w:rPr>
              <w:t> </w:t>
            </w:r>
            <w:r>
              <w:rPr>
                <w:rFonts w:ascii="宋体" w:hAnsi="宋体" w:cs="宋体" w:eastAsia="宋体" w:hint="default"/>
                <w:sz w:val="21"/>
                <w:szCs w:val="21"/>
              </w:rPr>
              <w:t>令</w:t>
            </w:r>
            <w:r>
              <w:rPr>
                <w:rFonts w:ascii="宋体" w:hAnsi="宋体" w:cs="宋体" w:eastAsia="宋体" w:hint="default"/>
                <w:spacing w:val="-59"/>
                <w:sz w:val="21"/>
                <w:szCs w:val="21"/>
              </w:rPr>
              <w:t> </w:t>
            </w:r>
            <w:r>
              <w:rPr>
                <w:rFonts w:ascii="宋体" w:hAnsi="宋体" w:cs="宋体" w:eastAsia="宋体" w:hint="default"/>
                <w:sz w:val="21"/>
                <w:szCs w:val="21"/>
              </w:rPr>
              <w:t>被</w:t>
            </w:r>
            <w:r>
              <w:rPr>
                <w:rFonts w:ascii="宋体" w:hAnsi="宋体" w:cs="宋体" w:eastAsia="宋体" w:hint="default"/>
                <w:spacing w:val="-59"/>
                <w:sz w:val="21"/>
                <w:szCs w:val="21"/>
              </w:rPr>
              <w:t> </w:t>
            </w:r>
            <w:r>
              <w:rPr>
                <w:rFonts w:ascii="宋体" w:hAnsi="宋体" w:cs="宋体" w:eastAsia="宋体" w:hint="default"/>
                <w:sz w:val="21"/>
                <w:szCs w:val="21"/>
              </w:rPr>
              <w:t>告</w:t>
            </w:r>
            <w:r>
              <w:rPr>
                <w:rFonts w:ascii="宋体" w:hAnsi="宋体" w:cs="宋体" w:eastAsia="宋体" w:hint="default"/>
                <w:spacing w:val="-59"/>
                <w:sz w:val="21"/>
                <w:szCs w:val="21"/>
              </w:rPr>
              <w:t> </w:t>
            </w:r>
            <w:r>
              <w:rPr>
                <w:rFonts w:ascii="宋体" w:hAnsi="宋体" w:cs="宋体" w:eastAsia="宋体" w:hint="default"/>
                <w:sz w:val="21"/>
                <w:szCs w:val="21"/>
              </w:rPr>
              <w:t>支</w:t>
            </w:r>
            <w:r>
              <w:rPr>
                <w:rFonts w:ascii="宋体" w:hAnsi="宋体" w:cs="宋体" w:eastAsia="宋体" w:hint="default"/>
                <w:spacing w:val="-61"/>
                <w:sz w:val="21"/>
                <w:szCs w:val="21"/>
              </w:rPr>
              <w:t> </w:t>
            </w:r>
            <w:r>
              <w:rPr>
                <w:rFonts w:ascii="宋体" w:hAnsi="宋体" w:cs="宋体" w:eastAsia="宋体" w:hint="default"/>
                <w:sz w:val="21"/>
                <w:szCs w:val="21"/>
              </w:rPr>
              <w:t>付</w:t>
            </w:r>
            <w:r>
              <w:rPr>
                <w:rFonts w:ascii="宋体" w:hAnsi="宋体" w:cs="宋体" w:eastAsia="宋体" w:hint="default"/>
                <w:spacing w:val="-59"/>
                <w:sz w:val="21"/>
                <w:szCs w:val="21"/>
              </w:rPr>
              <w:t> </w:t>
            </w:r>
            <w:r>
              <w:rPr>
                <w:rFonts w:ascii="宋体" w:hAnsi="宋体" w:cs="宋体" w:eastAsia="宋体" w:hint="default"/>
                <w:sz w:val="21"/>
                <w:szCs w:val="21"/>
              </w:rPr>
              <w:t>工</w:t>
            </w:r>
            <w:r>
              <w:rPr>
                <w:rFonts w:ascii="宋体" w:hAnsi="宋体" w:cs="宋体" w:eastAsia="宋体" w:hint="default"/>
                <w:spacing w:val="-59"/>
                <w:sz w:val="21"/>
                <w:szCs w:val="21"/>
              </w:rPr>
              <w:t> </w:t>
            </w:r>
            <w:r>
              <w:rPr>
                <w:rFonts w:ascii="宋体" w:hAnsi="宋体" w:cs="宋体" w:eastAsia="宋体" w:hint="default"/>
                <w:sz w:val="21"/>
                <w:szCs w:val="21"/>
              </w:rPr>
              <w:t>程</w:t>
            </w:r>
            <w:r>
              <w:rPr>
                <w:rFonts w:ascii="宋体" w:hAnsi="宋体" w:cs="宋体" w:eastAsia="宋体" w:hint="default"/>
                <w:spacing w:val="-59"/>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21,042,928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元及相应利息并享有优</w:t>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先受偿权，镇海区人民法院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p>
          <w:p>
            <w:pPr>
              <w:pStyle w:val="TableParagraph"/>
              <w:spacing w:line="272"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5"/>
                <w:sz w:val="21"/>
                <w:szCs w:val="21"/>
              </w:rPr>
              <w:t> </w:t>
            </w:r>
            <w:r>
              <w:rPr>
                <w:rFonts w:ascii="宋体" w:hAnsi="宋体" w:cs="宋体" w:eastAsia="宋体" w:hint="default"/>
                <w:spacing w:val="-3"/>
                <w:sz w:val="21"/>
                <w:szCs w:val="21"/>
              </w:rPr>
              <w:t>月已受理。后公司提交撤诉申请，</w:t>
            </w:r>
          </w:p>
          <w:p>
            <w:pPr>
              <w:pStyle w:val="TableParagraph"/>
              <w:spacing w:line="272" w:lineRule="exact" w:before="19"/>
              <w:ind w:left="103" w:right="105"/>
              <w:jc w:val="both"/>
              <w:rPr>
                <w:rFonts w:ascii="宋体" w:hAnsi="宋体" w:cs="宋体" w:eastAsia="宋体" w:hint="default"/>
                <w:sz w:val="21"/>
                <w:szCs w:val="21"/>
              </w:rPr>
            </w:pPr>
            <w:r>
              <w:rPr>
                <w:rFonts w:ascii="宋体" w:hAnsi="宋体" w:cs="宋体" w:eastAsia="宋体" w:hint="default"/>
                <w:sz w:val="21"/>
                <w:szCs w:val="21"/>
              </w:rPr>
              <w:t>镇海区人民法院于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月裁</w:t>
            </w:r>
            <w:r>
              <w:rPr>
                <w:rFonts w:ascii="宋体" w:hAnsi="宋体" w:cs="宋体" w:eastAsia="宋体" w:hint="default"/>
                <w:spacing w:val="-3"/>
                <w:w w:val="100"/>
                <w:sz w:val="21"/>
                <w:szCs w:val="21"/>
              </w:rPr>
              <w:t> </w:t>
            </w:r>
            <w:r>
              <w:rPr>
                <w:rFonts w:ascii="宋体" w:hAnsi="宋体" w:cs="宋体" w:eastAsia="宋体" w:hint="default"/>
                <w:sz w:val="21"/>
                <w:szCs w:val="21"/>
              </w:rPr>
              <w:t>定准许撤诉。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21,042,928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6"/>
              <w:ind w:left="103" w:right="242"/>
              <w:jc w:val="left"/>
              <w:rPr>
                <w:rFonts w:ascii="宋体" w:hAnsi="宋体" w:cs="宋体" w:eastAsia="宋体" w:hint="default"/>
                <w:sz w:val="21"/>
                <w:szCs w:val="21"/>
              </w:rPr>
            </w:pPr>
            <w:r>
              <w:rPr>
                <w:rFonts w:ascii="宋体" w:hAnsi="宋体" w:cs="宋体" w:eastAsia="宋体" w:hint="default"/>
                <w:sz w:val="21"/>
                <w:szCs w:val="21"/>
              </w:rPr>
              <w:t>撤</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已撤</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诉</w:t>
            </w:r>
          </w:p>
        </w:tc>
      </w:tr>
      <w:tr>
        <w:trPr>
          <w:trHeight w:val="191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工程</w:t>
            </w:r>
            <w:r>
              <w:rPr>
                <w:rFonts w:ascii="宋体" w:hAnsi="宋体" w:cs="宋体" w:eastAsia="宋体" w:hint="default"/>
                <w:spacing w:val="-101"/>
                <w:sz w:val="21"/>
                <w:szCs w:val="21"/>
              </w:rPr>
              <w:t> </w:t>
            </w:r>
            <w:r>
              <w:rPr>
                <w:rFonts w:ascii="宋体" w:hAnsi="宋体" w:cs="宋体" w:eastAsia="宋体" w:hint="default"/>
                <w:spacing w:val="35"/>
                <w:sz w:val="21"/>
                <w:szCs w:val="21"/>
              </w:rPr>
              <w:t>集团</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宁兴</w:t>
            </w:r>
            <w:r>
              <w:rPr>
                <w:rFonts w:ascii="宋体" w:hAnsi="宋体" w:cs="宋体" w:eastAsia="宋体" w:hint="default"/>
                <w:spacing w:val="-101"/>
                <w:sz w:val="21"/>
                <w:szCs w:val="21"/>
              </w:rPr>
              <w:t> </w:t>
            </w:r>
            <w:r>
              <w:rPr>
                <w:rFonts w:ascii="宋体" w:hAnsi="宋体" w:cs="宋体" w:eastAsia="宋体" w:hint="default"/>
                <w:spacing w:val="36"/>
                <w:sz w:val="21"/>
                <w:szCs w:val="21"/>
              </w:rPr>
              <w:t>中基</w:t>
            </w:r>
            <w:r>
              <w:rPr>
                <w:rFonts w:ascii="宋体" w:hAnsi="宋体" w:cs="宋体" w:eastAsia="宋体" w:hint="default"/>
                <w:spacing w:val="-101"/>
                <w:sz w:val="21"/>
                <w:szCs w:val="21"/>
              </w:rPr>
              <w:t> </w:t>
            </w:r>
            <w:r>
              <w:rPr>
                <w:rFonts w:ascii="宋体" w:hAnsi="宋体" w:cs="宋体" w:eastAsia="宋体" w:hint="default"/>
                <w:spacing w:val="36"/>
                <w:sz w:val="21"/>
                <w:szCs w:val="21"/>
              </w:rPr>
              <w:t>置业</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因宁兴中基置业拖欠工程款，公司</w:t>
            </w:r>
          </w:p>
          <w:p>
            <w:pPr>
              <w:pStyle w:val="TableParagraph"/>
              <w:spacing w:line="232" w:lineRule="auto" w:before="5"/>
              <w:ind w:left="103" w:right="99"/>
              <w:jc w:val="both"/>
              <w:rPr>
                <w:rFonts w:ascii="宋体" w:hAnsi="宋体" w:cs="宋体" w:eastAsia="宋体" w:hint="default"/>
                <w:sz w:val="21"/>
                <w:szCs w:val="21"/>
              </w:rPr>
            </w:pPr>
            <w:r>
              <w:rPr>
                <w:rFonts w:ascii="宋体" w:hAnsi="宋体" w:cs="宋体" w:eastAsia="宋体" w:hint="default"/>
                <w:sz w:val="21"/>
                <w:szCs w:val="21"/>
              </w:rPr>
              <w:t>子公司建工集团于</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月向宁</w:t>
            </w:r>
            <w:r>
              <w:rPr>
                <w:rFonts w:ascii="宋体" w:hAnsi="宋体" w:cs="宋体" w:eastAsia="宋体" w:hint="default"/>
                <w:w w:val="100"/>
                <w:sz w:val="21"/>
                <w:szCs w:val="21"/>
              </w:rPr>
              <w:t> </w:t>
            </w:r>
            <w:r>
              <w:rPr>
                <w:rFonts w:ascii="宋体" w:hAnsi="宋体" w:cs="宋体" w:eastAsia="宋体" w:hint="default"/>
                <w:sz w:val="21"/>
                <w:szCs w:val="21"/>
              </w:rPr>
              <w:t>波仲裁委员会提出仲裁申请，请求</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6"/>
                <w:w w:val="100"/>
                <w:sz w:val="21"/>
                <w:szCs w:val="21"/>
              </w:rPr>
              <w:t>宁兴中基置业支付工程</w:t>
            </w:r>
            <w:r>
              <w:rPr>
                <w:rFonts w:ascii="宋体" w:hAnsi="宋体" w:cs="宋体" w:eastAsia="宋体" w:hint="default"/>
                <w:spacing w:val="-6"/>
                <w:w w:val="100"/>
                <w:sz w:val="21"/>
                <w:szCs w:val="21"/>
              </w:rPr>
              <w:t> </w:t>
            </w:r>
            <w:r>
              <w:rPr>
                <w:rFonts w:ascii="宋体" w:hAnsi="宋体" w:cs="宋体" w:eastAsia="宋体" w:hint="default"/>
                <w:w w:val="100"/>
                <w:sz w:val="21"/>
                <w:szCs w:val="21"/>
              </w:rPr>
              <w:t>款</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Times New Roman" w:hAnsi="Times New Roman" w:cs="Times New Roman" w:eastAsia="Times New Roman" w:hint="default"/>
                <w:sz w:val="21"/>
                <w:szCs w:val="21"/>
              </w:rPr>
              <w:t>11,310,904 </w:t>
            </w:r>
            <w:r>
              <w:rPr>
                <w:rFonts w:ascii="Times New Roman" w:hAnsi="Times New Roman" w:cs="Times New Roman" w:eastAsia="Times New Roman" w:hint="default"/>
                <w:spacing w:val="12"/>
                <w:sz w:val="21"/>
                <w:szCs w:val="21"/>
              </w:rPr>
              <w:t> </w:t>
            </w:r>
            <w:r>
              <w:rPr>
                <w:rFonts w:ascii="宋体" w:hAnsi="宋体" w:cs="宋体" w:eastAsia="宋体" w:hint="default"/>
                <w:spacing w:val="2"/>
                <w:sz w:val="21"/>
                <w:szCs w:val="21"/>
              </w:rPr>
              <w:t>及相应利息，宁波仲裁</w:t>
            </w:r>
          </w:p>
          <w:p>
            <w:pPr>
              <w:pStyle w:val="TableParagraph"/>
              <w:spacing w:line="274" w:lineRule="exact" w:before="8"/>
              <w:ind w:left="103" w:right="101"/>
              <w:jc w:val="both"/>
              <w:rPr>
                <w:rFonts w:ascii="宋体" w:hAnsi="宋体" w:cs="宋体" w:eastAsia="宋体" w:hint="default"/>
                <w:sz w:val="21"/>
                <w:szCs w:val="21"/>
              </w:rPr>
            </w:pPr>
            <w:r>
              <w:rPr>
                <w:rFonts w:ascii="宋体" w:hAnsi="宋体" w:cs="宋体" w:eastAsia="宋体" w:hint="default"/>
                <w:sz w:val="21"/>
                <w:szCs w:val="21"/>
              </w:rPr>
              <w:t>委员会于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12"/>
                <w:sz w:val="21"/>
                <w:szCs w:val="21"/>
              </w:rPr>
              <w:t>月受理，现审理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11,310,904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1918"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5"/>
                <w:sz w:val="21"/>
                <w:szCs w:val="21"/>
              </w:rPr>
              <w:t>宁波</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pacing w:val="35"/>
                <w:sz w:val="21"/>
                <w:szCs w:val="21"/>
              </w:rPr>
              <w:t>建工</w:t>
            </w:r>
            <w:r>
              <w:rPr>
                <w:rFonts w:ascii="宋体" w:hAnsi="宋体" w:cs="宋体" w:eastAsia="宋体" w:hint="default"/>
                <w:spacing w:val="-101"/>
                <w:sz w:val="21"/>
                <w:szCs w:val="21"/>
              </w:rPr>
              <w:t> </w:t>
            </w:r>
            <w:r>
              <w:rPr>
                <w:rFonts w:ascii="宋体" w:hAnsi="宋体" w:cs="宋体" w:eastAsia="宋体" w:hint="default"/>
                <w:spacing w:val="35"/>
                <w:sz w:val="21"/>
                <w:szCs w:val="21"/>
              </w:rPr>
              <w:t>股份</w:t>
            </w:r>
            <w:r>
              <w:rPr>
                <w:rFonts w:ascii="宋体" w:hAnsi="宋体" w:cs="宋体" w:eastAsia="宋体" w:hint="default"/>
                <w:spacing w:val="-101"/>
                <w:sz w:val="21"/>
                <w:szCs w:val="21"/>
              </w:rPr>
              <w:t> </w:t>
            </w:r>
            <w:r>
              <w:rPr>
                <w:rFonts w:ascii="宋体" w:hAnsi="宋体" w:cs="宋体" w:eastAsia="宋体" w:hint="default"/>
                <w:spacing w:val="3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黄山</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before="2"/>
              <w:ind w:left="100" w:right="26"/>
              <w:jc w:val="both"/>
              <w:rPr>
                <w:rFonts w:ascii="宋体" w:hAnsi="宋体" w:cs="宋体" w:eastAsia="宋体" w:hint="default"/>
                <w:sz w:val="21"/>
                <w:szCs w:val="21"/>
              </w:rPr>
            </w:pPr>
            <w:r>
              <w:rPr>
                <w:rFonts w:ascii="宋体" w:hAnsi="宋体" w:cs="宋体" w:eastAsia="宋体" w:hint="default"/>
                <w:spacing w:val="36"/>
                <w:sz w:val="21"/>
                <w:szCs w:val="21"/>
              </w:rPr>
              <w:t>市新</w:t>
            </w:r>
            <w:r>
              <w:rPr>
                <w:rFonts w:ascii="宋体" w:hAnsi="宋体" w:cs="宋体" w:eastAsia="宋体" w:hint="default"/>
                <w:spacing w:val="-101"/>
                <w:sz w:val="21"/>
                <w:szCs w:val="21"/>
              </w:rPr>
              <w:t> </w:t>
            </w:r>
            <w:r>
              <w:rPr>
                <w:rFonts w:ascii="宋体" w:hAnsi="宋体" w:cs="宋体" w:eastAsia="宋体" w:hint="default"/>
                <w:spacing w:val="36"/>
                <w:sz w:val="21"/>
                <w:szCs w:val="21"/>
              </w:rPr>
              <w:t>徽投</w:t>
            </w:r>
            <w:r>
              <w:rPr>
                <w:rFonts w:ascii="宋体" w:hAnsi="宋体" w:cs="宋体" w:eastAsia="宋体" w:hint="default"/>
                <w:spacing w:val="-101"/>
                <w:sz w:val="21"/>
                <w:szCs w:val="21"/>
              </w:rPr>
              <w:t> </w:t>
            </w:r>
            <w:r>
              <w:rPr>
                <w:rFonts w:ascii="宋体" w:hAnsi="宋体" w:cs="宋体" w:eastAsia="宋体" w:hint="default"/>
                <w:spacing w:val="36"/>
                <w:sz w:val="21"/>
                <w:szCs w:val="21"/>
              </w:rPr>
              <w:t>资有</w:t>
            </w:r>
            <w:r>
              <w:rPr>
                <w:rFonts w:ascii="宋体" w:hAnsi="宋体" w:cs="宋体" w:eastAsia="宋体" w:hint="default"/>
                <w:spacing w:val="-101"/>
                <w:sz w:val="21"/>
                <w:szCs w:val="21"/>
              </w:rPr>
              <w:t> </w:t>
            </w:r>
            <w:r>
              <w:rPr>
                <w:rFonts w:ascii="宋体" w:hAnsi="宋体" w:cs="宋体" w:eastAsia="宋体" w:hint="default"/>
                <w:spacing w:val="36"/>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因黄山市新徽投资有限公司拖欠工</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程款，本公司于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月向黄山</w:t>
            </w:r>
          </w:p>
          <w:p>
            <w:pPr>
              <w:pStyle w:val="TableParagraph"/>
              <w:spacing w:line="230" w:lineRule="auto"/>
              <w:ind w:left="103" w:right="-5"/>
              <w:jc w:val="left"/>
              <w:rPr>
                <w:rFonts w:ascii="宋体" w:hAnsi="宋体" w:cs="宋体" w:eastAsia="宋体" w:hint="default"/>
                <w:sz w:val="21"/>
                <w:szCs w:val="21"/>
              </w:rPr>
            </w:pPr>
            <w:r>
              <w:rPr>
                <w:rFonts w:ascii="宋体" w:hAnsi="宋体" w:cs="宋体" w:eastAsia="宋体" w:hint="default"/>
                <w:sz w:val="21"/>
                <w:szCs w:val="21"/>
              </w:rPr>
              <w:t>仲裁委员会提请仲裁。</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pacing w:val="-18"/>
                <w:w w:val="100"/>
                <w:sz w:val="21"/>
                <w:szCs w:val="21"/>
              </w:rPr>
              <w:t>月，黄山仲裁委员会下发《裁决书》，</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裁决黄山新徽投资收到裁决书之日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r>
              <w:rPr>
                <w:rFonts w:ascii="宋体" w:hAnsi="宋体" w:cs="宋体" w:eastAsia="宋体" w:hint="default"/>
                <w:spacing w:val="-65"/>
                <w:sz w:val="21"/>
                <w:szCs w:val="21"/>
              </w:rPr>
              <w:t> </w:t>
            </w:r>
            <w:r>
              <w:rPr>
                <w:rFonts w:ascii="宋体" w:hAnsi="宋体" w:cs="宋体" w:eastAsia="宋体" w:hint="default"/>
                <w:sz w:val="21"/>
                <w:szCs w:val="21"/>
              </w:rPr>
              <w:t>内</w:t>
            </w:r>
            <w:r>
              <w:rPr>
                <w:rFonts w:ascii="宋体" w:hAnsi="宋体" w:cs="宋体" w:eastAsia="宋体" w:hint="default"/>
                <w:spacing w:val="-67"/>
                <w:sz w:val="21"/>
                <w:szCs w:val="21"/>
              </w:rPr>
              <w:t> </w:t>
            </w:r>
            <w:r>
              <w:rPr>
                <w:rFonts w:ascii="宋体" w:hAnsi="宋体" w:cs="宋体" w:eastAsia="宋体" w:hint="default"/>
                <w:sz w:val="21"/>
                <w:szCs w:val="21"/>
              </w:rPr>
              <w:t>支</w:t>
            </w:r>
            <w:r>
              <w:rPr>
                <w:rFonts w:ascii="宋体" w:hAnsi="宋体" w:cs="宋体" w:eastAsia="宋体" w:hint="default"/>
                <w:spacing w:val="-65"/>
                <w:sz w:val="21"/>
                <w:szCs w:val="21"/>
              </w:rPr>
              <w:t> </w:t>
            </w:r>
            <w:r>
              <w:rPr>
                <w:rFonts w:ascii="宋体" w:hAnsi="宋体" w:cs="宋体" w:eastAsia="宋体" w:hint="default"/>
                <w:sz w:val="21"/>
                <w:szCs w:val="21"/>
              </w:rPr>
              <w:t>付</w:t>
            </w:r>
            <w:r>
              <w:rPr>
                <w:rFonts w:ascii="宋体" w:hAnsi="宋体" w:cs="宋体" w:eastAsia="宋体" w:hint="default"/>
                <w:spacing w:val="-65"/>
                <w:sz w:val="21"/>
                <w:szCs w:val="21"/>
              </w:rPr>
              <w:t> </w:t>
            </w:r>
            <w:r>
              <w:rPr>
                <w:rFonts w:ascii="宋体" w:hAnsi="宋体" w:cs="宋体" w:eastAsia="宋体" w:hint="default"/>
                <w:sz w:val="21"/>
                <w:szCs w:val="21"/>
              </w:rPr>
              <w:t>本</w:t>
            </w:r>
            <w:r>
              <w:rPr>
                <w:rFonts w:ascii="宋体" w:hAnsi="宋体" w:cs="宋体" w:eastAsia="宋体" w:hint="default"/>
                <w:spacing w:val="-65"/>
                <w:sz w:val="21"/>
                <w:szCs w:val="21"/>
              </w:rPr>
              <w:t> </w:t>
            </w:r>
            <w:r>
              <w:rPr>
                <w:rFonts w:ascii="宋体" w:hAnsi="宋体" w:cs="宋体" w:eastAsia="宋体" w:hint="default"/>
                <w:sz w:val="21"/>
                <w:szCs w:val="21"/>
              </w:rPr>
              <w:t>公</w:t>
            </w:r>
            <w:r>
              <w:rPr>
                <w:rFonts w:ascii="宋体" w:hAnsi="宋体" w:cs="宋体" w:eastAsia="宋体" w:hint="default"/>
                <w:spacing w:val="-67"/>
                <w:sz w:val="21"/>
                <w:szCs w:val="21"/>
              </w:rPr>
              <w:t> </w:t>
            </w:r>
            <w:r>
              <w:rPr>
                <w:rFonts w:ascii="宋体" w:hAnsi="宋体" w:cs="宋体" w:eastAsia="宋体" w:hint="default"/>
                <w:sz w:val="21"/>
                <w:szCs w:val="21"/>
              </w:rPr>
              <w:t>司</w:t>
            </w:r>
            <w:r>
              <w:rPr>
                <w:rFonts w:ascii="宋体" w:hAnsi="宋体" w:cs="宋体" w:eastAsia="宋体" w:hint="default"/>
                <w:spacing w:val="-65"/>
                <w:sz w:val="21"/>
                <w:szCs w:val="21"/>
              </w:rPr>
              <w:t> </w:t>
            </w:r>
            <w:r>
              <w:rPr>
                <w:rFonts w:ascii="宋体" w:hAnsi="宋体" w:cs="宋体" w:eastAsia="宋体" w:hint="default"/>
                <w:sz w:val="21"/>
                <w:szCs w:val="21"/>
              </w:rPr>
              <w:t>工</w:t>
            </w:r>
            <w:r>
              <w:rPr>
                <w:rFonts w:ascii="宋体" w:hAnsi="宋体" w:cs="宋体" w:eastAsia="宋体" w:hint="default"/>
                <w:spacing w:val="-65"/>
                <w:sz w:val="21"/>
                <w:szCs w:val="21"/>
              </w:rPr>
              <w:t> </w:t>
            </w:r>
            <w:r>
              <w:rPr>
                <w:rFonts w:ascii="宋体" w:hAnsi="宋体" w:cs="宋体" w:eastAsia="宋体" w:hint="default"/>
                <w:sz w:val="21"/>
                <w:szCs w:val="21"/>
              </w:rPr>
              <w:t>程</w:t>
            </w:r>
            <w:r>
              <w:rPr>
                <w:rFonts w:ascii="宋体" w:hAnsi="宋体" w:cs="宋体" w:eastAsia="宋体" w:hint="default"/>
                <w:spacing w:val="-65"/>
                <w:sz w:val="21"/>
                <w:szCs w:val="21"/>
              </w:rPr>
              <w:t> </w:t>
            </w:r>
            <w:r>
              <w:rPr>
                <w:rFonts w:ascii="宋体" w:hAnsi="宋体" w:cs="宋体" w:eastAsia="宋体" w:hint="default"/>
                <w:sz w:val="21"/>
                <w:szCs w:val="21"/>
              </w:rPr>
              <w:t>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10,433,152.32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元及违约金。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10,433,152.32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已裁</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决</w:t>
            </w:r>
          </w:p>
        </w:tc>
      </w:tr>
      <w:tr>
        <w:trPr>
          <w:trHeight w:val="218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章良</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股份</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因鄞江镇悬慈村江宕居住地块（亚</w:t>
            </w:r>
          </w:p>
          <w:p>
            <w:pPr>
              <w:pStyle w:val="TableParagraph"/>
              <w:spacing w:line="232" w:lineRule="auto" w:before="5"/>
              <w:ind w:left="103" w:right="98"/>
              <w:jc w:val="both"/>
              <w:rPr>
                <w:rFonts w:ascii="宋体" w:hAnsi="宋体" w:cs="宋体" w:eastAsia="宋体" w:hint="default"/>
                <w:sz w:val="21"/>
                <w:szCs w:val="21"/>
              </w:rPr>
            </w:pPr>
            <w:r>
              <w:rPr>
                <w:rFonts w:ascii="宋体" w:hAnsi="宋体" w:cs="宋体" w:eastAsia="宋体" w:hint="default"/>
                <w:spacing w:val="-6"/>
                <w:sz w:val="21"/>
                <w:szCs w:val="21"/>
              </w:rPr>
              <w:t>隆•它山郡）一期工程纠纷，原告章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良</w:t>
            </w:r>
            <w:r>
              <w:rPr>
                <w:rFonts w:ascii="宋体" w:hAnsi="宋体" w:cs="宋体" w:eastAsia="宋体" w:hint="default"/>
                <w:spacing w:val="-45"/>
                <w:sz w:val="21"/>
                <w:szCs w:val="21"/>
              </w:rPr>
              <w:t> </w:t>
            </w:r>
            <w:r>
              <w:rPr>
                <w:rFonts w:ascii="宋体" w:hAnsi="宋体" w:cs="宋体" w:eastAsia="宋体" w:hint="default"/>
                <w:sz w:val="21"/>
                <w:szCs w:val="21"/>
              </w:rPr>
              <w:t>军</w:t>
            </w:r>
            <w:r>
              <w:rPr>
                <w:rFonts w:ascii="宋体" w:hAnsi="宋体" w:cs="宋体" w:eastAsia="宋体" w:hint="default"/>
                <w:spacing w:val="-45"/>
                <w:sz w:val="21"/>
                <w:szCs w:val="21"/>
              </w:rPr>
              <w:t> </w:t>
            </w:r>
            <w:r>
              <w:rPr>
                <w:rFonts w:ascii="宋体" w:hAnsi="宋体" w:cs="宋体" w:eastAsia="宋体" w:hint="default"/>
                <w:sz w:val="21"/>
                <w:szCs w:val="21"/>
              </w:rPr>
              <w:t>要</w:t>
            </w:r>
            <w:r>
              <w:rPr>
                <w:rFonts w:ascii="宋体" w:hAnsi="宋体" w:cs="宋体" w:eastAsia="宋体" w:hint="default"/>
                <w:spacing w:val="-45"/>
                <w:sz w:val="21"/>
                <w:szCs w:val="21"/>
              </w:rPr>
              <w:t> </w:t>
            </w:r>
            <w:r>
              <w:rPr>
                <w:rFonts w:ascii="宋体" w:hAnsi="宋体" w:cs="宋体" w:eastAsia="宋体" w:hint="default"/>
                <w:sz w:val="21"/>
                <w:szCs w:val="21"/>
              </w:rPr>
              <w:t>求</w:t>
            </w:r>
            <w:r>
              <w:rPr>
                <w:rFonts w:ascii="宋体" w:hAnsi="宋体" w:cs="宋体" w:eastAsia="宋体" w:hint="default"/>
                <w:spacing w:val="-45"/>
                <w:sz w:val="21"/>
                <w:szCs w:val="21"/>
              </w:rPr>
              <w:t> </w:t>
            </w:r>
            <w:r>
              <w:rPr>
                <w:rFonts w:ascii="宋体" w:hAnsi="宋体" w:cs="宋体" w:eastAsia="宋体" w:hint="default"/>
                <w:sz w:val="21"/>
                <w:szCs w:val="21"/>
              </w:rPr>
              <w:t>本</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45"/>
                <w:sz w:val="21"/>
                <w:szCs w:val="21"/>
              </w:rPr>
              <w:t> </w:t>
            </w:r>
            <w:r>
              <w:rPr>
                <w:rFonts w:ascii="宋体" w:hAnsi="宋体" w:cs="宋体" w:eastAsia="宋体" w:hint="default"/>
                <w:sz w:val="21"/>
                <w:szCs w:val="21"/>
              </w:rPr>
              <w:t>司</w:t>
            </w:r>
            <w:r>
              <w:rPr>
                <w:rFonts w:ascii="宋体" w:hAnsi="宋体" w:cs="宋体" w:eastAsia="宋体" w:hint="default"/>
                <w:spacing w:val="-45"/>
                <w:sz w:val="21"/>
                <w:szCs w:val="21"/>
              </w:rPr>
              <w:t> </w:t>
            </w:r>
            <w:r>
              <w:rPr>
                <w:rFonts w:ascii="宋体" w:hAnsi="宋体" w:cs="宋体" w:eastAsia="宋体" w:hint="default"/>
                <w:sz w:val="21"/>
                <w:szCs w:val="21"/>
              </w:rPr>
              <w:t>支</w:t>
            </w:r>
            <w:r>
              <w:rPr>
                <w:rFonts w:ascii="宋体" w:hAnsi="宋体" w:cs="宋体" w:eastAsia="宋体" w:hint="default"/>
                <w:spacing w:val="-45"/>
                <w:sz w:val="21"/>
                <w:szCs w:val="21"/>
              </w:rPr>
              <w:t> </w:t>
            </w:r>
            <w:r>
              <w:rPr>
                <w:rFonts w:ascii="宋体" w:hAnsi="宋体" w:cs="宋体" w:eastAsia="宋体" w:hint="default"/>
                <w:sz w:val="21"/>
                <w:szCs w:val="21"/>
              </w:rPr>
              <w:t>付</w:t>
            </w:r>
            <w:r>
              <w:rPr>
                <w:rFonts w:ascii="宋体" w:hAnsi="宋体" w:cs="宋体" w:eastAsia="宋体" w:hint="default"/>
                <w:spacing w:val="-47"/>
                <w:sz w:val="21"/>
                <w:szCs w:val="21"/>
              </w:rPr>
              <w:t> </w:t>
            </w:r>
            <w:r>
              <w:rPr>
                <w:rFonts w:ascii="宋体" w:hAnsi="宋体" w:cs="宋体" w:eastAsia="宋体" w:hint="default"/>
                <w:sz w:val="21"/>
                <w:szCs w:val="21"/>
              </w:rPr>
              <w:t>工</w:t>
            </w:r>
            <w:r>
              <w:rPr>
                <w:rFonts w:ascii="宋体" w:hAnsi="宋体" w:cs="宋体" w:eastAsia="宋体" w:hint="default"/>
                <w:spacing w:val="-45"/>
                <w:sz w:val="21"/>
                <w:szCs w:val="21"/>
              </w:rPr>
              <w:t> </w:t>
            </w:r>
            <w:r>
              <w:rPr>
                <w:rFonts w:ascii="宋体" w:hAnsi="宋体" w:cs="宋体" w:eastAsia="宋体" w:hint="default"/>
                <w:sz w:val="21"/>
                <w:szCs w:val="21"/>
              </w:rPr>
              <w:t>程</w:t>
            </w:r>
            <w:r>
              <w:rPr>
                <w:rFonts w:ascii="宋体" w:hAnsi="宋体" w:cs="宋体" w:eastAsia="宋体" w:hint="default"/>
                <w:spacing w:val="-45"/>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19,234,165</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元及相应利息，并要求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宁波亚隆置业有限责任公司在上述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工程款及利息范围内承担责任。宁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波市海曙区人民法院于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月已受理。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19,234,165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r>
        <w:trPr>
          <w:trHeight w:val="164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吴积</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宁波</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37" w:lineRule="auto"/>
              <w:ind w:left="100" w:right="26"/>
              <w:jc w:val="both"/>
              <w:rPr>
                <w:rFonts w:ascii="宋体" w:hAnsi="宋体" w:cs="宋体" w:eastAsia="宋体" w:hint="default"/>
                <w:sz w:val="21"/>
                <w:szCs w:val="21"/>
              </w:rPr>
            </w:pPr>
            <w:r>
              <w:rPr>
                <w:rFonts w:ascii="宋体" w:hAnsi="宋体" w:cs="宋体" w:eastAsia="宋体" w:hint="default"/>
                <w:spacing w:val="36"/>
                <w:sz w:val="21"/>
                <w:szCs w:val="21"/>
              </w:rPr>
              <w:t>建工</w:t>
            </w:r>
            <w:r>
              <w:rPr>
                <w:rFonts w:ascii="宋体" w:hAnsi="宋体" w:cs="宋体" w:eastAsia="宋体" w:hint="default"/>
                <w:spacing w:val="-101"/>
                <w:sz w:val="21"/>
                <w:szCs w:val="21"/>
              </w:rPr>
              <w:t> </w:t>
            </w:r>
            <w:r>
              <w:rPr>
                <w:rFonts w:ascii="宋体" w:hAnsi="宋体" w:cs="宋体" w:eastAsia="宋体" w:hint="default"/>
                <w:spacing w:val="36"/>
                <w:sz w:val="21"/>
                <w:szCs w:val="21"/>
              </w:rPr>
              <w:t>股份</w:t>
            </w:r>
            <w:r>
              <w:rPr>
                <w:rFonts w:ascii="宋体" w:hAnsi="宋体" w:cs="宋体" w:eastAsia="宋体" w:hint="default"/>
                <w:spacing w:val="-101"/>
                <w:sz w:val="21"/>
                <w:szCs w:val="21"/>
              </w:rPr>
              <w:t> </w:t>
            </w:r>
            <w:r>
              <w:rPr>
                <w:rFonts w:ascii="宋体" w:hAnsi="宋体" w:cs="宋体" w:eastAsia="宋体" w:hint="default"/>
                <w:spacing w:val="36"/>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民</w:t>
            </w:r>
          </w:p>
          <w:p>
            <w:pPr>
              <w:pStyle w:val="TableParagraph"/>
              <w:spacing w:line="237" w:lineRule="auto"/>
              <w:ind w:left="100" w:right="242"/>
              <w:jc w:val="both"/>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诉</w:t>
            </w:r>
            <w:r>
              <w:rPr>
                <w:rFonts w:ascii="宋体" w:hAnsi="宋体" w:cs="宋体" w:eastAsia="宋体" w:hint="default"/>
                <w:w w:val="100"/>
                <w:sz w:val="21"/>
                <w:szCs w:val="21"/>
              </w:rPr>
              <w:t> </w:t>
            </w:r>
            <w:r>
              <w:rPr>
                <w:rFonts w:ascii="宋体" w:hAnsi="宋体" w:cs="宋体" w:eastAsia="宋体" w:hint="default"/>
                <w:sz w:val="21"/>
                <w:szCs w:val="21"/>
              </w:rPr>
              <w:t>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因白山市新泰大桥东侧春江花园一</w:t>
            </w:r>
          </w:p>
          <w:p>
            <w:pPr>
              <w:pStyle w:val="TableParagraph"/>
              <w:spacing w:line="230" w:lineRule="auto" w:before="8"/>
              <w:ind w:left="103" w:right="99"/>
              <w:jc w:val="both"/>
              <w:rPr>
                <w:rFonts w:ascii="宋体" w:hAnsi="宋体" w:cs="宋体" w:eastAsia="宋体" w:hint="default"/>
                <w:sz w:val="21"/>
                <w:szCs w:val="21"/>
              </w:rPr>
            </w:pPr>
            <w:r>
              <w:rPr>
                <w:rFonts w:ascii="宋体" w:hAnsi="宋体" w:cs="宋体" w:eastAsia="宋体" w:hint="default"/>
                <w:sz w:val="21"/>
                <w:szCs w:val="21"/>
              </w:rPr>
              <w:t>期项目纠纷，吴积奎要求本公司支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付项目承包费 </w:t>
            </w:r>
            <w:r>
              <w:rPr>
                <w:rFonts w:ascii="Times New Roman" w:hAnsi="Times New Roman" w:cs="Times New Roman" w:eastAsia="Times New Roman" w:hint="default"/>
                <w:sz w:val="21"/>
                <w:szCs w:val="21"/>
              </w:rPr>
              <w:t>39,419,184.4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元及相</w:t>
            </w:r>
            <w:r>
              <w:rPr>
                <w:rFonts w:ascii="宋体" w:hAnsi="宋体" w:cs="宋体" w:eastAsia="宋体" w:hint="default"/>
                <w:w w:val="100"/>
                <w:sz w:val="21"/>
                <w:szCs w:val="21"/>
              </w:rPr>
              <w:t> </w:t>
            </w:r>
            <w:r>
              <w:rPr>
                <w:rFonts w:ascii="宋体" w:hAnsi="宋体" w:cs="宋体" w:eastAsia="宋体" w:hint="default"/>
                <w:sz w:val="21"/>
                <w:szCs w:val="21"/>
              </w:rPr>
              <w:t>应利息，宁波市鄞州区人民法院于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月受理后，现归属吉林省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白山市中院管辖。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39,419,184.40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审</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审理</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中</w:t>
            </w:r>
          </w:p>
        </w:tc>
      </w:tr>
    </w:tbl>
    <w:p>
      <w:pPr>
        <w:spacing w:after="0" w:line="273" w:lineRule="exact"/>
        <w:jc w:val="left"/>
        <w:rPr>
          <w:rFonts w:ascii="宋体" w:hAnsi="宋体" w:cs="宋体" w:eastAsia="宋体" w:hint="default"/>
          <w:sz w:val="21"/>
          <w:szCs w:val="21"/>
        </w:rPr>
        <w:sectPr>
          <w:footerReference w:type="default" r:id="rId24"/>
          <w:pgSz w:w="11910" w:h="16840"/>
          <w:pgMar w:footer="1195" w:header="880" w:top="1120" w:bottom="1380" w:left="680" w:right="480"/>
        </w:sectPr>
      </w:pPr>
    </w:p>
    <w:p>
      <w:pPr>
        <w:spacing w:line="240" w:lineRule="auto" w:before="9"/>
        <w:rPr>
          <w:rFonts w:ascii="Times New Roman" w:hAnsi="Times New Roman" w:cs="Times New Roman" w:eastAsia="Times New Roman" w:hint="default"/>
          <w:sz w:val="28"/>
          <w:szCs w:val="28"/>
        </w:rPr>
      </w:pPr>
    </w:p>
    <w:p>
      <w:pPr>
        <w:pStyle w:val="Heading3"/>
        <w:spacing w:line="240" w:lineRule="auto"/>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40" w:lineRule="auto" w:before="32"/>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3"/>
          <w:szCs w:val="23"/>
        </w:rPr>
      </w:pPr>
    </w:p>
    <w:p>
      <w:pPr>
        <w:pStyle w:val="Heading3"/>
        <w:spacing w:line="272" w:lineRule="exact" w:before="0"/>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both"/>
        <w:rPr>
          <w:b w:val="0"/>
          <w:bCs w:val="0"/>
        </w:rPr>
      </w:pPr>
      <w:r>
        <w:rPr/>
        <w:t>十二、报告期内公司及其控股股东、实际控制人诚信状况的说明</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90" w:lineRule="auto" w:before="0"/>
        <w:ind w:left="138"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13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3"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0"/>
        <w:jc w:val="both"/>
      </w:pPr>
      <w:r>
        <w:rPr/>
        <w:t>其他说明</w:t>
      </w:r>
    </w:p>
    <w:p>
      <w:pPr>
        <w:pStyle w:val="BodyText"/>
        <w:spacing w:line="290" w:lineRule="exact"/>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0"/>
        <w:jc w:val="both"/>
      </w:pPr>
      <w:r>
        <w:rPr/>
        <w:t>员工持股计划情况</w:t>
      </w:r>
    </w:p>
    <w:p>
      <w:pPr>
        <w:pStyle w:val="BodyText"/>
        <w:spacing w:line="281" w:lineRule="exact"/>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3" w:lineRule="exact"/>
        <w:ind w:left="558" w:right="0"/>
        <w:jc w:val="left"/>
      </w:pPr>
      <w:r>
        <w:rPr>
          <w:spacing w:val="-7"/>
        </w:rPr>
        <w:t>报告期内，公司于</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spacing w:val="-4"/>
        </w:rPr>
        <w:t>日召开的第三届董事会第二十三次会议审议通过了《宁波</w:t>
      </w:r>
    </w:p>
    <w:p>
      <w:pPr>
        <w:pStyle w:val="BodyText"/>
        <w:spacing w:line="230" w:lineRule="auto"/>
        <w:ind w:right="148"/>
        <w:jc w:val="both"/>
      </w:pPr>
      <w:r>
        <w:rPr>
          <w:spacing w:val="-2"/>
          <w:w w:val="100"/>
        </w:rPr>
        <w:t>建工股份有限公司</w:t>
      </w:r>
      <w:r>
        <w:rPr>
          <w:spacing w:val="-52"/>
          <w:w w:val="100"/>
        </w:rPr>
        <w:t> </w:t>
      </w:r>
      <w:r>
        <w:rPr>
          <w:rFonts w:ascii="Times New Roman" w:hAnsi="Times New Roman" w:cs="Times New Roman" w:eastAsia="Times New Roman" w:hint="default"/>
          <w:spacing w:val="-1"/>
          <w:w w:val="100"/>
        </w:rPr>
        <w:t>2017 </w:t>
      </w:r>
      <w:r>
        <w:rPr>
          <w:spacing w:val="-23"/>
          <w:w w:val="100"/>
        </w:rPr>
        <w:t>年员工持股计划（草案）》，于</w:t>
      </w:r>
      <w:r>
        <w:rPr>
          <w:spacing w:val="-52"/>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spacing w:val="-2"/>
          <w:w w:val="100"/>
        </w:rPr>
        <w:t>日召开的</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spacing w:val="-2"/>
          <w:w w:val="100"/>
        </w:rPr>
        <w:t>年第三次临</w:t>
      </w:r>
      <w:r>
        <w:rPr>
          <w:w w:val="100"/>
        </w:rPr>
        <w:t> </w:t>
      </w:r>
      <w:r>
        <w:rPr>
          <w:spacing w:val="-1"/>
        </w:rPr>
        <w:t>时股东大会审议通过了本次员工持股计划的草案及相关议案。截至目前，公司员工持股计划已经</w:t>
      </w:r>
      <w:r>
        <w:rPr>
          <w:spacing w:val="-55"/>
        </w:rPr>
        <w:t> </w:t>
      </w:r>
      <w:r>
        <w:rPr>
          <w:spacing w:val="-55"/>
        </w:rPr>
      </w:r>
      <w:r>
        <w:rPr/>
        <w:t>设立，尚未购买公司股票。</w:t>
      </w:r>
    </w:p>
    <w:p>
      <w:pPr>
        <w:spacing w:line="240" w:lineRule="auto" w:before="4"/>
        <w:rPr>
          <w:rFonts w:ascii="宋体" w:hAnsi="宋体" w:cs="宋体" w:eastAsia="宋体" w:hint="default"/>
          <w:sz w:val="18"/>
          <w:szCs w:val="18"/>
        </w:rPr>
      </w:pPr>
    </w:p>
    <w:p>
      <w:pPr>
        <w:pStyle w:val="BodyText"/>
        <w:spacing w:line="274" w:lineRule="exact"/>
        <w:ind w:right="0"/>
        <w:jc w:val="both"/>
      </w:pPr>
      <w:r>
        <w:rPr/>
        <w:t>其他激励措施</w:t>
      </w:r>
    </w:p>
    <w:p>
      <w:pPr>
        <w:pStyle w:val="BodyText"/>
        <w:spacing w:line="290"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both"/>
        <w:rPr>
          <w:b w:val="0"/>
          <w:bCs w:val="0"/>
        </w:rPr>
      </w:pPr>
      <w:r>
        <w:rPr/>
        <w:t>十四、重大关联交易</w:t>
      </w:r>
      <w:r>
        <w:rPr>
          <w:b w:val="0"/>
          <w:bCs w:val="0"/>
        </w:rPr>
      </w:r>
    </w:p>
    <w:p>
      <w:pPr>
        <w:pStyle w:val="Heading3"/>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left="13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5"/>
          <w:pgSz w:w="11910" w:h="16840"/>
          <w:pgMar w:footer="1195" w:header="880" w:top="1120" w:bottom="1380" w:left="1660" w:right="1120"/>
          <w:pgNumType w:start="41"/>
        </w:sectPr>
      </w:pPr>
    </w:p>
    <w:p>
      <w:pPr>
        <w:pStyle w:val="Heading3"/>
        <w:spacing w:line="240" w:lineRule="auto"/>
        <w:ind w:left="138"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2668" w:space="4158"/>
            <w:col w:w="2304"/>
          </w:cols>
        </w:sectPr>
      </w:pPr>
    </w:p>
    <w:tbl>
      <w:tblPr>
        <w:tblW w:w="0" w:type="auto"/>
        <w:jc w:val="left"/>
        <w:tblInd w:w="102" w:type="dxa"/>
        <w:tblLayout w:type="fixed"/>
        <w:tblCellMar>
          <w:top w:w="0" w:type="dxa"/>
          <w:left w:w="0" w:type="dxa"/>
          <w:bottom w:w="0" w:type="dxa"/>
          <w:right w:w="0" w:type="dxa"/>
        </w:tblCellMar>
        <w:tblLook w:val="01E0"/>
      </w:tblPr>
      <w:tblGrid>
        <w:gridCol w:w="701"/>
        <w:gridCol w:w="701"/>
        <w:gridCol w:w="701"/>
        <w:gridCol w:w="706"/>
        <w:gridCol w:w="746"/>
        <w:gridCol w:w="715"/>
        <w:gridCol w:w="1616"/>
        <w:gridCol w:w="845"/>
        <w:gridCol w:w="622"/>
        <w:gridCol w:w="600"/>
        <w:gridCol w:w="943"/>
      </w:tblGrid>
      <w:tr>
        <w:trPr>
          <w:trHeight w:val="1370"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4" w:right="26" w:hanging="10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7" w:right="26"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8" w:right="2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 w:right="29"/>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50" w:right="50"/>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 w:right="31"/>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ind w:left="100" w:right="98"/>
              <w:jc w:val="center"/>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3" w:right="94"/>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83" w:right="83"/>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交易价格</w:t>
            </w:r>
          </w:p>
          <w:p>
            <w:pPr>
              <w:pStyle w:val="TableParagraph"/>
              <w:spacing w:line="237" w:lineRule="auto"/>
              <w:ind w:left="45" w:right="43"/>
              <w:jc w:val="center"/>
              <w:rPr>
                <w:rFonts w:ascii="宋体" w:hAnsi="宋体" w:cs="宋体" w:eastAsia="宋体" w:hint="default"/>
                <w:sz w:val="21"/>
                <w:szCs w:val="21"/>
              </w:rPr>
            </w:pP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555"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日月酒</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务费</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sz w:val="21"/>
              </w:rPr>
              <w:t>2,865,683.03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0.02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或承</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6"/>
        <w:ind w:left="0" w:right="102"/>
        <w:jc w:val="right"/>
      </w:pPr>
      <w:r>
        <w:rPr/>
        <w:pict>
          <v:shape style="position:absolute;margin-left:88.103996pt;margin-top:-478.246338pt;width:445.55pt;height:536.7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1"/>
                    <w:gridCol w:w="701"/>
                    <w:gridCol w:w="701"/>
                    <w:gridCol w:w="706"/>
                    <w:gridCol w:w="746"/>
                    <w:gridCol w:w="715"/>
                    <w:gridCol w:w="1616"/>
                    <w:gridCol w:w="845"/>
                    <w:gridCol w:w="622"/>
                    <w:gridCol w:w="600"/>
                    <w:gridCol w:w="943"/>
                  </w:tblGrid>
                  <w:tr>
                    <w:trPr>
                      <w:trHeight w:val="82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店物业</w:t>
                        </w:r>
                      </w:p>
                      <w:p>
                        <w:pPr>
                          <w:pStyle w:val="TableParagraph"/>
                          <w:spacing w:line="240" w:lineRule="auto"/>
                          <w:ind w:left="26" w:right="29"/>
                          <w:jc w:val="left"/>
                          <w:rPr>
                            <w:rFonts w:ascii="宋体" w:hAnsi="宋体" w:cs="宋体" w:eastAsia="宋体" w:hint="default"/>
                            <w:sz w:val="21"/>
                            <w:szCs w:val="21"/>
                          </w:rPr>
                        </w:pP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兑汇</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宁波新</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日月保</w:t>
                        </w:r>
                        <w:r>
                          <w:rPr>
                            <w:rFonts w:ascii="宋体" w:hAnsi="宋体" w:cs="宋体" w:eastAsia="宋体" w:hint="default"/>
                            <w:spacing w:val="-102"/>
                            <w:sz w:val="21"/>
                            <w:szCs w:val="21"/>
                          </w:rPr>
                          <w:t> </w:t>
                        </w:r>
                        <w:r>
                          <w:rPr>
                            <w:rFonts w:ascii="宋体" w:hAnsi="宋体" w:cs="宋体" w:eastAsia="宋体" w:hint="default"/>
                            <w:sz w:val="21"/>
                            <w:szCs w:val="21"/>
                          </w:rPr>
                          <w:t>安服务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材物资</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24,450.00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2"/>
                          <w:ind w:left="23" w:right="164"/>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宁波广</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天建昌</w:t>
                        </w:r>
                        <w:r>
                          <w:rPr>
                            <w:rFonts w:ascii="宋体" w:hAnsi="宋体" w:cs="宋体" w:eastAsia="宋体" w:hint="default"/>
                            <w:spacing w:val="-102"/>
                            <w:sz w:val="21"/>
                            <w:szCs w:val="21"/>
                          </w:rPr>
                          <w:t> </w:t>
                        </w:r>
                        <w:r>
                          <w:rPr>
                            <w:rFonts w:ascii="宋体" w:hAnsi="宋体" w:cs="宋体" w:eastAsia="宋体" w:hint="default"/>
                            <w:sz w:val="21"/>
                            <w:szCs w:val="21"/>
                          </w:rPr>
                          <w:t>房地产</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15,295,073.03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0.10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ind w:left="23" w:right="164"/>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海盐建</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昌房地</w:t>
                        </w:r>
                        <w:r>
                          <w:rPr>
                            <w:rFonts w:ascii="宋体" w:hAnsi="宋体" w:cs="宋体" w:eastAsia="宋体" w:hint="default"/>
                            <w:spacing w:val="-102"/>
                            <w:sz w:val="21"/>
                            <w:szCs w:val="21"/>
                          </w:rPr>
                          <w:t> </w:t>
                        </w:r>
                        <w:r>
                          <w:rPr>
                            <w:rFonts w:ascii="宋体" w:hAnsi="宋体" w:cs="宋体" w:eastAsia="宋体" w:hint="default"/>
                            <w:sz w:val="21"/>
                            <w:szCs w:val="21"/>
                          </w:rPr>
                          <w:t>产有限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37,555,091.38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0.25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2"/>
                          <w:ind w:left="23" w:right="164"/>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宁波远</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望华夏</w:t>
                        </w:r>
                        <w:r>
                          <w:rPr>
                            <w:rFonts w:ascii="宋体" w:hAnsi="宋体" w:cs="宋体" w:eastAsia="宋体" w:hint="default"/>
                            <w:spacing w:val="-102"/>
                            <w:sz w:val="21"/>
                            <w:szCs w:val="21"/>
                          </w:rPr>
                          <w:t> </w:t>
                        </w:r>
                        <w:r>
                          <w:rPr>
                            <w:rFonts w:ascii="宋体" w:hAnsi="宋体" w:cs="宋体" w:eastAsia="宋体" w:hint="default"/>
                            <w:sz w:val="21"/>
                            <w:szCs w:val="21"/>
                          </w:rPr>
                          <w:t>酒店管</w:t>
                        </w:r>
                        <w:r>
                          <w:rPr>
                            <w:rFonts w:ascii="宋体" w:hAnsi="宋体" w:cs="宋体" w:eastAsia="宋体" w:hint="default"/>
                            <w:spacing w:val="-102"/>
                            <w:sz w:val="21"/>
                            <w:szCs w:val="21"/>
                          </w:rPr>
                          <w:t> </w:t>
                        </w:r>
                        <w:r>
                          <w:rPr>
                            <w:rFonts w:ascii="宋体" w:hAnsi="宋体" w:cs="宋体" w:eastAsia="宋体" w:hint="default"/>
                            <w:sz w:val="21"/>
                            <w:szCs w:val="21"/>
                          </w:rPr>
                          <w:t>理有限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18,783,495.14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0.13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2"/>
                          <w:ind w:left="23" w:right="164"/>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宁波远</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望华夏</w:t>
                        </w:r>
                        <w:r>
                          <w:rPr>
                            <w:rFonts w:ascii="宋体" w:hAnsi="宋体" w:cs="宋体" w:eastAsia="宋体" w:hint="default"/>
                            <w:spacing w:val="-102"/>
                            <w:sz w:val="21"/>
                            <w:szCs w:val="21"/>
                          </w:rPr>
                          <w:t> </w:t>
                        </w:r>
                        <w:r>
                          <w:rPr>
                            <w:rFonts w:ascii="宋体" w:hAnsi="宋体" w:cs="宋体" w:eastAsia="宋体" w:hint="default"/>
                            <w:sz w:val="21"/>
                            <w:szCs w:val="21"/>
                          </w:rPr>
                          <w:t>置业发</w:t>
                        </w:r>
                        <w:r>
                          <w:rPr>
                            <w:rFonts w:ascii="宋体" w:hAnsi="宋体" w:cs="宋体" w:eastAsia="宋体" w:hint="default"/>
                            <w:spacing w:val="-102"/>
                            <w:sz w:val="21"/>
                            <w:szCs w:val="21"/>
                          </w:rPr>
                          <w:t> </w:t>
                        </w:r>
                        <w:r>
                          <w:rPr>
                            <w:rFonts w:ascii="宋体" w:hAnsi="宋体" w:cs="宋体" w:eastAsia="宋体" w:hint="default"/>
                            <w:sz w:val="21"/>
                            <w:szCs w:val="21"/>
                          </w:rPr>
                          <w:t>展有限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z w:val="21"/>
                            <w:szCs w:val="21"/>
                          </w:rPr>
                          <w:t>的控股</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67,396,416.81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0.46</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ind w:left="23" w:right="164"/>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浙江广</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天日月</w:t>
                        </w:r>
                        <w:r>
                          <w:rPr>
                            <w:rFonts w:ascii="宋体" w:hAnsi="宋体" w:cs="宋体" w:eastAsia="宋体" w:hint="default"/>
                            <w:spacing w:val="-102"/>
                            <w:sz w:val="21"/>
                            <w:szCs w:val="21"/>
                          </w:rPr>
                          <w:t> </w:t>
                        </w:r>
                        <w:r>
                          <w:rPr>
                            <w:rFonts w:ascii="宋体" w:hAnsi="宋体" w:cs="宋体" w:eastAsia="宋体" w:hint="default"/>
                            <w:sz w:val="21"/>
                            <w:szCs w:val="21"/>
                          </w:rPr>
                          <w:t>集团股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东</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市场价</w:t>
                        </w:r>
                      </w:p>
                    </w:tc>
                    <w:tc>
                      <w:tcPr>
                        <w:tcW w:w="7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10,216,293.05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0.07</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before="2"/>
                          <w:ind w:left="23" w:right="164"/>
                          <w:jc w:val="both"/>
                          <w:rPr>
                            <w:rFonts w:ascii="宋体" w:hAnsi="宋体" w:cs="宋体" w:eastAsia="宋体" w:hint="default"/>
                            <w:sz w:val="21"/>
                            <w:szCs w:val="21"/>
                          </w:rPr>
                        </w:pPr>
                        <w:r>
                          <w:rPr>
                            <w:rFonts w:ascii="宋体" w:hAnsi="宋体" w:cs="宋体" w:eastAsia="宋体" w:hint="default"/>
                            <w:sz w:val="21"/>
                            <w:szCs w:val="21"/>
                          </w:rPr>
                          <w:t>或承</w:t>
                        </w:r>
                        <w:r>
                          <w:rPr>
                            <w:rFonts w:ascii="宋体" w:hAnsi="宋体" w:cs="宋体" w:eastAsia="宋体" w:hint="default"/>
                            <w:spacing w:val="-103"/>
                            <w:sz w:val="21"/>
                            <w:szCs w:val="21"/>
                          </w:rPr>
                          <w:t> </w:t>
                        </w:r>
                        <w:r>
                          <w:rPr>
                            <w:rFonts w:ascii="宋体" w:hAnsi="宋体" w:cs="宋体" w:eastAsia="宋体" w:hint="default"/>
                            <w:sz w:val="21"/>
                            <w:szCs w:val="21"/>
                          </w:rPr>
                          <w:t>兑汇</w:t>
                        </w:r>
                        <w:r>
                          <w:rPr>
                            <w:rFonts w:ascii="宋体" w:hAnsi="宋体" w:cs="宋体" w:eastAsia="宋体" w:hint="default"/>
                            <w:spacing w:val="-103"/>
                            <w:sz w:val="21"/>
                            <w:szCs w:val="21"/>
                          </w:rPr>
                          <w:t> </w:t>
                        </w:r>
                        <w:r>
                          <w:rPr>
                            <w:rFonts w:ascii="宋体" w:hAnsi="宋体" w:cs="宋体" w:eastAsia="宋体" w:hint="default"/>
                            <w:sz w:val="21"/>
                            <w:szCs w:val="21"/>
                          </w:rPr>
                          <w:t>票</w:t>
                        </w:r>
                      </w:p>
                    </w:tc>
                    <w:tc>
                      <w:tcPr>
                        <w:tcW w:w="600"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152,136,502.44</w:t>
                        </w:r>
                      </w:p>
                    </w:tc>
                    <w:tc>
                      <w:tcPr>
                        <w:tcW w:w="845"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3" w:hRule="exact"/>
                    </w:trPr>
                    <w:tc>
                      <w:tcPr>
                        <w:tcW w:w="35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341" w:type="dxa"/>
                        <w:gridSpan w:val="6"/>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5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3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本公司及下属子公司与控股股东及其下属子公司、其他关</w:t>
                        </w:r>
                      </w:p>
                      <w:p>
                        <w:pPr>
                          <w:pStyle w:val="TableParagraph"/>
                          <w:spacing w:line="237" w:lineRule="auto" w:before="2"/>
                          <w:ind w:left="26" w:right="46"/>
                          <w:jc w:val="left"/>
                          <w:rPr>
                            <w:rFonts w:ascii="宋体" w:hAnsi="宋体" w:cs="宋体" w:eastAsia="宋体" w:hint="default"/>
                            <w:sz w:val="21"/>
                            <w:szCs w:val="21"/>
                          </w:rPr>
                        </w:pPr>
                        <w:r>
                          <w:rPr>
                            <w:rFonts w:ascii="宋体" w:hAnsi="宋体" w:cs="宋体" w:eastAsia="宋体" w:hint="default"/>
                            <w:spacing w:val="-5"/>
                            <w:sz w:val="21"/>
                            <w:szCs w:val="21"/>
                          </w:rPr>
                          <w:t>联方之间形成了长期的业务协作关系，相关业务合作良好</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定价公允。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公司与关联方发生的日常经营相关交易占公司相同业务比</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重较低，相关交易不影响公司独立性。</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ind w:left="138" w:right="105"/>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3"/>
        <w:spacing w:line="240" w:lineRule="auto" w:before="58"/>
        <w:ind w:left="138" w:right="10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10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10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884" w:val="left" w:leader="none"/>
        </w:tabs>
        <w:spacing w:line="282" w:lineRule="exact" w:before="56"/>
        <w:ind w:right="10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3" w:lineRule="exact"/>
        <w:ind w:left="558" w:right="105"/>
        <w:jc w:val="left"/>
      </w:pPr>
      <w:r>
        <w:rPr/>
        <w:t>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日召开第三届董事会第二十二次会议审议通过了《关于全资子公司建</w:t>
      </w:r>
    </w:p>
    <w:p>
      <w:pPr>
        <w:pStyle w:val="BodyText"/>
        <w:spacing w:line="281" w:lineRule="exact"/>
        <w:ind w:right="105"/>
        <w:jc w:val="left"/>
      </w:pPr>
      <w:r>
        <w:rPr>
          <w:w w:val="100"/>
        </w:rPr>
        <w:t>工集</w:t>
      </w:r>
      <w:r>
        <w:rPr>
          <w:spacing w:val="-3"/>
          <w:w w:val="100"/>
        </w:rPr>
        <w:t>团</w:t>
      </w:r>
      <w:r>
        <w:rPr>
          <w:w w:val="100"/>
        </w:rPr>
        <w:t>向</w:t>
      </w:r>
      <w:r>
        <w:rPr>
          <w:spacing w:val="-3"/>
          <w:w w:val="100"/>
        </w:rPr>
        <w:t>关</w:t>
      </w:r>
      <w:r>
        <w:rPr>
          <w:w w:val="100"/>
        </w:rPr>
        <w:t>联</w:t>
      </w:r>
      <w:r>
        <w:rPr>
          <w:spacing w:val="-3"/>
          <w:w w:val="100"/>
        </w:rPr>
        <w:t>人</w:t>
      </w:r>
      <w:r>
        <w:rPr>
          <w:w w:val="100"/>
        </w:rPr>
        <w:t>购</w:t>
      </w:r>
      <w:r>
        <w:rPr>
          <w:spacing w:val="-3"/>
          <w:w w:val="100"/>
        </w:rPr>
        <w:t>买</w:t>
      </w:r>
      <w:r>
        <w:rPr>
          <w:w w:val="100"/>
        </w:rPr>
        <w:t>房</w:t>
      </w:r>
      <w:r>
        <w:rPr>
          <w:spacing w:val="-3"/>
          <w:w w:val="100"/>
        </w:rPr>
        <w:t>产</w:t>
      </w:r>
      <w:r>
        <w:rPr>
          <w:w w:val="100"/>
        </w:rPr>
        <w:t>的议</w:t>
      </w:r>
      <w:r>
        <w:rPr>
          <w:spacing w:val="-3"/>
          <w:w w:val="100"/>
        </w:rPr>
        <w:t>案</w:t>
      </w:r>
      <w:r>
        <w:rPr>
          <w:spacing w:val="-106"/>
          <w:w w:val="100"/>
        </w:rPr>
        <w:t>》</w:t>
      </w:r>
      <w:r>
        <w:rPr>
          <w:spacing w:val="-3"/>
          <w:w w:val="100"/>
        </w:rPr>
        <w:t>，</w:t>
      </w:r>
      <w:r>
        <w:rPr>
          <w:w w:val="100"/>
        </w:rPr>
        <w:t>并于</w:t>
      </w:r>
      <w:r>
        <w:rPr>
          <w:spacing w:val="-5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rPr>
        <w:t> </w:t>
      </w:r>
      <w:r>
        <w:rPr>
          <w:w w:val="100"/>
        </w:rPr>
        <w:t>年</w:t>
      </w:r>
      <w:r>
        <w:rPr>
          <w:spacing w:val="-50"/>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rPr>
        <w:t> </w:t>
      </w:r>
      <w:r>
        <w:rPr>
          <w:w w:val="100"/>
        </w:rPr>
        <w:t>日</w:t>
      </w:r>
      <w:r>
        <w:rPr>
          <w:spacing w:val="-3"/>
          <w:w w:val="100"/>
        </w:rPr>
        <w:t>披</w:t>
      </w:r>
      <w:r>
        <w:rPr>
          <w:w w:val="100"/>
        </w:rPr>
        <w:t>露</w:t>
      </w:r>
      <w:r>
        <w:rPr>
          <w:spacing w:val="-3"/>
          <w:w w:val="100"/>
        </w:rPr>
        <w:t>了</w:t>
      </w:r>
      <w:r>
        <w:rPr>
          <w:w w:val="100"/>
        </w:rPr>
        <w:t>《</w:t>
      </w:r>
      <w:r>
        <w:rPr>
          <w:spacing w:val="-3"/>
          <w:w w:val="100"/>
        </w:rPr>
        <w:t>宁</w:t>
      </w:r>
      <w:r>
        <w:rPr>
          <w:w w:val="100"/>
        </w:rPr>
        <w:t>波</w:t>
      </w:r>
      <w:r>
        <w:rPr>
          <w:spacing w:val="-3"/>
          <w:w w:val="100"/>
        </w:rPr>
        <w:t>建工</w:t>
      </w:r>
      <w:r>
        <w:rPr>
          <w:w w:val="100"/>
        </w:rPr>
        <w:t>股份</w:t>
      </w:r>
      <w:r>
        <w:rPr>
          <w:spacing w:val="-3"/>
          <w:w w:val="100"/>
        </w:rPr>
        <w:t>有</w:t>
      </w:r>
      <w:r>
        <w:rPr>
          <w:w w:val="100"/>
        </w:rPr>
        <w:t>限</w:t>
      </w:r>
      <w:r>
        <w:rPr>
          <w:spacing w:val="-3"/>
          <w:w w:val="100"/>
        </w:rPr>
        <w:t>公</w:t>
      </w:r>
      <w:r>
        <w:rPr>
          <w:w w:val="100"/>
        </w:rPr>
        <w:t>司</w:t>
      </w:r>
      <w:r>
        <w:rPr>
          <w:spacing w:val="-3"/>
          <w:w w:val="100"/>
        </w:rPr>
        <w:t>关于</w:t>
      </w:r>
      <w:r>
        <w:rPr>
          <w:w w:val="100"/>
        </w:rPr>
      </w:r>
    </w:p>
    <w:p>
      <w:pPr>
        <w:spacing w:after="0" w:line="281"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2" w:lineRule="exact" w:before="36"/>
        <w:ind w:right="0"/>
        <w:jc w:val="left"/>
        <w:rPr>
          <w:rFonts w:ascii="Times New Roman" w:hAnsi="Times New Roman" w:cs="Times New Roman" w:eastAsia="Times New Roman" w:hint="default"/>
        </w:rPr>
      </w:pPr>
      <w:r>
        <w:rPr>
          <w:w w:val="100"/>
        </w:rPr>
        <w:t>全资</w:t>
      </w:r>
      <w:r>
        <w:rPr>
          <w:spacing w:val="-3"/>
          <w:w w:val="100"/>
        </w:rPr>
        <w:t>子</w:t>
      </w:r>
      <w:r>
        <w:rPr>
          <w:w w:val="100"/>
        </w:rPr>
        <w:t>公</w:t>
      </w:r>
      <w:r>
        <w:rPr>
          <w:spacing w:val="-3"/>
          <w:w w:val="100"/>
        </w:rPr>
        <w:t>司</w:t>
      </w:r>
      <w:r>
        <w:rPr>
          <w:w w:val="100"/>
        </w:rPr>
        <w:t>建</w:t>
      </w:r>
      <w:r>
        <w:rPr>
          <w:spacing w:val="-3"/>
          <w:w w:val="100"/>
        </w:rPr>
        <w:t>工</w:t>
      </w:r>
      <w:r>
        <w:rPr>
          <w:w w:val="100"/>
        </w:rPr>
        <w:t>集</w:t>
      </w:r>
      <w:r>
        <w:rPr>
          <w:spacing w:val="-3"/>
          <w:w w:val="100"/>
        </w:rPr>
        <w:t>团</w:t>
      </w:r>
      <w:r>
        <w:rPr>
          <w:w w:val="100"/>
        </w:rPr>
        <w:t>向</w:t>
      </w:r>
      <w:r>
        <w:rPr>
          <w:spacing w:val="-3"/>
          <w:w w:val="100"/>
        </w:rPr>
        <w:t>关</w:t>
      </w:r>
      <w:r>
        <w:rPr>
          <w:w w:val="100"/>
        </w:rPr>
        <w:t>联人</w:t>
      </w:r>
      <w:r>
        <w:rPr>
          <w:spacing w:val="-3"/>
          <w:w w:val="100"/>
        </w:rPr>
        <w:t>购</w:t>
      </w:r>
      <w:r>
        <w:rPr>
          <w:w w:val="100"/>
        </w:rPr>
        <w:t>买</w:t>
      </w:r>
      <w:r>
        <w:rPr>
          <w:spacing w:val="-3"/>
          <w:w w:val="100"/>
        </w:rPr>
        <w:t>房</w:t>
      </w:r>
      <w:r>
        <w:rPr>
          <w:w w:val="100"/>
        </w:rPr>
        <w:t>产</w:t>
      </w:r>
      <w:r>
        <w:rPr>
          <w:spacing w:val="-3"/>
          <w:w w:val="100"/>
        </w:rPr>
        <w:t>的</w:t>
      </w:r>
      <w:r>
        <w:rPr>
          <w:w w:val="100"/>
        </w:rPr>
        <w:t>公</w:t>
      </w:r>
      <w:r>
        <w:rPr>
          <w:spacing w:val="-3"/>
          <w:w w:val="100"/>
        </w:rPr>
        <w:t>告</w:t>
      </w:r>
      <w:r>
        <w:rPr>
          <w:spacing w:val="-106"/>
          <w:w w:val="100"/>
        </w:rPr>
        <w:t>》</w:t>
      </w:r>
      <w:r>
        <w:rPr>
          <w:spacing w:val="-3"/>
          <w:w w:val="100"/>
        </w:rPr>
        <w:t>（公</w:t>
      </w:r>
      <w:r>
        <w:rPr>
          <w:w w:val="100"/>
        </w:rPr>
        <w:t>告编号</w:t>
      </w:r>
      <w:r>
        <w:rPr>
          <w:spacing w:val="-28"/>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066</w:t>
      </w:r>
      <w:r>
        <w:rPr>
          <w:spacing w:val="-108"/>
          <w:w w:val="100"/>
        </w:rPr>
        <w:t>）</w:t>
      </w:r>
      <w:r>
        <w:rPr>
          <w:w w:val="100"/>
        </w:rPr>
        <w:t>。</w:t>
      </w:r>
      <w:r>
        <w:rPr>
          <w:spacing w:val="-3"/>
          <w:w w:val="100"/>
        </w:rPr>
        <w:t>公司</w:t>
      </w:r>
      <w:r>
        <w:rPr>
          <w:w w:val="100"/>
        </w:rPr>
        <w:t>于</w:t>
      </w:r>
      <w:r>
        <w:rPr>
          <w:spacing w:val="-26"/>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24"/>
        </w:rPr>
        <w:t> </w:t>
      </w:r>
      <w:r>
        <w:rPr>
          <w:w w:val="100"/>
        </w:rPr>
        <w:t>年</w:t>
      </w:r>
      <w:r>
        <w:rPr>
          <w:spacing w:val="-26"/>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w w:val="100"/>
        </w:rPr>
        <w:t>月</w:t>
      </w:r>
      <w:r>
        <w:rPr>
          <w:spacing w:val="-26"/>
        </w:rPr>
        <w:t> </w:t>
      </w:r>
      <w:r>
        <w:rPr>
          <w:rFonts w:ascii="Times New Roman" w:hAnsi="Times New Roman" w:cs="Times New Roman" w:eastAsia="Times New Roman" w:hint="default"/>
          <w:w w:val="100"/>
        </w:rPr>
        <w:t>27</w:t>
      </w:r>
    </w:p>
    <w:p>
      <w:pPr>
        <w:pStyle w:val="BodyText"/>
        <w:spacing w:line="225" w:lineRule="auto" w:before="6"/>
        <w:ind w:right="128"/>
        <w:jc w:val="both"/>
      </w:pPr>
      <w:r>
        <w:rPr>
          <w:spacing w:val="-1"/>
          <w:w w:val="100"/>
        </w:rPr>
        <w:t>日召开</w:t>
      </w:r>
      <w:r>
        <w:rPr>
          <w:spacing w:val="-52"/>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spacing w:val="-4"/>
          <w:w w:val="100"/>
        </w:rPr>
        <w:t>年第二次临时股东大会审议通过了上述议案。本次交易为公司全资子公司建工集团以</w:t>
      </w:r>
      <w:r>
        <w:rPr>
          <w:w w:val="100"/>
        </w:rPr>
        <w:t> </w:t>
      </w:r>
      <w:r>
        <w:rPr>
          <w:spacing w:val="13"/>
        </w:rPr>
        <w:t>现金方式购买关联方广天日月拥有的宁波市鄞州区兴宁路</w:t>
      </w:r>
      <w:r>
        <w:rPr>
          <w:spacing w:val="68"/>
        </w:rPr>
        <w:t> </w:t>
      </w:r>
      <w:r>
        <w:rPr>
          <w:rFonts w:ascii="Times New Roman" w:hAnsi="Times New Roman" w:cs="Times New Roman" w:eastAsia="Times New Roman" w:hint="default"/>
        </w:rPr>
        <w:t>46</w:t>
      </w:r>
      <w:r>
        <w:rPr>
          <w:rFonts w:ascii="Times New Roman" w:hAnsi="Times New Roman" w:cs="Times New Roman" w:eastAsia="Times New Roman" w:hint="default"/>
          <w:spacing w:val="8"/>
        </w:rPr>
        <w:t> </w:t>
      </w:r>
      <w:r>
        <w:rPr>
          <w:spacing w:val="13"/>
        </w:rPr>
        <w:t>号大楼，交易总额为人民币</w:t>
      </w:r>
      <w:r>
        <w:rPr>
          <w:spacing w:val="-94"/>
        </w:rPr>
        <w:t> </w:t>
      </w:r>
      <w:r>
        <w:rPr>
          <w:spacing w:val="-94"/>
        </w:rPr>
      </w:r>
      <w:r>
        <w:rPr>
          <w:rFonts w:ascii="Times New Roman" w:hAnsi="Times New Roman" w:cs="Times New Roman" w:eastAsia="Times New Roman" w:hint="default"/>
          <w:spacing w:val="-1"/>
          <w:w w:val="100"/>
        </w:rPr>
        <w:t>124,921,390</w:t>
      </w:r>
      <w:r>
        <w:rPr>
          <w:rFonts w:ascii="Times New Roman" w:hAnsi="Times New Roman" w:cs="Times New Roman" w:eastAsia="Times New Roman" w:hint="default"/>
          <w:spacing w:val="6"/>
          <w:w w:val="100"/>
        </w:rPr>
        <w:t> </w:t>
      </w:r>
      <w:r>
        <w:rPr>
          <w:spacing w:val="-4"/>
          <w:w w:val="100"/>
        </w:rPr>
        <w:t>元。股东大会审议后，双方签订了《房屋买卖合同》，截止报告期末，建工集团已支</w:t>
      </w:r>
      <w:r>
        <w:rPr>
          <w:w w:val="100"/>
        </w:rPr>
        <w:t> </w:t>
      </w:r>
      <w:r>
        <w:rPr/>
        <w:t>付上述款项，上述房产产权变更登记手续已办理完毕，该项交易已实施完毕。</w:t>
      </w:r>
    </w:p>
    <w:p>
      <w:pPr>
        <w:spacing w:line="240" w:lineRule="auto" w:before="13"/>
        <w:rPr>
          <w:rFonts w:ascii="宋体" w:hAnsi="宋体" w:cs="宋体" w:eastAsia="宋体" w:hint="default"/>
          <w:sz w:val="22"/>
          <w:szCs w:val="22"/>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21"/>
          <w:szCs w:val="21"/>
        </w:rPr>
      </w:pPr>
    </w:p>
    <w:p>
      <w:pPr>
        <w:pStyle w:val="Heading3"/>
        <w:spacing w:line="240" w:lineRule="auto" w:before="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29"/>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13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896" w:val="left" w:leader="none"/>
        </w:tabs>
        <w:spacing w:line="240" w:lineRule="auto" w:before="32"/>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3"/>
        <w:tabs>
          <w:tab w:pos="977" w:val="left" w:leader="none"/>
        </w:tabs>
        <w:spacing w:line="290" w:lineRule="auto" w:before="0"/>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0"/>
        <w:jc w:val="left"/>
      </w:pPr>
      <w:r>
        <w:rPr/>
        <w:t>√适用 □不适用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tabs>
          <w:tab w:pos="1006" w:val="left" w:leader="none"/>
        </w:tabs>
        <w:spacing w:line="240" w:lineRule="auto" w:before="36"/>
        <w:ind w:left="0" w:right="613"/>
        <w:jc w:val="righ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元</w:t>
        <w:tab/>
        <w:t>币种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人民币</w:t>
      </w:r>
    </w:p>
    <w:tbl>
      <w:tblPr>
        <w:tblW w:w="0" w:type="auto"/>
        <w:jc w:val="left"/>
        <w:tblInd w:w="1362" w:type="dxa"/>
        <w:tblLayout w:type="fixed"/>
        <w:tblCellMar>
          <w:top w:w="0" w:type="dxa"/>
          <w:left w:w="0" w:type="dxa"/>
          <w:bottom w:w="0" w:type="dxa"/>
          <w:right w:w="0" w:type="dxa"/>
        </w:tblCellMar>
        <w:tblLook w:val="01E0"/>
      </w:tblPr>
      <w:tblGrid>
        <w:gridCol w:w="626"/>
        <w:gridCol w:w="624"/>
        <w:gridCol w:w="626"/>
        <w:gridCol w:w="701"/>
        <w:gridCol w:w="624"/>
        <w:gridCol w:w="631"/>
        <w:gridCol w:w="624"/>
        <w:gridCol w:w="624"/>
        <w:gridCol w:w="624"/>
        <w:gridCol w:w="624"/>
        <w:gridCol w:w="701"/>
        <w:gridCol w:w="625"/>
        <w:gridCol w:w="624"/>
        <w:gridCol w:w="617"/>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5" w:right="95"/>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9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43" w:right="41"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8" w:right="9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6"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1"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4"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554"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子公司的担保）</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0</w:t>
            </w:r>
          </w:p>
        </w:tc>
      </w:tr>
      <w:tr>
        <w:trPr>
          <w:trHeight w:val="320"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1" w:right="0"/>
              <w:jc w:val="left"/>
              <w:rPr>
                <w:rFonts w:ascii="宋体" w:hAnsi="宋体" w:cs="宋体" w:eastAsia="宋体" w:hint="default"/>
                <w:sz w:val="21"/>
                <w:szCs w:val="21"/>
              </w:rPr>
            </w:pPr>
            <w:r>
              <w:rPr>
                <w:rFonts w:ascii="宋体"/>
                <w:sz w:val="21"/>
              </w:rPr>
              <w:t>4,627,800,000.00</w:t>
            </w:r>
          </w:p>
        </w:tc>
      </w:tr>
      <w:tr>
        <w:trPr>
          <w:trHeight w:val="319"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1" w:right="0"/>
              <w:jc w:val="left"/>
              <w:rPr>
                <w:rFonts w:ascii="宋体" w:hAnsi="宋体" w:cs="宋体" w:eastAsia="宋体" w:hint="default"/>
                <w:sz w:val="21"/>
                <w:szCs w:val="21"/>
              </w:rPr>
            </w:pPr>
            <w:r>
              <w:rPr>
                <w:rFonts w:ascii="宋体"/>
                <w:sz w:val="21"/>
              </w:rPr>
              <w:t>2,518,800,000.00</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1" w:right="0"/>
              <w:jc w:val="left"/>
              <w:rPr>
                <w:rFonts w:ascii="宋体" w:hAnsi="宋体" w:cs="宋体" w:eastAsia="宋体" w:hint="default"/>
                <w:sz w:val="21"/>
                <w:szCs w:val="21"/>
              </w:rPr>
            </w:pPr>
            <w:r>
              <w:rPr>
                <w:rFonts w:ascii="宋体"/>
                <w:sz w:val="21"/>
              </w:rPr>
              <w:t>2,518,800,000.00</w:t>
            </w:r>
          </w:p>
        </w:tc>
      </w:tr>
      <w:tr>
        <w:trPr>
          <w:trHeight w:val="319"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92.68%</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w w:val="100"/>
                <w:sz w:val="21"/>
              </w:rPr>
              <w:t>0</w:t>
            </w:r>
          </w:p>
        </w:tc>
      </w:tr>
      <w:tr>
        <w:trPr>
          <w:trHeight w:val="555"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6" w:right="0"/>
              <w:jc w:val="left"/>
              <w:rPr>
                <w:rFonts w:ascii="宋体" w:hAnsi="宋体" w:cs="宋体" w:eastAsia="宋体" w:hint="default"/>
                <w:sz w:val="21"/>
                <w:szCs w:val="21"/>
              </w:rPr>
            </w:pPr>
            <w:r>
              <w:rPr>
                <w:rFonts w:ascii="宋体"/>
                <w:sz w:val="21"/>
              </w:rPr>
              <w:t>2,410,800,000.00</w:t>
            </w:r>
          </w:p>
        </w:tc>
      </w:tr>
      <w:tr>
        <w:trPr>
          <w:trHeight w:val="31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6" w:right="0"/>
              <w:jc w:val="left"/>
              <w:rPr>
                <w:rFonts w:ascii="宋体" w:hAnsi="宋体" w:cs="宋体" w:eastAsia="宋体" w:hint="default"/>
                <w:sz w:val="21"/>
                <w:szCs w:val="21"/>
              </w:rPr>
            </w:pPr>
            <w:r>
              <w:rPr>
                <w:rFonts w:ascii="宋体"/>
                <w:sz w:val="21"/>
              </w:rPr>
              <w:t>1,159,888,822.17</w:t>
            </w:r>
          </w:p>
        </w:tc>
      </w:tr>
      <w:tr>
        <w:trPr>
          <w:trHeight w:val="319"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6" w:right="0"/>
              <w:jc w:val="left"/>
              <w:rPr>
                <w:rFonts w:ascii="宋体" w:hAnsi="宋体" w:cs="宋体" w:eastAsia="宋体" w:hint="default"/>
                <w:sz w:val="21"/>
                <w:szCs w:val="21"/>
              </w:rPr>
            </w:pPr>
            <w:r>
              <w:rPr>
                <w:rFonts w:ascii="宋体"/>
                <w:sz w:val="21"/>
              </w:rPr>
              <w:t>3,570,688,822.17</w:t>
            </w:r>
          </w:p>
        </w:tc>
      </w:tr>
      <w:tr>
        <w:trPr>
          <w:trHeight w:val="317"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19" w:hRule="exact"/>
        </w:trPr>
        <w:tc>
          <w:tcPr>
            <w:tcW w:w="38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3"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400" w:right="340"/>
        </w:sectPr>
      </w:pPr>
    </w:p>
    <w:p>
      <w:pPr>
        <w:pStyle w:val="Heading3"/>
        <w:tabs>
          <w:tab w:pos="2237" w:val="left" w:leader="none"/>
        </w:tabs>
        <w:spacing w:line="290" w:lineRule="auto"/>
        <w:ind w:left="139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3"/>
        <w:spacing w:line="273" w:lineRule="exact" w:before="14"/>
        <w:ind w:left="1398" w:right="0"/>
        <w:jc w:val="left"/>
        <w:rPr>
          <w:b w:val="0"/>
          <w:bCs w:val="0"/>
        </w:rPr>
      </w:pPr>
      <w:r>
        <w:rPr>
          <w:rFonts w:ascii="宋体" w:hAnsi="宋体" w:cs="宋体" w:eastAsia="宋体" w:hint="default"/>
        </w:rPr>
        <w:t>(1).</w:t>
      </w:r>
      <w:r>
        <w:rPr/>
        <w:t>委托理财总体情况</w:t>
      </w:r>
      <w:r>
        <w:rPr>
          <w:b w:val="0"/>
          <w:bCs w:val="0"/>
        </w:rPr>
      </w:r>
    </w:p>
    <w:p>
      <w:pPr>
        <w:pStyle w:val="BodyText"/>
        <w:tabs>
          <w:tab w:pos="2144" w:val="left" w:leader="none"/>
        </w:tabs>
        <w:spacing w:line="289" w:lineRule="exact"/>
        <w:ind w:left="139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2660" w:val="left" w:leader="none"/>
        </w:tabs>
        <w:spacing w:line="240" w:lineRule="auto"/>
        <w:ind w:left="13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400" w:right="340"/>
          <w:cols w:num="2" w:equalWidth="0">
            <w:col w:w="5402" w:space="909"/>
            <w:col w:w="4859"/>
          </w:cols>
        </w:sectPr>
      </w:pPr>
    </w:p>
    <w:p>
      <w:pPr>
        <w:spacing w:line="240" w:lineRule="auto" w:before="4"/>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13,235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805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sz w:val="12"/>
          <w:szCs w:val="12"/>
        </w:rPr>
      </w:pPr>
    </w:p>
    <w:p>
      <w:pPr>
        <w:pStyle w:val="Heading3"/>
        <w:spacing w:line="274" w:lineRule="exact"/>
        <w:ind w:left="1398" w:right="928"/>
        <w:jc w:val="left"/>
        <w:rPr>
          <w:b w:val="0"/>
          <w:bCs w:val="0"/>
        </w:rPr>
      </w:pPr>
      <w:r>
        <w:rPr/>
        <w:t>其他情况</w:t>
      </w:r>
      <w:r>
        <w:rPr>
          <w:b w:val="0"/>
          <w:bCs w:val="0"/>
        </w:rPr>
      </w:r>
    </w:p>
    <w:p>
      <w:pPr>
        <w:pStyle w:val="BodyText"/>
        <w:tabs>
          <w:tab w:pos="2240" w:val="left" w:leader="none"/>
        </w:tabs>
        <w:spacing w:line="274" w:lineRule="exact"/>
        <w:ind w:left="1398" w:right="928"/>
        <w:jc w:val="left"/>
      </w:pPr>
      <w:r>
        <w:rPr/>
        <w:t>□适用</w:t>
        <w:tab/>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400" w:right="340"/>
        </w:sectPr>
      </w:pPr>
    </w:p>
    <w:p>
      <w:pPr>
        <w:pStyle w:val="Heading3"/>
        <w:spacing w:line="273" w:lineRule="exact"/>
        <w:ind w:left="1398" w:right="-16"/>
        <w:jc w:val="left"/>
        <w:rPr>
          <w:b w:val="0"/>
          <w:bCs w:val="0"/>
        </w:rPr>
      </w:pPr>
      <w:r>
        <w:rPr>
          <w:rFonts w:ascii="宋体" w:hAnsi="宋体" w:cs="宋体" w:eastAsia="宋体" w:hint="default"/>
        </w:rPr>
        <w:t>(2).</w:t>
      </w:r>
      <w:r>
        <w:rPr/>
        <w:t>单项委托理财情况</w:t>
      </w:r>
      <w:r>
        <w:rPr>
          <w:b w:val="0"/>
          <w:bCs w:val="0"/>
        </w:rPr>
      </w:r>
    </w:p>
    <w:p>
      <w:pPr>
        <w:pStyle w:val="BodyText"/>
        <w:tabs>
          <w:tab w:pos="2144" w:val="left" w:leader="none"/>
        </w:tabs>
        <w:spacing w:line="289" w:lineRule="exact"/>
        <w:ind w:left="139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660" w:val="left" w:leader="none"/>
        </w:tabs>
        <w:spacing w:line="240" w:lineRule="auto"/>
        <w:ind w:left="13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400" w:right="340"/>
          <w:cols w:num="2" w:equalWidth="0">
            <w:col w:w="3513" w:space="2798"/>
            <w:col w:w="4859"/>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25"/>
        <w:gridCol w:w="425"/>
        <w:gridCol w:w="1277"/>
        <w:gridCol w:w="1318"/>
        <w:gridCol w:w="1260"/>
        <w:gridCol w:w="430"/>
        <w:gridCol w:w="427"/>
        <w:gridCol w:w="428"/>
        <w:gridCol w:w="1243"/>
        <w:gridCol w:w="569"/>
        <w:gridCol w:w="848"/>
        <w:gridCol w:w="427"/>
        <w:gridCol w:w="425"/>
        <w:gridCol w:w="710"/>
        <w:gridCol w:w="706"/>
      </w:tblGrid>
      <w:tr>
        <w:trPr>
          <w:trHeight w:val="110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委</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7" w:right="103"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5" w:right="125"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03" w:right="201"/>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100" w:right="103"/>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报</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7"/>
              <w:ind w:left="299" w:right="299"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预</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1"/>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实</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36" w:right="13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p>
        </w:tc>
      </w:tr>
    </w:tbl>
    <w:p>
      <w:pPr>
        <w:spacing w:after="0" w:line="237" w:lineRule="auto"/>
        <w:jc w:val="both"/>
        <w:rPr>
          <w:rFonts w:ascii="宋体" w:hAnsi="宋体" w:cs="宋体" w:eastAsia="宋体" w:hint="default"/>
          <w:sz w:val="21"/>
          <w:szCs w:val="21"/>
        </w:rPr>
        <w:sectPr>
          <w:type w:val="continuous"/>
          <w:pgSz w:w="11910" w:h="16840"/>
          <w:pgMar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25"/>
        <w:gridCol w:w="425"/>
        <w:gridCol w:w="1277"/>
        <w:gridCol w:w="1318"/>
        <w:gridCol w:w="1260"/>
        <w:gridCol w:w="430"/>
        <w:gridCol w:w="427"/>
        <w:gridCol w:w="428"/>
        <w:gridCol w:w="1243"/>
        <w:gridCol w:w="569"/>
        <w:gridCol w:w="848"/>
        <w:gridCol w:w="427"/>
        <w:gridCol w:w="425"/>
        <w:gridCol w:w="710"/>
        <w:gridCol w:w="706"/>
      </w:tblGrid>
      <w:tr>
        <w:trPr>
          <w:trHeight w:val="1100" w:hRule="exact"/>
        </w:trPr>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型</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式</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w:t>
            </w:r>
          </w:p>
          <w:p>
            <w:pPr>
              <w:pStyle w:val="TableParagraph"/>
              <w:spacing w:line="281" w:lineRule="exact"/>
              <w:ind w:left="1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法</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财计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划</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w:t>
            </w:r>
          </w:p>
          <w:p>
            <w:pPr>
              <w:pStyle w:val="TableParagraph"/>
              <w:spacing w:line="281" w:lineRule="exact"/>
              <w:ind w:left="2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2017.2.16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2017.2.27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3.26</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0.98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2017.3.30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2.70</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2.17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400.00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2"/>
                <w:sz w:val="21"/>
              </w:rPr>
              <w:t>2017.3.11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2017.3.30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2.70</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0.80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2017.1.26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2017.4.26</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2017.1.26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2017.2.20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0.39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25"/>
        <w:gridCol w:w="425"/>
        <w:gridCol w:w="1277"/>
        <w:gridCol w:w="1318"/>
        <w:gridCol w:w="1260"/>
        <w:gridCol w:w="430"/>
        <w:gridCol w:w="427"/>
        <w:gridCol w:w="428"/>
        <w:gridCol w:w="1243"/>
        <w:gridCol w:w="569"/>
        <w:gridCol w:w="848"/>
        <w:gridCol w:w="427"/>
        <w:gridCol w:w="425"/>
        <w:gridCol w:w="710"/>
        <w:gridCol w:w="706"/>
      </w:tblGrid>
      <w:tr>
        <w:trPr>
          <w:trHeight w:val="1100"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2017.3.13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0.84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900.00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2017.3.31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4.08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2017.4.6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2017.5.2</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1.00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2017.5.2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2017.7.31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1.55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平</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2017.1.26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2017.2.27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63" w:right="0"/>
              <w:jc w:val="left"/>
              <w:rPr>
                <w:rFonts w:ascii="Times New Roman" w:hAnsi="Times New Roman" w:cs="Times New Roman" w:eastAsia="Times New Roman" w:hint="default"/>
                <w:sz w:val="21"/>
                <w:szCs w:val="21"/>
              </w:rPr>
            </w:pPr>
            <w:r>
              <w:rPr>
                <w:rFonts w:ascii="Times New Roman"/>
                <w:sz w:val="21"/>
              </w:rPr>
              <w:t>2.50</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12.05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25"/>
        <w:gridCol w:w="425"/>
        <w:gridCol w:w="1277"/>
        <w:gridCol w:w="1318"/>
        <w:gridCol w:w="1260"/>
        <w:gridCol w:w="430"/>
        <w:gridCol w:w="427"/>
        <w:gridCol w:w="428"/>
        <w:gridCol w:w="1243"/>
        <w:gridCol w:w="569"/>
        <w:gridCol w:w="848"/>
        <w:gridCol w:w="427"/>
        <w:gridCol w:w="425"/>
        <w:gridCol w:w="710"/>
        <w:gridCol w:w="706"/>
      </w:tblGrid>
      <w:tr>
        <w:trPr>
          <w:trHeight w:val="557"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平</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2017.2.3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2017.2.27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2.50</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7.40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187"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平</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2017.4.17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2017.4.24</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3.35</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6.52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平</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2017.4.28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2017.5.12</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3.35</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10.28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平</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宁</w:t>
            </w:r>
            <w:r>
              <w:rPr>
                <w:rFonts w:ascii="宋体" w:hAnsi="宋体" w:cs="宋体" w:eastAsia="宋体" w:hint="default"/>
                <w:w w:val="100"/>
                <w:sz w:val="21"/>
                <w:szCs w:val="21"/>
              </w:rPr>
              <w:t> </w:t>
            </w: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2017.4.28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2017.5.12</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3.35</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2.57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2017.10.9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2017.10.17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2.54</w:t>
            </w: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0.33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宁</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w w:val="100"/>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2017.10.9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2017.11.1</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1.44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400" w:right="3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25"/>
        <w:gridCol w:w="425"/>
        <w:gridCol w:w="1277"/>
        <w:gridCol w:w="1318"/>
        <w:gridCol w:w="1260"/>
        <w:gridCol w:w="430"/>
        <w:gridCol w:w="427"/>
        <w:gridCol w:w="428"/>
        <w:gridCol w:w="1243"/>
        <w:gridCol w:w="569"/>
        <w:gridCol w:w="848"/>
        <w:gridCol w:w="427"/>
        <w:gridCol w:w="425"/>
        <w:gridCol w:w="710"/>
        <w:gridCol w:w="706"/>
      </w:tblGrid>
      <w:tr>
        <w:trPr>
          <w:trHeight w:val="1102"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Heading3"/>
        <w:spacing w:line="273" w:lineRule="exact"/>
        <w:ind w:left="1398" w:right="928"/>
        <w:jc w:val="left"/>
        <w:rPr>
          <w:b w:val="0"/>
          <w:bCs w:val="0"/>
        </w:rPr>
      </w:pPr>
      <w:r>
        <w:rPr/>
        <w:t>其他情况</w:t>
      </w:r>
      <w:r>
        <w:rPr>
          <w:b w:val="0"/>
          <w:bCs w:val="0"/>
        </w:rPr>
      </w:r>
    </w:p>
    <w:p>
      <w:pPr>
        <w:pStyle w:val="BodyText"/>
        <w:tabs>
          <w:tab w:pos="2156" w:val="left" w:leader="none"/>
        </w:tabs>
        <w:spacing w:line="289" w:lineRule="exact"/>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Heading3"/>
        <w:spacing w:line="274" w:lineRule="exact" w:before="0"/>
        <w:ind w:left="1398" w:right="928"/>
        <w:jc w:val="left"/>
        <w:rPr>
          <w:b w:val="0"/>
          <w:bCs w:val="0"/>
        </w:rPr>
      </w:pPr>
      <w:r>
        <w:rPr>
          <w:rFonts w:ascii="宋体" w:hAnsi="宋体" w:cs="宋体" w:eastAsia="宋体" w:hint="default"/>
        </w:rPr>
        <w:t>(3).</w:t>
      </w:r>
      <w:r>
        <w:rPr/>
        <w:t>委托理财减值准备</w:t>
      </w:r>
      <w:r>
        <w:rPr>
          <w:b w:val="0"/>
          <w:bCs w:val="0"/>
        </w:rPr>
      </w:r>
    </w:p>
    <w:p>
      <w:pPr>
        <w:pStyle w:val="BodyText"/>
        <w:tabs>
          <w:tab w:pos="2156" w:val="left" w:leader="none"/>
        </w:tabs>
        <w:spacing w:line="290" w:lineRule="exact"/>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3"/>
        <w:spacing w:line="290" w:lineRule="auto" w:before="0"/>
        <w:ind w:left="1398" w:right="76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2156" w:val="left" w:leader="none"/>
        </w:tabs>
        <w:spacing w:line="233" w:lineRule="exact"/>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64" w:lineRule="exact" w:before="0"/>
        <w:ind w:left="1398" w:right="928"/>
        <w:jc w:val="left"/>
        <w:rPr>
          <w:b w:val="0"/>
          <w:bCs w:val="0"/>
        </w:rPr>
      </w:pPr>
      <w:r>
        <w:rPr/>
        <w:t>其他情况</w:t>
      </w:r>
      <w:r>
        <w:rPr>
          <w:b w:val="0"/>
          <w:bCs w:val="0"/>
        </w:rPr>
      </w:r>
    </w:p>
    <w:p>
      <w:pPr>
        <w:pStyle w:val="BodyText"/>
        <w:tabs>
          <w:tab w:pos="2156" w:val="left" w:leader="none"/>
        </w:tabs>
        <w:spacing w:line="290" w:lineRule="exact"/>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Heading3"/>
        <w:spacing w:line="274" w:lineRule="exact" w:before="0"/>
        <w:ind w:left="1398" w:right="928"/>
        <w:jc w:val="left"/>
        <w:rPr>
          <w:b w:val="0"/>
          <w:bCs w:val="0"/>
        </w:rPr>
      </w:pPr>
      <w:r>
        <w:rPr>
          <w:rFonts w:ascii="宋体" w:hAnsi="宋体" w:cs="宋体" w:eastAsia="宋体" w:hint="default"/>
        </w:rPr>
        <w:t>(2).</w:t>
      </w:r>
      <w:r>
        <w:rPr/>
        <w:t>单项委托贷款情况</w:t>
      </w:r>
      <w:r>
        <w:rPr>
          <w:b w:val="0"/>
          <w:bCs w:val="0"/>
        </w:rPr>
      </w:r>
    </w:p>
    <w:p>
      <w:pPr>
        <w:tabs>
          <w:tab w:pos="2156" w:val="left" w:leader="none"/>
        </w:tabs>
        <w:spacing w:line="272" w:lineRule="exact" w:before="27"/>
        <w:ind w:left="1398" w:right="82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156" w:val="left" w:leader="none"/>
        </w:tabs>
        <w:spacing w:line="262" w:lineRule="exact"/>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Heading3"/>
        <w:spacing w:line="273" w:lineRule="exact" w:before="0"/>
        <w:ind w:left="1398" w:right="928"/>
        <w:jc w:val="left"/>
        <w:rPr>
          <w:b w:val="0"/>
          <w:bCs w:val="0"/>
        </w:rPr>
      </w:pPr>
      <w:r>
        <w:rPr>
          <w:rFonts w:ascii="宋体" w:hAnsi="宋体" w:cs="宋体" w:eastAsia="宋体" w:hint="default"/>
        </w:rPr>
        <w:t>(3).</w:t>
      </w:r>
      <w:r>
        <w:rPr/>
        <w:t>委托贷款减值准备</w:t>
      </w:r>
      <w:r>
        <w:rPr>
          <w:b w:val="0"/>
          <w:bCs w:val="0"/>
        </w:rPr>
      </w:r>
    </w:p>
    <w:p>
      <w:pPr>
        <w:pStyle w:val="BodyText"/>
        <w:tabs>
          <w:tab w:pos="2156" w:val="left" w:leader="none"/>
        </w:tabs>
        <w:spacing w:line="289" w:lineRule="exact"/>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1398" w:right="928"/>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2156" w:val="left" w:leader="none"/>
        </w:tabs>
        <w:spacing w:line="240" w:lineRule="auto" w:before="58"/>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tabs>
          <w:tab w:pos="2237" w:val="left" w:leader="none"/>
        </w:tabs>
        <w:spacing w:line="240" w:lineRule="auto" w:before="0"/>
        <w:ind w:left="1398" w:right="92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2144" w:val="left" w:leader="none"/>
        </w:tabs>
        <w:spacing w:line="230" w:lineRule="auto" w:before="66"/>
        <w:ind w:left="1398" w:right="9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4"/>
          <w:w w:val="100"/>
        </w:rPr>
        <w:t>1</w:t>
      </w:r>
      <w:r>
        <w:rPr>
          <w:spacing w:val="-4"/>
          <w:w w:val="100"/>
        </w:rPr>
        <w:t>、公司子公司宁波建工建乐工程有限公司与宁波宏泰房地产开发有限公司签订宁波东部新城门户</w:t>
      </w:r>
      <w:r>
        <w:rPr>
          <w:spacing w:val="-86"/>
          <w:w w:val="100"/>
        </w:rPr>
        <w:t> </w:t>
      </w:r>
      <w:r>
        <w:rPr>
          <w:spacing w:val="-86"/>
          <w:w w:val="100"/>
        </w:rPr>
      </w:r>
      <w:r>
        <w:rPr/>
        <w:t>区南区</w:t>
      </w:r>
      <w:r>
        <w:rPr>
          <w:spacing w:val="-54"/>
        </w:rPr>
        <w:t> </w:t>
      </w:r>
      <w:r>
        <w:rPr>
          <w:rFonts w:ascii="宋体" w:hAnsi="宋体" w:cs="宋体" w:eastAsia="宋体" w:hint="default"/>
        </w:rPr>
        <w:t>4#-1</w:t>
      </w:r>
      <w:r>
        <w:rPr>
          <w:rFonts w:ascii="宋体" w:hAnsi="宋体" w:cs="宋体" w:eastAsia="宋体" w:hint="default"/>
          <w:spacing w:val="-54"/>
        </w:rPr>
        <w:t> </w:t>
      </w:r>
      <w:r>
        <w:rPr/>
        <w:t>地块工程合同，合同金额为人民币</w:t>
      </w:r>
      <w:r>
        <w:rPr>
          <w:spacing w:val="-54"/>
        </w:rPr>
        <w:t> </w:t>
      </w:r>
      <w:r>
        <w:rPr>
          <w:rFonts w:ascii="宋体" w:hAnsi="宋体" w:cs="宋体" w:eastAsia="宋体" w:hint="default"/>
        </w:rPr>
        <w:t>24,825</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spacing w:val="-4"/>
        </w:rPr>
        <w:t>2</w:t>
      </w:r>
      <w:r>
        <w:rPr>
          <w:spacing w:val="-4"/>
        </w:rPr>
        <w:t>、公司子公司宁波建工工程集团有限公司与余姚盛建置业有限公司签订南兰江西路南侧、开丰路</w:t>
      </w:r>
      <w:r>
        <w:rPr>
          <w:spacing w:val="-33"/>
        </w:rPr>
        <w:t> </w:t>
      </w:r>
      <w:r>
        <w:rPr>
          <w:spacing w:val="-33"/>
        </w:rPr>
      </w:r>
      <w:r>
        <w:rPr/>
        <w:t>西侧地块项目（一期）合同，合同金额为人民币</w:t>
      </w:r>
      <w:r>
        <w:rPr>
          <w:spacing w:val="-54"/>
        </w:rPr>
        <w:t> </w:t>
      </w:r>
      <w:r>
        <w:rPr>
          <w:rFonts w:ascii="宋体" w:hAnsi="宋体" w:cs="宋体" w:eastAsia="宋体" w:hint="default"/>
        </w:rPr>
        <w:t>25,001.69</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spacing w:val="-4"/>
        </w:rPr>
        <w:t>3</w:t>
      </w:r>
      <w:r>
        <w:rPr>
          <w:spacing w:val="-4"/>
        </w:rPr>
        <w:t>、公司子公司宁波建工工程集团有限公司与余姚盛建置业有限公司签订南兰江西路南侧、开丰路</w:t>
      </w:r>
      <w:r>
        <w:rPr>
          <w:spacing w:val="-33"/>
        </w:rPr>
        <w:t> </w:t>
      </w:r>
      <w:r>
        <w:rPr>
          <w:spacing w:val="-33"/>
        </w:rPr>
      </w:r>
      <w:r>
        <w:rPr/>
        <w:t>西侧地块项目（二期）合同，合同金额为人民币</w:t>
      </w:r>
      <w:r>
        <w:rPr>
          <w:spacing w:val="-54"/>
        </w:rPr>
        <w:t> </w:t>
      </w:r>
      <w:r>
        <w:rPr>
          <w:rFonts w:ascii="宋体" w:hAnsi="宋体" w:cs="宋体" w:eastAsia="宋体" w:hint="default"/>
        </w:rPr>
        <w:t>20,002.79</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spacing w:val="-4"/>
          <w:w w:val="100"/>
        </w:rPr>
        <w:t>4</w:t>
      </w:r>
      <w:r>
        <w:rPr>
          <w:spacing w:val="-4"/>
          <w:w w:val="100"/>
        </w:rPr>
        <w:t>、公司子公司宁波建工工程集团有限公司与宁波市市政工程前期办公室签订机场快速路南延工程</w:t>
      </w:r>
    </w:p>
    <w:p>
      <w:pPr>
        <w:pStyle w:val="BodyText"/>
        <w:spacing w:line="255" w:lineRule="exact"/>
        <w:ind w:left="1398" w:right="928"/>
        <w:jc w:val="left"/>
      </w:pPr>
      <w:r>
        <w:rPr/>
        <w:t>（绕城高速至岳林东路南）施工Ⅲ标段项目合同，合同金额为人民币</w:t>
      </w:r>
      <w:r>
        <w:rPr>
          <w:spacing w:val="-56"/>
        </w:rPr>
        <w:t> </w:t>
      </w:r>
      <w:r>
        <w:rPr>
          <w:rFonts w:ascii="宋体" w:hAnsi="宋体" w:cs="宋体" w:eastAsia="宋体" w:hint="default"/>
        </w:rPr>
        <w:t>56,891.25</w:t>
      </w:r>
      <w:r>
        <w:rPr>
          <w:rFonts w:ascii="宋体" w:hAnsi="宋体" w:cs="宋体" w:eastAsia="宋体" w:hint="default"/>
          <w:spacing w:val="-55"/>
        </w:rPr>
        <w:t> </w:t>
      </w:r>
      <w:r>
        <w:rPr/>
        <w:t>万元；</w:t>
      </w:r>
    </w:p>
    <w:p>
      <w:pPr>
        <w:pStyle w:val="BodyText"/>
        <w:spacing w:line="230" w:lineRule="auto" w:before="8"/>
        <w:ind w:left="1398" w:right="927"/>
        <w:jc w:val="left"/>
      </w:pPr>
      <w:r>
        <w:rPr>
          <w:rFonts w:ascii="Times New Roman" w:hAnsi="Times New Roman" w:cs="Times New Roman" w:eastAsia="Times New Roman" w:hint="default"/>
          <w:spacing w:val="5"/>
        </w:rPr>
        <w:t>5</w:t>
      </w:r>
      <w:r>
        <w:rPr>
          <w:spacing w:val="5"/>
        </w:rPr>
        <w:t>、公司子公司宁波建工工程集团有限公司与城博</w:t>
      </w:r>
      <w:r>
        <w:rPr>
          <w:rFonts w:ascii="宋体" w:hAnsi="宋体" w:cs="宋体" w:eastAsia="宋体" w:hint="default"/>
          <w:spacing w:val="5"/>
        </w:rPr>
        <w:t>(</w:t>
      </w:r>
      <w:r>
        <w:rPr>
          <w:spacing w:val="5"/>
        </w:rPr>
        <w:t>宁波</w:t>
      </w:r>
      <w:r>
        <w:rPr>
          <w:rFonts w:ascii="宋体" w:hAnsi="宋体" w:cs="宋体" w:eastAsia="宋体" w:hint="default"/>
          <w:spacing w:val="5"/>
        </w:rPr>
        <w:t>)</w:t>
      </w:r>
      <w:r>
        <w:rPr>
          <w:spacing w:val="5"/>
        </w:rPr>
        <w:t>置业有限公司签订宁波恒大华府项目</w:t>
      </w:r>
      <w:r>
        <w:rPr>
          <w:spacing w:val="-6"/>
        </w:rPr>
        <w:t> </w:t>
      </w:r>
      <w:r>
        <w:rPr>
          <w:spacing w:val="-6"/>
        </w:rPr>
      </w:r>
      <w:r>
        <w:rPr>
          <w:rFonts w:ascii="宋体" w:hAnsi="宋体" w:cs="宋体" w:eastAsia="宋体" w:hint="default"/>
        </w:rPr>
        <w:t>C3-7</w:t>
      </w:r>
      <w:r>
        <w:rPr/>
        <w:t>、</w:t>
      </w:r>
      <w:r>
        <w:rPr>
          <w:rFonts w:ascii="宋体" w:hAnsi="宋体" w:cs="宋体" w:eastAsia="宋体" w:hint="default"/>
        </w:rPr>
        <w:t>8#</w:t>
      </w:r>
      <w:r>
        <w:rPr/>
        <w:t>地块主体及配套建设工程合同，合同金额为人民币</w:t>
      </w:r>
      <w:r>
        <w:rPr>
          <w:spacing w:val="-54"/>
        </w:rPr>
        <w:t> </w:t>
      </w:r>
      <w:r>
        <w:rPr>
          <w:rFonts w:ascii="宋体" w:hAnsi="宋体" w:cs="宋体" w:eastAsia="宋体" w:hint="default"/>
        </w:rPr>
        <w:t>26,000.00</w:t>
      </w:r>
      <w:r>
        <w:rPr>
          <w:rFonts w:ascii="宋体" w:hAnsi="宋体" w:cs="宋体" w:eastAsia="宋体" w:hint="default"/>
          <w:spacing w:val="-56"/>
        </w:rPr>
        <w:t> </w:t>
      </w:r>
      <w:r>
        <w:rPr/>
        <w:t>万元；</w:t>
      </w:r>
      <w:r>
        <w:rPr>
          <w:w w:val="100"/>
        </w:rPr>
        <w:t> </w:t>
      </w:r>
      <w:r>
        <w:rPr>
          <w:rFonts w:ascii="Times New Roman" w:hAnsi="Times New Roman" w:cs="Times New Roman" w:eastAsia="Times New Roman" w:hint="default"/>
          <w:spacing w:val="-4"/>
          <w:w w:val="100"/>
        </w:rPr>
        <w:t>6</w:t>
      </w:r>
      <w:r>
        <w:rPr>
          <w:spacing w:val="-4"/>
          <w:w w:val="100"/>
        </w:rPr>
        <w:t>、公司子公司宁波市政工程建设集团股份有限公司与宁波市市政工程前期办公室签订机场快速路</w:t>
      </w:r>
      <w:r>
        <w:rPr>
          <w:spacing w:val="-87"/>
          <w:w w:val="100"/>
        </w:rPr>
        <w:t> </w:t>
      </w:r>
      <w:r>
        <w:rPr>
          <w:spacing w:val="-87"/>
          <w:w w:val="100"/>
        </w:rPr>
      </w:r>
      <w:r>
        <w:rPr/>
        <w:t>南延工程（绕城高速至岳林东路南）施工Ⅴ标段项目合同，合同金额为人民币</w:t>
      </w:r>
      <w:r>
        <w:rPr>
          <w:spacing w:val="-53"/>
        </w:rPr>
        <w:t> </w:t>
      </w:r>
      <w:r>
        <w:rPr>
          <w:rFonts w:ascii="宋体" w:hAnsi="宋体" w:cs="宋体" w:eastAsia="宋体" w:hint="default"/>
        </w:rPr>
        <w:t>75030.75</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spacing w:val="-4"/>
          <w:w w:val="100"/>
        </w:rPr>
        <w:t>7</w:t>
      </w:r>
      <w:r>
        <w:rPr>
          <w:spacing w:val="-4"/>
          <w:w w:val="100"/>
        </w:rPr>
        <w:t>、公司子公司宁波建工建乐工程有限公司与宁波宏泰房地产开发有限公司签订宁波东部新城门户</w:t>
      </w:r>
      <w:r>
        <w:rPr>
          <w:spacing w:val="-87"/>
          <w:w w:val="100"/>
        </w:rPr>
        <w:t> </w:t>
      </w:r>
      <w:r>
        <w:rPr>
          <w:spacing w:val="-87"/>
          <w:w w:val="100"/>
        </w:rPr>
      </w:r>
      <w:r>
        <w:rPr/>
        <w:t>区南区</w:t>
      </w:r>
      <w:r>
        <w:rPr>
          <w:spacing w:val="-54"/>
        </w:rPr>
        <w:t> </w:t>
      </w:r>
      <w:r>
        <w:rPr>
          <w:rFonts w:ascii="宋体" w:hAnsi="宋体" w:cs="宋体" w:eastAsia="宋体" w:hint="default"/>
        </w:rPr>
        <w:t>4#-2-1</w:t>
      </w:r>
      <w:r>
        <w:rPr>
          <w:rFonts w:ascii="宋体" w:hAnsi="宋体" w:cs="宋体" w:eastAsia="宋体" w:hint="default"/>
          <w:spacing w:val="-56"/>
        </w:rPr>
        <w:t> </w:t>
      </w:r>
      <w:r>
        <w:rPr/>
        <w:t>地块工程合同，合同金额为人民币</w:t>
      </w:r>
      <w:r>
        <w:rPr>
          <w:spacing w:val="-54"/>
        </w:rPr>
        <w:t> </w:t>
      </w:r>
      <w:r>
        <w:rPr>
          <w:rFonts w:ascii="宋体" w:hAnsi="宋体" w:cs="宋体" w:eastAsia="宋体" w:hint="default"/>
        </w:rPr>
        <w:t>41,677.00</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spacing w:val="-4"/>
          <w:w w:val="100"/>
        </w:rPr>
        <w:t>8</w:t>
      </w:r>
      <w:r>
        <w:rPr>
          <w:spacing w:val="-4"/>
          <w:w w:val="100"/>
        </w:rPr>
        <w:t>、公司子公司宁波建工建乐工程有限公司与郑州杭嘉新能源有限公司签订万邦物流园</w:t>
      </w:r>
      <w:r>
        <w:rPr>
          <w:spacing w:val="-48"/>
          <w:w w:val="100"/>
        </w:rPr>
        <w:t> </w:t>
      </w:r>
      <w:r>
        <w:rPr>
          <w:rFonts w:ascii="宋体" w:hAnsi="宋体" w:cs="宋体" w:eastAsia="宋体" w:hint="default"/>
          <w:spacing w:val="-1"/>
          <w:w w:val="100"/>
        </w:rPr>
        <w:t>60MWp</w:t>
      </w:r>
      <w:r>
        <w:rPr>
          <w:rFonts w:ascii="宋体" w:hAnsi="宋体" w:cs="宋体" w:eastAsia="宋体" w:hint="default"/>
          <w:spacing w:val="-52"/>
          <w:w w:val="100"/>
        </w:rPr>
        <w:t> </w:t>
      </w:r>
      <w:r>
        <w:rPr>
          <w:spacing w:val="-3"/>
          <w:w w:val="100"/>
        </w:rPr>
        <w:t>分布</w:t>
      </w:r>
      <w:r>
        <w:rPr>
          <w:spacing w:val="-104"/>
          <w:w w:val="100"/>
        </w:rPr>
        <w:t> </w:t>
      </w:r>
      <w:r>
        <w:rPr/>
        <w:t>式光伏发电项目</w:t>
      </w:r>
      <w:r>
        <w:rPr>
          <w:spacing w:val="-53"/>
        </w:rPr>
        <w:t> </w:t>
      </w:r>
      <w:r>
        <w:rPr>
          <w:rFonts w:ascii="宋体" w:hAnsi="宋体" w:cs="宋体" w:eastAsia="宋体" w:hint="default"/>
        </w:rPr>
        <w:t>EPC</w:t>
      </w:r>
      <w:r>
        <w:rPr>
          <w:rFonts w:ascii="宋体" w:hAnsi="宋体" w:cs="宋体" w:eastAsia="宋体" w:hint="default"/>
          <w:spacing w:val="-55"/>
        </w:rPr>
        <w:t> </w:t>
      </w:r>
      <w:r>
        <w:rPr/>
        <w:t>总承包合同，合同金额为人民币</w:t>
      </w:r>
      <w:r>
        <w:rPr>
          <w:spacing w:val="-53"/>
        </w:rPr>
        <w:t> </w:t>
      </w:r>
      <w:r>
        <w:rPr>
          <w:rFonts w:ascii="宋体" w:hAnsi="宋体" w:cs="宋体" w:eastAsia="宋体" w:hint="default"/>
        </w:rPr>
        <w:t>36,119.60</w:t>
      </w:r>
      <w:r>
        <w:rPr>
          <w:rFonts w:ascii="宋体" w:hAnsi="宋体" w:cs="宋体" w:eastAsia="宋体" w:hint="default"/>
          <w:spacing w:val="-53"/>
        </w:rPr>
        <w:t> </w:t>
      </w:r>
      <w:r>
        <w:rPr/>
        <w:t>万元；</w:t>
      </w:r>
      <w:r>
        <w:rPr>
          <w:w w:val="100"/>
        </w:rPr>
        <w:t> </w:t>
      </w:r>
      <w:r>
        <w:rPr>
          <w:rFonts w:ascii="Times New Roman" w:hAnsi="Times New Roman" w:cs="Times New Roman" w:eastAsia="Times New Roman" w:hint="default"/>
          <w:spacing w:val="-4"/>
          <w:w w:val="100"/>
        </w:rPr>
        <w:t>9</w:t>
      </w:r>
      <w:r>
        <w:rPr>
          <w:spacing w:val="-4"/>
          <w:w w:val="100"/>
        </w:rPr>
        <w:t>、公司子公司宁波建工工程集团有限公司与温州润祥房地产开发有限公司签订浙江省温州市鹿城</w:t>
      </w:r>
      <w:r>
        <w:rPr>
          <w:spacing w:val="-87"/>
          <w:w w:val="100"/>
        </w:rPr>
        <w:t> </w:t>
      </w:r>
      <w:r>
        <w:rPr>
          <w:spacing w:val="-87"/>
          <w:w w:val="100"/>
        </w:rPr>
      </w:r>
      <w:r>
        <w:rPr/>
        <w:t>区温州滨江住宅项目总承包工程合同，合同金额为人民币</w:t>
      </w:r>
      <w:r>
        <w:rPr>
          <w:spacing w:val="-54"/>
        </w:rPr>
        <w:t> </w:t>
      </w:r>
      <w:r>
        <w:rPr>
          <w:rFonts w:ascii="宋体" w:hAnsi="宋体" w:cs="宋体" w:eastAsia="宋体" w:hint="default"/>
        </w:rPr>
        <w:t>24,579.90</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spacing w:val="-1"/>
        </w:rPr>
        <w:t>10</w:t>
      </w:r>
      <w:r>
        <w:rPr>
          <w:spacing w:val="-1"/>
        </w:rPr>
        <w:t>、公司子公司宁波建工工程集团有限公司与宁波维科新城置业有限公司签订姚江新区启动区一</w:t>
      </w:r>
    </w:p>
    <w:p>
      <w:pPr>
        <w:spacing w:after="0" w:line="230" w:lineRule="auto"/>
        <w:jc w:val="left"/>
        <w:sectPr>
          <w:pgSz w:w="11910" w:h="16840"/>
          <w:pgMar w:header="880" w:footer="1195" w:top="1120" w:bottom="1380" w:left="400" w:right="340"/>
        </w:sectPr>
      </w:pPr>
    </w:p>
    <w:p>
      <w:pPr>
        <w:spacing w:line="240" w:lineRule="auto" w:before="4"/>
        <w:rPr>
          <w:rFonts w:ascii="宋体" w:hAnsi="宋体" w:cs="宋体" w:eastAsia="宋体" w:hint="default"/>
          <w:sz w:val="25"/>
          <w:szCs w:val="25"/>
        </w:rPr>
      </w:pPr>
    </w:p>
    <w:p>
      <w:pPr>
        <w:pStyle w:val="BodyText"/>
        <w:spacing w:line="232" w:lineRule="auto" w:before="43"/>
        <w:ind w:right="105"/>
        <w:jc w:val="left"/>
      </w:pPr>
      <w:r>
        <w:rPr/>
        <w:t>期</w:t>
      </w:r>
      <w:r>
        <w:rPr>
          <w:spacing w:val="-53"/>
        </w:rPr>
        <w:t> </w:t>
      </w:r>
      <w:r>
        <w:rPr>
          <w:rFonts w:ascii="宋体" w:hAnsi="宋体" w:cs="宋体" w:eastAsia="宋体" w:hint="default"/>
        </w:rPr>
        <w:t>3#</w:t>
      </w:r>
      <w:r>
        <w:rPr/>
        <w:t>地块项目合同，合同金额为人民币</w:t>
      </w:r>
      <w:r>
        <w:rPr>
          <w:spacing w:val="-52"/>
        </w:rPr>
        <w:t> </w:t>
      </w:r>
      <w:r>
        <w:rPr>
          <w:rFonts w:ascii="宋体" w:hAnsi="宋体" w:cs="宋体" w:eastAsia="宋体" w:hint="default"/>
        </w:rPr>
        <w:t>20,000.00</w:t>
      </w:r>
      <w:r>
        <w:rPr>
          <w:rFonts w:ascii="宋体" w:hAnsi="宋体" w:cs="宋体" w:eastAsia="宋体" w:hint="default"/>
          <w:spacing w:val="-56"/>
        </w:rPr>
        <w:t> </w:t>
      </w:r>
      <w:r>
        <w:rPr/>
        <w:t>万元；</w:t>
      </w:r>
      <w:r>
        <w:rPr>
          <w:w w:val="100"/>
        </w:rPr>
        <w:t> </w:t>
      </w:r>
      <w:r>
        <w:rPr>
          <w:rFonts w:ascii="Times New Roman" w:hAnsi="Times New Roman" w:cs="Times New Roman" w:eastAsia="Times New Roman" w:hint="default"/>
          <w:spacing w:val="-1"/>
        </w:rPr>
        <w:t>11</w:t>
      </w:r>
      <w:r>
        <w:rPr>
          <w:spacing w:val="-1"/>
        </w:rPr>
        <w:t>、公司子公司宁波建工工程集团有限公司与九江奥克斯置业有限公司签订九江奥克斯缔壹城二</w:t>
      </w:r>
      <w:r>
        <w:rPr>
          <w:spacing w:val="-55"/>
        </w:rPr>
        <w:t> </w:t>
      </w:r>
      <w:r>
        <w:rPr>
          <w:spacing w:val="-55"/>
        </w:rPr>
      </w:r>
      <w:r>
        <w:rPr/>
        <w:t>期施工总承包工程合同，合同金额为人民币</w:t>
      </w:r>
      <w:r>
        <w:rPr>
          <w:spacing w:val="-53"/>
        </w:rPr>
        <w:t> </w:t>
      </w:r>
      <w:r>
        <w:rPr>
          <w:rFonts w:ascii="宋体" w:hAnsi="宋体" w:cs="宋体" w:eastAsia="宋体" w:hint="default"/>
        </w:rPr>
        <w:t>40,500.00</w:t>
      </w:r>
      <w:r>
        <w:rPr>
          <w:rFonts w:ascii="宋体" w:hAnsi="宋体" w:cs="宋体" w:eastAsia="宋体" w:hint="default"/>
          <w:spacing w:val="-53"/>
        </w:rPr>
        <w:t> </w:t>
      </w:r>
      <w:r>
        <w:rPr/>
        <w:t>万元；</w:t>
      </w:r>
      <w:r>
        <w:rPr>
          <w:w w:val="100"/>
        </w:rPr>
        <w:t> </w:t>
      </w:r>
      <w:r>
        <w:rPr>
          <w:rFonts w:ascii="Times New Roman" w:hAnsi="Times New Roman" w:cs="Times New Roman" w:eastAsia="Times New Roman" w:hint="default"/>
          <w:spacing w:val="-1"/>
        </w:rPr>
        <w:t>12</w:t>
      </w:r>
      <w:r>
        <w:rPr>
          <w:spacing w:val="-1"/>
        </w:rPr>
        <w:t>、公司子公司宁波市政工程建设集团股份有限公司与四川雄州实业有限责任公司签订简阳市东</w:t>
      </w:r>
      <w:r>
        <w:rPr>
          <w:spacing w:val="-56"/>
        </w:rPr>
        <w:t> </w:t>
      </w:r>
      <w:r>
        <w:rPr>
          <w:spacing w:val="-56"/>
        </w:rPr>
      </w:r>
      <w:r>
        <w:rPr/>
        <w:t>城新区雄州大道提质改造工程</w:t>
      </w:r>
      <w:r>
        <w:rPr>
          <w:spacing w:val="-54"/>
        </w:rPr>
        <w:t> </w:t>
      </w:r>
      <w:r>
        <w:rPr>
          <w:rFonts w:ascii="宋体" w:hAnsi="宋体" w:cs="宋体" w:eastAsia="宋体" w:hint="default"/>
        </w:rPr>
        <w:t>BLT+EPC</w:t>
      </w:r>
      <w:r>
        <w:rPr>
          <w:rFonts w:ascii="宋体" w:hAnsi="宋体" w:cs="宋体" w:eastAsia="宋体" w:hint="default"/>
          <w:spacing w:val="-54"/>
        </w:rPr>
        <w:t> </w:t>
      </w:r>
      <w:r>
        <w:rPr/>
        <w:t>项目合同，合同金额为人民币</w:t>
      </w:r>
      <w:r>
        <w:rPr>
          <w:spacing w:val="-54"/>
        </w:rPr>
        <w:t> </w:t>
      </w:r>
      <w:r>
        <w:rPr>
          <w:rFonts w:ascii="宋体" w:hAnsi="宋体" w:cs="宋体" w:eastAsia="宋体" w:hint="default"/>
        </w:rPr>
        <w:t>50,587.00</w:t>
      </w:r>
      <w:r>
        <w:rPr>
          <w:rFonts w:ascii="宋体" w:hAnsi="宋体" w:cs="宋体" w:eastAsia="宋体" w:hint="default"/>
          <w:spacing w:val="-53"/>
        </w:rPr>
        <w:t> </w:t>
      </w:r>
      <w:r>
        <w:rPr/>
        <w:t>万元；</w:t>
      </w:r>
      <w:r>
        <w:rPr>
          <w:w w:val="100"/>
        </w:rPr>
        <w:t> </w:t>
      </w:r>
      <w:r>
        <w:rPr>
          <w:rFonts w:ascii="Times New Roman" w:hAnsi="Times New Roman" w:cs="Times New Roman" w:eastAsia="Times New Roman" w:hint="default"/>
          <w:spacing w:val="-1"/>
        </w:rPr>
        <w:t>13</w:t>
      </w:r>
      <w:r>
        <w:rPr>
          <w:spacing w:val="-1"/>
        </w:rPr>
        <w:t>、公司子公司宁波市政工程建设集团股份有限公司与成都青蒲建设发展有限公司签订蒲江县西</w:t>
      </w:r>
      <w:r>
        <w:rPr>
          <w:spacing w:val="-56"/>
        </w:rPr>
        <w:t> </w:t>
      </w:r>
      <w:r>
        <w:rPr>
          <w:spacing w:val="-56"/>
        </w:rPr>
      </w:r>
      <w:r>
        <w:rPr>
          <w:spacing w:val="-8"/>
        </w:rPr>
        <w:t>河河滨景观建设项目投资（</w:t>
      </w:r>
      <w:r>
        <w:rPr>
          <w:rFonts w:ascii="宋体" w:hAnsi="宋体" w:cs="宋体" w:eastAsia="宋体" w:hint="default"/>
          <w:spacing w:val="-8"/>
        </w:rPr>
        <w:t>BLT</w:t>
      </w:r>
      <w:r>
        <w:rPr>
          <w:spacing w:val="-8"/>
        </w:rPr>
        <w:t>）</w:t>
      </w:r>
      <w:r>
        <w:rPr>
          <w:rFonts w:ascii="宋体" w:hAnsi="宋体" w:cs="宋体" w:eastAsia="宋体" w:hint="default"/>
          <w:spacing w:val="-8"/>
        </w:rPr>
        <w:t>+</w:t>
      </w:r>
      <w:r>
        <w:rPr>
          <w:spacing w:val="-8"/>
        </w:rPr>
        <w:t>勘察设计施工总承包（</w:t>
      </w:r>
      <w:r>
        <w:rPr>
          <w:rFonts w:ascii="宋体" w:hAnsi="宋体" w:cs="宋体" w:eastAsia="宋体" w:hint="default"/>
          <w:spacing w:val="-8"/>
        </w:rPr>
        <w:t>EPC</w:t>
      </w:r>
      <w:r>
        <w:rPr>
          <w:spacing w:val="-8"/>
        </w:rPr>
        <w:t>）合同，合同金额为人民币 </w:t>
      </w:r>
      <w:r>
        <w:rPr>
          <w:rFonts w:ascii="宋体" w:hAnsi="宋体" w:cs="宋体" w:eastAsia="宋体" w:hint="default"/>
        </w:rPr>
        <w:t>96,034.70</w:t>
      </w:r>
      <w:r>
        <w:rPr>
          <w:rFonts w:ascii="宋体" w:hAnsi="宋体" w:cs="宋体" w:eastAsia="宋体" w:hint="default"/>
          <w:spacing w:val="-73"/>
        </w:rPr>
        <w:t> </w:t>
      </w:r>
      <w:r>
        <w:rPr>
          <w:rFonts w:ascii="宋体" w:hAnsi="宋体" w:cs="宋体" w:eastAsia="宋体" w:hint="default"/>
          <w:spacing w:val="-73"/>
        </w:rPr>
      </w:r>
      <w:r>
        <w:rPr/>
        <w:t>万元；</w:t>
      </w:r>
      <w:r>
        <w:rPr>
          <w:spacing w:val="-103"/>
        </w:rPr>
        <w:t> </w:t>
      </w:r>
      <w:r>
        <w:rPr>
          <w:spacing w:val="-103"/>
        </w:rPr>
      </w:r>
      <w:r>
        <w:rPr>
          <w:rFonts w:ascii="Times New Roman" w:hAnsi="Times New Roman" w:cs="Times New Roman" w:eastAsia="Times New Roman" w:hint="default"/>
          <w:spacing w:val="-1"/>
        </w:rPr>
        <w:t>14</w:t>
      </w:r>
      <w:r>
        <w:rPr>
          <w:spacing w:val="-1"/>
        </w:rPr>
        <w:t>、公司子公司宁波建工建乐工程有限公司与宁波农副产品物流中心有限公司签订宁波农副产品</w:t>
      </w:r>
      <w:r>
        <w:rPr>
          <w:spacing w:val="-56"/>
        </w:rPr>
        <w:t> </w:t>
      </w:r>
      <w:r>
        <w:rPr>
          <w:spacing w:val="-56"/>
        </w:rPr>
      </w:r>
      <w:r>
        <w:rPr/>
        <w:t>物流中心项目一期合同，合同金额为人民币</w:t>
      </w:r>
      <w:r>
        <w:rPr>
          <w:spacing w:val="-53"/>
        </w:rPr>
        <w:t> </w:t>
      </w:r>
      <w:r>
        <w:rPr>
          <w:rFonts w:ascii="宋体" w:hAnsi="宋体" w:cs="宋体" w:eastAsia="宋体" w:hint="default"/>
        </w:rPr>
        <w:t>24,831.04</w:t>
      </w:r>
      <w:r>
        <w:rPr>
          <w:rFonts w:ascii="宋体" w:hAnsi="宋体" w:cs="宋体" w:eastAsia="宋体" w:hint="default"/>
          <w:spacing w:val="-53"/>
        </w:rPr>
        <w:t> </w:t>
      </w:r>
      <w:r>
        <w:rPr/>
        <w:t>万元；</w:t>
      </w:r>
      <w:r>
        <w:rPr>
          <w:w w:val="100"/>
        </w:rPr>
        <w:t> </w:t>
      </w:r>
      <w:r>
        <w:rPr>
          <w:rFonts w:ascii="Times New Roman" w:hAnsi="Times New Roman" w:cs="Times New Roman" w:eastAsia="Times New Roman" w:hint="default"/>
          <w:spacing w:val="-1"/>
        </w:rPr>
        <w:t>15</w:t>
      </w:r>
      <w:r>
        <w:rPr>
          <w:spacing w:val="-1"/>
        </w:rPr>
        <w:t>、公司子公司宁波建工工程集团有限公司与嘉兴中南锦乐嘉房地产开发有限公司签订嘉兴平湖</w:t>
      </w:r>
    </w:p>
    <w:p>
      <w:pPr>
        <w:pStyle w:val="BodyText"/>
        <w:spacing w:line="258" w:lineRule="exact"/>
        <w:ind w:right="105"/>
        <w:jc w:val="left"/>
      </w:pPr>
      <w:r>
        <w:rPr>
          <w:rFonts w:ascii="宋体" w:hAnsi="宋体" w:cs="宋体" w:eastAsia="宋体" w:hint="default"/>
        </w:rPr>
        <w:t>2017-6</w:t>
      </w:r>
      <w:r>
        <w:rPr>
          <w:rFonts w:ascii="宋体" w:hAnsi="宋体" w:cs="宋体" w:eastAsia="宋体" w:hint="default"/>
          <w:spacing w:val="-55"/>
        </w:rPr>
        <w:t> </w:t>
      </w:r>
      <w:r>
        <w:rPr/>
        <w:t>地块三标段项目施工总承包工程合同，合同金额为人民币</w:t>
      </w:r>
      <w:r>
        <w:rPr>
          <w:spacing w:val="-55"/>
        </w:rPr>
        <w:t> </w:t>
      </w:r>
      <w:r>
        <w:rPr>
          <w:rFonts w:ascii="宋体" w:hAnsi="宋体" w:cs="宋体" w:eastAsia="宋体" w:hint="default"/>
        </w:rPr>
        <w:t>22,711.91</w:t>
      </w:r>
      <w:r>
        <w:rPr>
          <w:rFonts w:ascii="宋体" w:hAnsi="宋体" w:cs="宋体" w:eastAsia="宋体" w:hint="default"/>
          <w:spacing w:val="-57"/>
        </w:rPr>
        <w:t> </w:t>
      </w:r>
      <w:r>
        <w:rPr/>
        <w:t>万元；</w:t>
      </w:r>
    </w:p>
    <w:p>
      <w:pPr>
        <w:pStyle w:val="BodyText"/>
        <w:spacing w:line="230" w:lineRule="auto" w:before="8"/>
        <w:ind w:right="97"/>
        <w:jc w:val="left"/>
      </w:pPr>
      <w:r>
        <w:rPr>
          <w:rFonts w:ascii="Times New Roman" w:hAnsi="Times New Roman" w:cs="Times New Roman" w:eastAsia="Times New Roman" w:hint="default"/>
        </w:rPr>
        <w:t>16</w:t>
      </w:r>
      <w:r>
        <w:rPr/>
        <w:t>、公司子公司宁波建工工程集团有限公司与宁波奉化盛建置业有限公司签订奉化恒大溪上桃花</w:t>
      </w:r>
      <w:r>
        <w:rPr>
          <w:spacing w:val="-99"/>
        </w:rPr>
        <w:t> </w:t>
      </w:r>
      <w:r>
        <w:rPr>
          <w:spacing w:val="-99"/>
        </w:rPr>
      </w:r>
      <w:r>
        <w:rPr/>
        <w:t>源首期二标段（</w:t>
      </w:r>
      <w:r>
        <w:rPr>
          <w:rFonts w:ascii="宋体" w:hAnsi="宋体" w:cs="宋体" w:eastAsia="宋体" w:hint="default"/>
        </w:rPr>
        <w:t>1</w:t>
      </w:r>
      <w:r>
        <w:rPr/>
        <w:t>）主体及配套建设工程合同，合同金额为人民币</w:t>
      </w:r>
      <w:r>
        <w:rPr>
          <w:spacing w:val="-54"/>
        </w:rPr>
        <w:t> </w:t>
      </w:r>
      <w:r>
        <w:rPr>
          <w:rFonts w:ascii="宋体" w:hAnsi="宋体" w:cs="宋体" w:eastAsia="宋体" w:hint="default"/>
        </w:rPr>
        <w:t>26,000.00</w:t>
      </w:r>
      <w:r>
        <w:rPr>
          <w:rFonts w:ascii="宋体" w:hAnsi="宋体" w:cs="宋体" w:eastAsia="宋体" w:hint="default"/>
          <w:spacing w:val="-56"/>
        </w:rPr>
        <w:t> </w:t>
      </w:r>
      <w:r>
        <w:rPr/>
        <w:t>万元；</w:t>
      </w:r>
      <w:r>
        <w:rPr>
          <w:w w:val="100"/>
        </w:rPr>
        <w:t> </w:t>
      </w:r>
      <w:r>
        <w:rPr>
          <w:rFonts w:ascii="Times New Roman" w:hAnsi="Times New Roman" w:cs="Times New Roman" w:eastAsia="Times New Roman" w:hint="default"/>
        </w:rPr>
        <w:t>17</w:t>
      </w:r>
      <w:r>
        <w:rPr/>
        <w:t>、公司子公司宁波建工工程集团有限公司与宁波华茂教育文化投资有限公司签订东钱湖国际教</w:t>
      </w:r>
      <w:r>
        <w:rPr>
          <w:spacing w:val="-99"/>
        </w:rPr>
        <w:t> </w:t>
      </w:r>
      <w:r>
        <w:rPr>
          <w:spacing w:val="-99"/>
        </w:rPr>
      </w:r>
      <w:r>
        <w:rPr/>
        <w:t>育论坛</w:t>
      </w:r>
      <w:r>
        <w:rPr>
          <w:spacing w:val="-54"/>
        </w:rPr>
        <w:t> </w:t>
      </w:r>
      <w:r>
        <w:rPr>
          <w:rFonts w:ascii="宋体" w:hAnsi="宋体" w:cs="宋体" w:eastAsia="宋体" w:hint="default"/>
        </w:rPr>
        <w:t>I</w:t>
      </w:r>
      <w:r>
        <w:rPr>
          <w:rFonts w:ascii="宋体" w:hAnsi="宋体" w:cs="宋体" w:eastAsia="宋体" w:hint="default"/>
          <w:spacing w:val="-54"/>
        </w:rPr>
        <w:t> </w:t>
      </w:r>
      <w:r>
        <w:rPr/>
        <w:t>地块及</w:t>
      </w:r>
      <w:r>
        <w:rPr>
          <w:spacing w:val="-54"/>
        </w:rPr>
        <w:t> </w:t>
      </w:r>
      <w:r>
        <w:rPr>
          <w:rFonts w:ascii="宋体" w:hAnsi="宋体" w:cs="宋体" w:eastAsia="宋体" w:hint="default"/>
        </w:rPr>
        <w:t>1-5g-1#</w:t>
      </w:r>
      <w:r>
        <w:rPr/>
        <w:t>地块项目合同，合同金额为人民币</w:t>
      </w:r>
      <w:r>
        <w:rPr>
          <w:spacing w:val="-54"/>
        </w:rPr>
        <w:t> </w:t>
      </w:r>
      <w:r>
        <w:rPr>
          <w:rFonts w:ascii="宋体" w:hAnsi="宋体" w:cs="宋体" w:eastAsia="宋体" w:hint="default"/>
        </w:rPr>
        <w:t>24,000.00</w:t>
      </w:r>
      <w:r>
        <w:rPr>
          <w:rFonts w:ascii="宋体" w:hAnsi="宋体" w:cs="宋体" w:eastAsia="宋体" w:hint="default"/>
          <w:spacing w:val="-56"/>
        </w:rPr>
        <w:t> </w:t>
      </w:r>
      <w:r>
        <w:rPr/>
        <w:t>万元；</w:t>
      </w:r>
      <w:r>
        <w:rPr>
          <w:w w:val="100"/>
        </w:rPr>
        <w:t> </w:t>
      </w:r>
      <w:r>
        <w:rPr>
          <w:rFonts w:ascii="Times New Roman" w:hAnsi="Times New Roman" w:cs="Times New Roman" w:eastAsia="Times New Roman" w:hint="default"/>
          <w:spacing w:val="-4"/>
          <w:w w:val="100"/>
        </w:rPr>
        <w:t>18</w:t>
      </w:r>
      <w:r>
        <w:rPr>
          <w:spacing w:val="-4"/>
          <w:w w:val="100"/>
        </w:rPr>
        <w:t>、公司子公司宁波建工工程集团有限公司与宁波数字传媒有限公司签订宁波数字传媒基地合同，</w:t>
      </w:r>
      <w:r>
        <w:rPr>
          <w:spacing w:val="-86"/>
          <w:w w:val="100"/>
        </w:rPr>
        <w:t> </w:t>
      </w:r>
      <w:r>
        <w:rPr>
          <w:spacing w:val="-86"/>
          <w:w w:val="100"/>
        </w:rPr>
      </w:r>
      <w:r>
        <w:rPr/>
        <w:t>合同金额为人民币</w:t>
      </w:r>
      <w:r>
        <w:rPr>
          <w:spacing w:val="-53"/>
        </w:rPr>
        <w:t> </w:t>
      </w:r>
      <w:r>
        <w:rPr>
          <w:rFonts w:ascii="宋体" w:hAnsi="宋体" w:cs="宋体" w:eastAsia="宋体" w:hint="default"/>
        </w:rPr>
        <w:t>32,559.40</w:t>
      </w:r>
      <w:r>
        <w:rPr>
          <w:rFonts w:ascii="宋体" w:hAnsi="宋体" w:cs="宋体" w:eastAsia="宋体" w:hint="default"/>
          <w:spacing w:val="-53"/>
        </w:rPr>
        <w:t> </w:t>
      </w:r>
      <w:r>
        <w:rPr/>
        <w:t>万元；</w:t>
      </w:r>
      <w:r>
        <w:rPr>
          <w:w w:val="100"/>
        </w:rPr>
        <w:t> </w:t>
      </w:r>
      <w:r>
        <w:rPr>
          <w:rFonts w:ascii="Times New Roman" w:hAnsi="Times New Roman" w:cs="Times New Roman" w:eastAsia="Times New Roman" w:hint="default"/>
        </w:rPr>
        <w:t>19</w:t>
      </w:r>
      <w:r>
        <w:rPr/>
        <w:t>、公司子公司宁波建工工程集团有限公司与宁波杭州湾新区汽车产业发展有限公司签订宁波杭</w:t>
      </w:r>
      <w:r>
        <w:rPr>
          <w:spacing w:val="-98"/>
        </w:rPr>
        <w:t> </w:t>
      </w:r>
      <w:r>
        <w:rPr>
          <w:spacing w:val="-98"/>
        </w:rPr>
      </w:r>
      <w:r>
        <w:rPr/>
        <w:t>州湾新区智能终端产业园区一期工程Ⅱ标段（施工）合同，合同金额为人民币</w:t>
      </w:r>
      <w:r>
        <w:rPr>
          <w:spacing w:val="-53"/>
        </w:rPr>
        <w:t> </w:t>
      </w:r>
      <w:r>
        <w:rPr>
          <w:rFonts w:ascii="宋体" w:hAnsi="宋体" w:cs="宋体" w:eastAsia="宋体" w:hint="default"/>
        </w:rPr>
        <w:t>20,000.00</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rPr>
        <w:t>20</w:t>
      </w:r>
      <w:r>
        <w:rPr/>
        <w:t>、公司子公司宁波建工工程集团有限公司与宁波市市政工程前期办公室签订环城南路西延（薛</w:t>
      </w:r>
      <w:r>
        <w:rPr>
          <w:spacing w:val="-99"/>
        </w:rPr>
        <w:t> </w:t>
      </w:r>
      <w:r>
        <w:rPr>
          <w:spacing w:val="-99"/>
        </w:rPr>
      </w:r>
      <w:r>
        <w:rPr/>
        <w:t>家南路至环镇北路）工程Ⅳ标段合同，合同金额为人民币</w:t>
      </w:r>
      <w:r>
        <w:rPr>
          <w:spacing w:val="-55"/>
        </w:rPr>
        <w:t> </w:t>
      </w:r>
      <w:r>
        <w:rPr>
          <w:rFonts w:ascii="宋体" w:hAnsi="宋体" w:cs="宋体" w:eastAsia="宋体" w:hint="default"/>
        </w:rPr>
        <w:t>44,478.88</w:t>
      </w:r>
      <w:r>
        <w:rPr>
          <w:rFonts w:ascii="宋体" w:hAnsi="宋体" w:cs="宋体" w:eastAsia="宋体" w:hint="default"/>
          <w:spacing w:val="-55"/>
        </w:rPr>
        <w:t> </w:t>
      </w:r>
      <w:r>
        <w:rPr/>
        <w:t>万元；</w:t>
      </w:r>
    </w:p>
    <w:p>
      <w:pPr>
        <w:pStyle w:val="BodyText"/>
        <w:spacing w:line="281" w:lineRule="exact"/>
        <w:ind w:right="105"/>
        <w:jc w:val="left"/>
      </w:pPr>
      <w:r>
        <w:rPr>
          <w:rFonts w:ascii="Times New Roman" w:hAnsi="Times New Roman" w:cs="Times New Roman" w:eastAsia="Times New Roman" w:hint="default"/>
        </w:rPr>
        <w:t>21</w:t>
      </w:r>
      <w:r>
        <w:rPr/>
        <w:t>、公司子公司宁波建工工程集团有限公司与宁波拓普集团股份有限公司签订年产</w:t>
      </w:r>
      <w:r>
        <w:rPr>
          <w:spacing w:val="-50"/>
        </w:rPr>
        <w:t> </w:t>
      </w:r>
      <w:r>
        <w:rPr>
          <w:rFonts w:ascii="宋体" w:hAnsi="宋体" w:cs="宋体" w:eastAsia="宋体" w:hint="default"/>
        </w:rPr>
        <w:t>150</w:t>
      </w:r>
      <w:r>
        <w:rPr>
          <w:rFonts w:ascii="宋体" w:hAnsi="宋体" w:cs="宋体" w:eastAsia="宋体" w:hint="default"/>
          <w:spacing w:val="-52"/>
        </w:rPr>
        <w:t> </w:t>
      </w:r>
      <w:r>
        <w:rPr/>
        <w:t>万套汽车</w:t>
      </w:r>
    </w:p>
    <w:p>
      <w:pPr>
        <w:pStyle w:val="BodyText"/>
        <w:spacing w:line="232" w:lineRule="auto"/>
        <w:ind w:right="107"/>
        <w:jc w:val="left"/>
      </w:pPr>
      <w:r>
        <w:rPr/>
        <w:t>智能刹车系统项目建设工程施工总包合同，合同金额为人民币</w:t>
      </w:r>
      <w:r>
        <w:rPr>
          <w:spacing w:val="-54"/>
        </w:rPr>
        <w:t> </w:t>
      </w:r>
      <w:r>
        <w:rPr>
          <w:rFonts w:ascii="宋体" w:hAnsi="宋体" w:cs="宋体" w:eastAsia="宋体" w:hint="default"/>
        </w:rPr>
        <w:t>20,948.85</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rPr>
        <w:t>22</w:t>
      </w:r>
      <w:r>
        <w:rPr/>
        <w:t>、公司子公司宁波市政工程建设集团股份有限公司与宁波市奉化区惠江基础设施建设有限公司</w:t>
      </w:r>
      <w:r>
        <w:rPr>
          <w:spacing w:val="-99"/>
        </w:rPr>
        <w:t> </w:t>
      </w:r>
      <w:r>
        <w:rPr>
          <w:spacing w:val="-99"/>
        </w:rPr>
      </w:r>
      <w:r>
        <w:rPr/>
        <w:t>签订南山路（老波导</w:t>
      </w:r>
      <w:r>
        <w:rPr>
          <w:rFonts w:ascii="宋体" w:hAnsi="宋体" w:cs="宋体" w:eastAsia="宋体" w:hint="default"/>
        </w:rPr>
        <w:t>-</w:t>
      </w:r>
      <w:r>
        <w:rPr/>
        <w:t>甬临线）道路改造工程</w:t>
      </w:r>
      <w:r>
        <w:rPr>
          <w:spacing w:val="-53"/>
        </w:rPr>
        <w:t> </w:t>
      </w:r>
      <w:r>
        <w:rPr>
          <w:rFonts w:ascii="宋体" w:hAnsi="宋体" w:cs="宋体" w:eastAsia="宋体" w:hint="default"/>
        </w:rPr>
        <w:t>PPP</w:t>
      </w:r>
      <w:r>
        <w:rPr>
          <w:rFonts w:ascii="宋体" w:hAnsi="宋体" w:cs="宋体" w:eastAsia="宋体" w:hint="default"/>
          <w:spacing w:val="-54"/>
        </w:rPr>
        <w:t> </w:t>
      </w:r>
      <w:r>
        <w:rPr/>
        <w:t>项目合同，合同金额为人民币</w:t>
      </w:r>
      <w:r>
        <w:rPr>
          <w:spacing w:val="-53"/>
        </w:rPr>
        <w:t> </w:t>
      </w:r>
      <w:r>
        <w:rPr>
          <w:rFonts w:ascii="宋体" w:hAnsi="宋体" w:cs="宋体" w:eastAsia="宋体" w:hint="default"/>
        </w:rPr>
        <w:t>88,599.00</w:t>
      </w:r>
      <w:r>
        <w:rPr>
          <w:rFonts w:ascii="宋体" w:hAnsi="宋体" w:cs="宋体" w:eastAsia="宋体" w:hint="default"/>
          <w:spacing w:val="-51"/>
        </w:rPr>
        <w:t> </w:t>
      </w:r>
      <w:r>
        <w:rPr/>
        <w:t>万元；</w:t>
      </w:r>
      <w:r>
        <w:rPr>
          <w:w w:val="100"/>
        </w:rPr>
        <w:t> </w:t>
      </w:r>
      <w:r>
        <w:rPr>
          <w:rFonts w:ascii="Times New Roman" w:hAnsi="Times New Roman" w:cs="Times New Roman" w:eastAsia="Times New Roman" w:hint="default"/>
        </w:rPr>
        <w:t>23</w:t>
      </w:r>
      <w:r>
        <w:rPr/>
        <w:t>、公司子公司宁波市政工程建设集团股份有限公司与巫溪县交通委员会签订巫溪县红池坝景区</w:t>
      </w:r>
      <w:r>
        <w:rPr>
          <w:spacing w:val="-100"/>
        </w:rPr>
        <w:t> </w:t>
      </w:r>
      <w:r>
        <w:rPr>
          <w:spacing w:val="-100"/>
        </w:rPr>
      </w:r>
      <w:r>
        <w:rPr/>
        <w:t>旅游交通基础设施建设工程（古路互通至红池坝快速道路工程一期）</w:t>
      </w:r>
      <w:r>
        <w:rPr>
          <w:rFonts w:ascii="宋体" w:hAnsi="宋体" w:cs="宋体" w:eastAsia="宋体" w:hint="default"/>
        </w:rPr>
        <w:t>PPP </w:t>
      </w:r>
      <w:r>
        <w:rPr/>
        <w:t>项目（第二次）合同，</w:t>
      </w:r>
      <w:r>
        <w:rPr>
          <w:spacing w:val="-97"/>
        </w:rPr>
        <w:t> </w:t>
      </w:r>
      <w:r>
        <w:rPr>
          <w:spacing w:val="-97"/>
        </w:rPr>
      </w:r>
      <w:r>
        <w:rPr/>
        <w:t>合同金额为人民币</w:t>
      </w:r>
      <w:r>
        <w:rPr>
          <w:spacing w:val="-53"/>
        </w:rPr>
        <w:t> </w:t>
      </w:r>
      <w:r>
        <w:rPr>
          <w:rFonts w:ascii="宋体" w:hAnsi="宋体" w:cs="宋体" w:eastAsia="宋体" w:hint="default"/>
        </w:rPr>
        <w:t>39,340.00</w:t>
      </w:r>
      <w:r>
        <w:rPr>
          <w:rFonts w:ascii="宋体" w:hAnsi="宋体" w:cs="宋体" w:eastAsia="宋体" w:hint="default"/>
          <w:spacing w:val="-53"/>
        </w:rPr>
        <w:t> </w:t>
      </w:r>
      <w:r>
        <w:rPr/>
        <w:t>万元；</w:t>
      </w:r>
      <w:r>
        <w:rPr>
          <w:w w:val="100"/>
        </w:rPr>
        <w:t> </w:t>
      </w:r>
      <w:r>
        <w:rPr>
          <w:rFonts w:ascii="Times New Roman" w:hAnsi="Times New Roman" w:cs="Times New Roman" w:eastAsia="Times New Roman" w:hint="default"/>
        </w:rPr>
        <w:t>24</w:t>
      </w:r>
      <w:r>
        <w:rPr/>
        <w:t>、公司子公司宁波市政工程建设集团股份有限公司与宁波市市政工程前期办公室签订环城南路</w:t>
      </w:r>
      <w:r>
        <w:rPr>
          <w:spacing w:val="-99"/>
        </w:rPr>
        <w:t> </w:t>
      </w:r>
      <w:r>
        <w:rPr>
          <w:spacing w:val="-99"/>
        </w:rPr>
      </w:r>
      <w:r>
        <w:rPr/>
        <w:t>西延（薛家南路至环镇北路）工程（施工）Ⅲ标段合同，合同金额为人民币</w:t>
      </w:r>
      <w:r>
        <w:rPr>
          <w:spacing w:val="-56"/>
        </w:rPr>
        <w:t> </w:t>
      </w:r>
      <w:r>
        <w:rPr>
          <w:rFonts w:ascii="宋体" w:hAnsi="宋体" w:cs="宋体" w:eastAsia="宋体" w:hint="default"/>
        </w:rPr>
        <w:t>46,628.2694</w:t>
      </w:r>
      <w:r>
        <w:rPr>
          <w:rFonts w:ascii="宋体" w:hAnsi="宋体" w:cs="宋体" w:eastAsia="宋体" w:hint="default"/>
          <w:spacing w:val="-54"/>
        </w:rPr>
        <w:t> </w:t>
      </w:r>
      <w:r>
        <w:rPr/>
        <w:t>万元；</w:t>
      </w:r>
      <w:r>
        <w:rPr>
          <w:w w:val="100"/>
        </w:rPr>
        <w:t> </w:t>
      </w:r>
      <w:r>
        <w:rPr>
          <w:rFonts w:ascii="Times New Roman" w:hAnsi="Times New Roman" w:cs="Times New Roman" w:eastAsia="Times New Roman" w:hint="default"/>
        </w:rPr>
        <w:t>25</w:t>
      </w:r>
      <w:r>
        <w:rPr/>
        <w:t>、公司子公司宁波市政工程建设集团股份有限公司与温州市铁路与轨道交通投资集团有限公司</w:t>
      </w:r>
      <w:r>
        <w:rPr>
          <w:spacing w:val="-99"/>
        </w:rPr>
        <w:t> </w:t>
      </w:r>
      <w:r>
        <w:rPr>
          <w:spacing w:val="-99"/>
        </w:rPr>
      </w:r>
      <w:r>
        <w:rPr/>
        <w:t>签订温州市动车南站西广场站前道路及配套工程合同，合同金额为人民币</w:t>
      </w:r>
      <w:r>
        <w:rPr>
          <w:spacing w:val="-54"/>
        </w:rPr>
        <w:t> </w:t>
      </w:r>
      <w:r>
        <w:rPr>
          <w:rFonts w:ascii="宋体" w:hAnsi="宋体" w:cs="宋体" w:eastAsia="宋体" w:hint="default"/>
        </w:rPr>
        <w:t>35,341.4072</w:t>
      </w:r>
      <w:r>
        <w:rPr>
          <w:rFonts w:ascii="宋体" w:hAnsi="宋体" w:cs="宋体" w:eastAsia="宋体" w:hint="default"/>
          <w:spacing w:val="-56"/>
        </w:rPr>
        <w:t> </w:t>
      </w:r>
      <w:r>
        <w:rPr/>
        <w:t>万元；</w:t>
      </w:r>
      <w:r>
        <w:rPr>
          <w:w w:val="100"/>
        </w:rPr>
        <w:t> </w:t>
      </w:r>
      <w:r>
        <w:rPr>
          <w:rFonts w:ascii="Times New Roman" w:hAnsi="Times New Roman" w:cs="Times New Roman" w:eastAsia="Times New Roman" w:hint="default"/>
        </w:rPr>
        <w:t>26</w:t>
      </w:r>
      <w:r>
        <w:rPr/>
        <w:t>、公司子公司宁波市政工程建设集团股份有限公司与温州高新技术产业开发区投资建设开发有</w:t>
      </w:r>
    </w:p>
    <w:p>
      <w:pPr>
        <w:pStyle w:val="BodyText"/>
        <w:spacing w:line="272" w:lineRule="exact" w:before="12"/>
        <w:ind w:right="105"/>
        <w:jc w:val="left"/>
      </w:pPr>
      <w:r>
        <w:rPr>
          <w:spacing w:val="5"/>
        </w:rPr>
        <w:t>限公司签订龙湾区龙江路（瓯海大道</w:t>
      </w:r>
      <w:r>
        <w:rPr>
          <w:rFonts w:ascii="宋体" w:hAnsi="宋体" w:cs="宋体" w:eastAsia="宋体" w:hint="default"/>
          <w:spacing w:val="5"/>
        </w:rPr>
        <w:t>-</w:t>
      </w:r>
      <w:r>
        <w:rPr>
          <w:spacing w:val="5"/>
        </w:rPr>
        <w:t>永定路）上改下综合管廊工程合同，合同金额为人民币</w:t>
      </w:r>
      <w:r>
        <w:rPr>
          <w:spacing w:val="-11"/>
        </w:rPr>
        <w:t> </w:t>
      </w:r>
      <w:r>
        <w:rPr>
          <w:spacing w:val="-11"/>
        </w:rPr>
      </w:r>
      <w:r>
        <w:rPr>
          <w:rFonts w:ascii="宋体" w:hAnsi="宋体" w:cs="宋体" w:eastAsia="宋体" w:hint="default"/>
        </w:rPr>
        <w:t>23,714.6256</w:t>
      </w:r>
      <w:r>
        <w:rPr>
          <w:rFonts w:ascii="宋体" w:hAnsi="宋体" w:cs="宋体" w:eastAsia="宋体" w:hint="default"/>
          <w:spacing w:val="-53"/>
        </w:rPr>
        <w:t> </w:t>
      </w:r>
      <w:r>
        <w:rPr/>
        <w:t>万元；</w:t>
      </w:r>
    </w:p>
    <w:p>
      <w:pPr>
        <w:pStyle w:val="BodyText"/>
        <w:spacing w:line="272" w:lineRule="exact" w:before="2"/>
        <w:ind w:right="105"/>
        <w:jc w:val="left"/>
      </w:pPr>
      <w:r>
        <w:rPr>
          <w:rFonts w:ascii="Times New Roman" w:hAnsi="Times New Roman" w:cs="Times New Roman" w:eastAsia="Times New Roman" w:hint="default"/>
          <w:spacing w:val="-1"/>
        </w:rPr>
        <w:t>27</w:t>
      </w:r>
      <w:r>
        <w:rPr>
          <w:spacing w:val="-1"/>
        </w:rPr>
        <w:t>、公司子公司宁波市政工程建设集团股份有限公司与赤城街道勤丰经济合作社签订勤丰综合市</w:t>
      </w:r>
      <w:r>
        <w:rPr>
          <w:spacing w:val="-56"/>
        </w:rPr>
        <w:t> </w:t>
      </w:r>
      <w:r>
        <w:rPr>
          <w:spacing w:val="-56"/>
        </w:rPr>
      </w:r>
      <w:r>
        <w:rPr/>
        <w:t>场及农民公寓建设工程合同，合同金额为人民币</w:t>
      </w:r>
      <w:r>
        <w:rPr>
          <w:spacing w:val="-55"/>
        </w:rPr>
        <w:t> </w:t>
      </w:r>
      <w:r>
        <w:rPr>
          <w:rFonts w:ascii="宋体" w:hAnsi="宋体" w:cs="宋体" w:eastAsia="宋体" w:hint="default"/>
        </w:rPr>
        <w:t>23,000.00</w:t>
      </w:r>
      <w:r>
        <w:rPr>
          <w:rFonts w:ascii="宋体" w:hAnsi="宋体" w:cs="宋体" w:eastAsia="宋体" w:hint="default"/>
          <w:spacing w:val="-55"/>
        </w:rPr>
        <w:t> </w:t>
      </w:r>
      <w:r>
        <w:rPr/>
        <w:t>万元。</w:t>
      </w:r>
    </w:p>
    <w:p>
      <w:pPr>
        <w:spacing w:line="240" w:lineRule="auto" w:before="12"/>
        <w:rPr>
          <w:rFonts w:ascii="宋体" w:hAnsi="宋体" w:cs="宋体" w:eastAsia="宋体" w:hint="default"/>
          <w:sz w:val="20"/>
          <w:szCs w:val="20"/>
        </w:rPr>
      </w:pPr>
    </w:p>
    <w:p>
      <w:pPr>
        <w:pStyle w:val="Heading3"/>
        <w:spacing w:line="240" w:lineRule="auto" w:before="0"/>
        <w:ind w:left="138" w:right="105"/>
        <w:jc w:val="left"/>
        <w:rPr>
          <w:b w:val="0"/>
          <w:bCs w:val="0"/>
        </w:rPr>
      </w:pPr>
      <w:r>
        <w:rPr/>
        <w:t>十六、其他重大事项的说明</w:t>
      </w:r>
      <w:r>
        <w:rPr>
          <w:b w:val="0"/>
          <w:bCs w:val="0"/>
        </w:rPr>
      </w:r>
    </w:p>
    <w:p>
      <w:pPr>
        <w:pStyle w:val="BodyText"/>
        <w:spacing w:line="240" w:lineRule="auto" w:before="58"/>
        <w:ind w:right="10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tabs>
          <w:tab w:pos="781" w:val="left" w:leader="none"/>
        </w:tabs>
        <w:spacing w:line="290" w:lineRule="auto" w:before="0"/>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right="105"/>
        <w:jc w:val="left"/>
      </w:pPr>
      <w:r>
        <w:rPr/>
        <w:t>□适用 √不适用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tabs>
          <w:tab w:pos="781" w:val="left" w:leader="none"/>
        </w:tabs>
        <w:spacing w:line="240" w:lineRule="auto" w:before="0"/>
        <w:ind w:left="138" w:right="10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40" w:lineRule="auto" w:before="58"/>
        <w:ind w:right="105"/>
        <w:jc w:val="left"/>
      </w:pPr>
      <w:r>
        <w:rPr/>
        <w:t>√适用</w:t>
        <w:tab/>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317" w:firstLine="419"/>
        <w:jc w:val="both"/>
      </w:pPr>
      <w:r>
        <w:rPr>
          <w:spacing w:val="-2"/>
        </w:rPr>
        <w:t>报告期，公司积极承担社会责任，在生产经营和业务发展的过程中充分尊重和积极维护公司</w:t>
      </w:r>
      <w:r>
        <w:rPr>
          <w:w w:val="100"/>
        </w:rPr>
        <w:t> </w:t>
      </w:r>
      <w:r>
        <w:rPr>
          <w:spacing w:val="-2"/>
        </w:rPr>
        <w:t>股东、员工、债权人、客户、供应商、消费者及社会公众的相关权益，积极履行作为公众公司所</w:t>
      </w:r>
      <w:r>
        <w:rPr>
          <w:spacing w:val="-25"/>
        </w:rPr>
        <w:t> </w:t>
      </w:r>
      <w:r>
        <w:rPr>
          <w:spacing w:val="-25"/>
        </w:rPr>
      </w:r>
      <w:r>
        <w:rPr/>
        <w:t>应承担的社会责任，积极为区域经济发展和社会和谐贡献力量。</w:t>
      </w:r>
    </w:p>
    <w:p>
      <w:pPr>
        <w:pStyle w:val="BodyText"/>
        <w:spacing w:line="272" w:lineRule="exact"/>
        <w:ind w:left="558" w:right="227"/>
        <w:jc w:val="left"/>
      </w:pPr>
      <w:r>
        <w:rPr/>
        <w:t>报告期，公司以</w:t>
      </w:r>
      <w:r>
        <w:rPr>
          <w:spacing w:val="-55"/>
        </w:rPr>
        <w:t> </w:t>
      </w:r>
      <w:r>
        <w:rPr>
          <w:rFonts w:ascii="宋体" w:hAnsi="宋体" w:cs="宋体" w:eastAsia="宋体" w:hint="default"/>
        </w:rPr>
        <w:t>2016</w:t>
      </w:r>
      <w:r>
        <w:rPr>
          <w:rFonts w:ascii="宋体" w:hAnsi="宋体" w:cs="宋体" w:eastAsia="宋体" w:hint="default"/>
          <w:spacing w:val="-54"/>
        </w:rPr>
        <w:t> </w:t>
      </w:r>
      <w:r>
        <w:rPr/>
        <w:t>年末股本</w:t>
      </w:r>
      <w:r>
        <w:rPr>
          <w:spacing w:val="-55"/>
        </w:rPr>
        <w:t> </w:t>
      </w:r>
      <w:r>
        <w:rPr>
          <w:rFonts w:ascii="宋体" w:hAnsi="宋体" w:cs="宋体" w:eastAsia="宋体" w:hint="default"/>
        </w:rPr>
        <w:t>976,080,000.00</w:t>
      </w:r>
      <w:r>
        <w:rPr>
          <w:rFonts w:ascii="宋体" w:hAnsi="宋体" w:cs="宋体" w:eastAsia="宋体" w:hint="default"/>
          <w:spacing w:val="-55"/>
        </w:rPr>
        <w:t> </w:t>
      </w:r>
      <w:r>
        <w:rPr/>
        <w:t>股为基数，每</w:t>
      </w:r>
      <w:r>
        <w:rPr>
          <w:spacing w:val="-55"/>
        </w:rPr>
        <w:t> </w:t>
      </w:r>
      <w:r>
        <w:rPr>
          <w:rFonts w:ascii="宋体" w:hAnsi="宋体" w:cs="宋体" w:eastAsia="宋体" w:hint="default"/>
        </w:rPr>
        <w:t>10</w:t>
      </w:r>
      <w:r>
        <w:rPr>
          <w:rFonts w:ascii="宋体" w:hAnsi="宋体" w:cs="宋体" w:eastAsia="宋体" w:hint="default"/>
          <w:spacing w:val="-55"/>
        </w:rPr>
        <w:t> </w:t>
      </w:r>
      <w:r>
        <w:rPr/>
        <w:t>股派现金红利</w:t>
      </w:r>
      <w:r>
        <w:rPr>
          <w:spacing w:val="-54"/>
        </w:rPr>
        <w:t> </w:t>
      </w:r>
      <w:r>
        <w:rPr>
          <w:rFonts w:ascii="宋体" w:hAnsi="宋体" w:cs="宋体" w:eastAsia="宋体" w:hint="default"/>
        </w:rPr>
        <w:t>0.70</w:t>
      </w:r>
      <w:r>
        <w:rPr>
          <w:rFonts w:ascii="宋体" w:hAnsi="宋体" w:cs="宋体" w:eastAsia="宋体" w:hint="default"/>
          <w:spacing w:val="-55"/>
        </w:rPr>
        <w:t> </w:t>
      </w:r>
      <w:r>
        <w:rPr/>
        <w:t>元（含</w:t>
      </w:r>
    </w:p>
    <w:p>
      <w:pPr>
        <w:pStyle w:val="BodyText"/>
        <w:spacing w:line="240" w:lineRule="auto"/>
        <w:ind w:left="558" w:right="0" w:hanging="420"/>
        <w:jc w:val="left"/>
      </w:pPr>
      <w:r>
        <w:rPr>
          <w:spacing w:val="-37"/>
          <w:w w:val="100"/>
        </w:rPr>
        <w:t>税），共支付</w:t>
      </w:r>
      <w:r>
        <w:rPr>
          <w:spacing w:val="-58"/>
          <w:w w:val="100"/>
        </w:rPr>
        <w:t> </w:t>
      </w:r>
      <w:r>
        <w:rPr>
          <w:rFonts w:ascii="宋体" w:hAnsi="宋体" w:cs="宋体" w:eastAsia="宋体" w:hint="default"/>
          <w:spacing w:val="-1"/>
          <w:w w:val="100"/>
        </w:rPr>
        <w:t>2016</w:t>
      </w:r>
      <w:r>
        <w:rPr>
          <w:rFonts w:ascii="宋体" w:hAnsi="宋体" w:cs="宋体" w:eastAsia="宋体" w:hint="default"/>
          <w:spacing w:val="-61"/>
          <w:w w:val="100"/>
        </w:rPr>
        <w:t> </w:t>
      </w:r>
      <w:r>
        <w:rPr>
          <w:spacing w:val="-1"/>
          <w:w w:val="100"/>
        </w:rPr>
        <w:t>年普通股股利</w:t>
      </w:r>
      <w:r>
        <w:rPr>
          <w:spacing w:val="-61"/>
          <w:w w:val="100"/>
        </w:rPr>
        <w:t> </w:t>
      </w:r>
      <w:r>
        <w:rPr>
          <w:rFonts w:ascii="宋体" w:hAnsi="宋体" w:cs="宋体" w:eastAsia="宋体" w:hint="default"/>
          <w:spacing w:val="-1"/>
          <w:w w:val="100"/>
        </w:rPr>
        <w:t>68,325,600.00</w:t>
      </w:r>
      <w:r>
        <w:rPr>
          <w:rFonts w:ascii="宋体" w:hAnsi="宋体" w:cs="宋体" w:eastAsia="宋体" w:hint="default"/>
          <w:spacing w:val="-62"/>
          <w:w w:val="100"/>
        </w:rPr>
        <w:t> </w:t>
      </w:r>
      <w:r>
        <w:rPr>
          <w:spacing w:val="-7"/>
          <w:w w:val="100"/>
        </w:rPr>
        <w:t>元，占公司合并报表归属于母公司净利润的</w:t>
      </w:r>
      <w:r>
        <w:rPr>
          <w:spacing w:val="-57"/>
          <w:w w:val="100"/>
        </w:rPr>
        <w:t> </w:t>
      </w:r>
      <w:r>
        <w:rPr>
          <w:rFonts w:ascii="宋体" w:hAnsi="宋体" w:cs="宋体" w:eastAsia="宋体" w:hint="default"/>
          <w:spacing w:val="-2"/>
          <w:w w:val="100"/>
        </w:rPr>
        <w:t>34.97%</w:t>
      </w:r>
      <w:r>
        <w:rPr>
          <w:spacing w:val="-2"/>
          <w:w w:val="100"/>
        </w:rPr>
        <w:t>。</w:t>
      </w:r>
      <w:r>
        <w:rPr>
          <w:w w:val="100"/>
        </w:rPr>
        <w:t> </w:t>
      </w:r>
      <w:r>
        <w:rPr/>
        <w:t>报告期公司秉承“守信讲义、通情达理”的理念，将守法经营、改善员工的工作生活条件当</w:t>
      </w:r>
    </w:p>
    <w:p>
      <w:pPr>
        <w:pStyle w:val="BodyText"/>
        <w:spacing w:line="274" w:lineRule="exact" w:before="22"/>
        <w:ind w:right="227"/>
        <w:jc w:val="left"/>
      </w:pPr>
      <w:r>
        <w:rPr>
          <w:spacing w:val="-2"/>
        </w:rPr>
        <w:t>作社会责任的重要内容，积极做到以人为本，尊重知识，尊重人才，力求实现员工与企业的共赢</w:t>
      </w:r>
      <w:r>
        <w:rPr>
          <w:spacing w:val="-25"/>
        </w:rPr>
        <w:t> </w:t>
      </w:r>
      <w:r>
        <w:rPr>
          <w:spacing w:val="-25"/>
        </w:rPr>
      </w:r>
      <w:r>
        <w:rPr/>
        <w:t>共进。</w:t>
      </w:r>
    </w:p>
    <w:p>
      <w:pPr>
        <w:pStyle w:val="BodyText"/>
        <w:spacing w:line="245" w:lineRule="exact"/>
        <w:ind w:right="0" w:firstLine="419"/>
        <w:jc w:val="both"/>
      </w:pPr>
      <w:r>
        <w:rPr/>
        <w:t>年度内严格按照</w:t>
      </w:r>
      <w:r>
        <w:rPr>
          <w:spacing w:val="-47"/>
        </w:rPr>
        <w:t> </w:t>
      </w:r>
      <w:r>
        <w:rPr>
          <w:rFonts w:ascii="宋体" w:hAnsi="宋体" w:cs="宋体" w:eastAsia="宋体" w:hint="default"/>
          <w:spacing w:val="-5"/>
        </w:rPr>
        <w:t>ISO9001</w:t>
      </w:r>
      <w:r>
        <w:rPr>
          <w:spacing w:val="-5"/>
        </w:rPr>
        <w:t>：</w:t>
      </w:r>
      <w:r>
        <w:rPr>
          <w:rFonts w:ascii="宋体" w:hAnsi="宋体" w:cs="宋体" w:eastAsia="宋体" w:hint="default"/>
          <w:spacing w:val="-5"/>
        </w:rPr>
        <w:t>2000</w:t>
      </w:r>
      <w:r>
        <w:rPr>
          <w:rFonts w:ascii="宋体" w:hAnsi="宋体" w:cs="宋体" w:eastAsia="宋体" w:hint="default"/>
          <w:spacing w:val="-49"/>
        </w:rPr>
        <w:t> </w:t>
      </w:r>
      <w:r>
        <w:rPr/>
        <w:t>质量管理体系和</w:t>
      </w:r>
      <w:r>
        <w:rPr>
          <w:spacing w:val="-47"/>
        </w:rPr>
        <w:t> </w:t>
      </w:r>
      <w:r>
        <w:rPr>
          <w:rFonts w:ascii="宋体" w:hAnsi="宋体" w:cs="宋体" w:eastAsia="宋体" w:hint="default"/>
          <w:spacing w:val="-5"/>
        </w:rPr>
        <w:t>ISO14001</w:t>
      </w:r>
      <w:r>
        <w:rPr>
          <w:spacing w:val="-5"/>
        </w:rPr>
        <w:t>：</w:t>
      </w:r>
      <w:r>
        <w:rPr>
          <w:rFonts w:ascii="宋体" w:hAnsi="宋体" w:cs="宋体" w:eastAsia="宋体" w:hint="default"/>
          <w:spacing w:val="-5"/>
        </w:rPr>
        <w:t>2004</w:t>
      </w:r>
      <w:r>
        <w:rPr>
          <w:rFonts w:ascii="宋体" w:hAnsi="宋体" w:cs="宋体" w:eastAsia="宋体" w:hint="default"/>
          <w:spacing w:val="-47"/>
        </w:rPr>
        <w:t> </w:t>
      </w:r>
      <w:r>
        <w:rPr/>
        <w:t>环境管理体系的要求强化管</w:t>
      </w:r>
    </w:p>
    <w:p>
      <w:pPr>
        <w:pStyle w:val="BodyText"/>
        <w:spacing w:line="237" w:lineRule="auto" w:before="2"/>
        <w:ind w:right="317"/>
        <w:jc w:val="both"/>
      </w:pPr>
      <w:r>
        <w:rPr>
          <w:spacing w:val="-2"/>
        </w:rPr>
        <w:t>理，促进个人与企业、企业与社会，企业与环境的和谐可持续发展。公司质量、环境、职业安全</w:t>
      </w:r>
      <w:r>
        <w:rPr>
          <w:spacing w:val="-25"/>
        </w:rPr>
        <w:t> </w:t>
      </w:r>
      <w:r>
        <w:rPr>
          <w:spacing w:val="-25"/>
        </w:rPr>
      </w:r>
      <w:r>
        <w:rPr>
          <w:spacing w:val="-2"/>
        </w:rPr>
        <w:t>健康及环境管理体系的标准得到较好执行，在为社会提供高质量的产品的同时，严格执行环境保</w:t>
      </w:r>
      <w:r>
        <w:rPr>
          <w:spacing w:val="-25"/>
        </w:rPr>
        <w:t> </w:t>
      </w:r>
      <w:r>
        <w:rPr>
          <w:spacing w:val="-25"/>
        </w:rPr>
      </w:r>
      <w:r>
        <w:rPr>
          <w:spacing w:val="-2"/>
        </w:rPr>
        <w:t>护、职业安全健康等的管理法规，营造良好的企业运营环境。公司继续以农民工学校的形式做好</w:t>
      </w:r>
      <w:r>
        <w:rPr>
          <w:spacing w:val="-25"/>
        </w:rPr>
        <w:t> </w:t>
      </w:r>
      <w:r>
        <w:rPr>
          <w:spacing w:val="-25"/>
        </w:rPr>
      </w:r>
      <w:r>
        <w:rPr>
          <w:spacing w:val="-2"/>
        </w:rPr>
        <w:t>进城务工人员的培训教育工作，同时每年组织开展法律、医疗进工地活动，现场为项目工人做简</w:t>
      </w:r>
      <w:r>
        <w:rPr>
          <w:spacing w:val="-25"/>
        </w:rPr>
        <w:t> </w:t>
      </w:r>
      <w:r>
        <w:rPr>
          <w:spacing w:val="-25"/>
        </w:rPr>
      </w:r>
      <w:r>
        <w:rPr/>
        <w:t>单体检、进行法律知识讲解培训，学习资料发放宣传，受到了项目员工的欢迎与好评。</w:t>
      </w:r>
    </w:p>
    <w:p>
      <w:pPr>
        <w:pStyle w:val="BodyText"/>
        <w:spacing w:line="237" w:lineRule="auto"/>
        <w:ind w:right="310" w:firstLine="419"/>
        <w:jc w:val="both"/>
      </w:pPr>
      <w:r>
        <w:rPr>
          <w:spacing w:val="-5"/>
        </w:rPr>
        <w:t>报告期继续公司开展“慈善一日捐”活动，共募集资金 </w:t>
      </w:r>
      <w:r>
        <w:rPr>
          <w:rFonts w:ascii="宋体" w:hAnsi="宋体" w:cs="宋体" w:eastAsia="宋体" w:hint="default"/>
        </w:rPr>
        <w:t>37</w:t>
      </w:r>
      <w:r>
        <w:rPr>
          <w:rFonts w:ascii="宋体" w:hAnsi="宋体" w:cs="宋体" w:eastAsia="宋体" w:hint="default"/>
          <w:spacing w:val="-36"/>
        </w:rPr>
        <w:t> </w:t>
      </w:r>
      <w:r>
        <w:rPr>
          <w:spacing w:val="-4"/>
        </w:rPr>
        <w:t>万余元用于开展慈善工作。公司工</w:t>
      </w:r>
      <w:r>
        <w:rPr>
          <w:w w:val="100"/>
        </w:rPr>
        <w:t> </w:t>
      </w:r>
      <w:r>
        <w:rPr>
          <w:spacing w:val="-2"/>
        </w:rPr>
        <w:t>会继续抓好职工关爱工程，劳模、离退休职工慰问工作及困难职工募捐活动，开展好送清凉、送</w:t>
      </w:r>
      <w:r>
        <w:rPr>
          <w:spacing w:val="-25"/>
        </w:rPr>
        <w:t> </w:t>
      </w:r>
      <w:r>
        <w:rPr>
          <w:spacing w:val="-25"/>
        </w:rPr>
      </w:r>
      <w:r>
        <w:rPr/>
        <w:t>温暖、送健康等系列品牌活动。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3"/>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w:t>
      </w:r>
      <w:r>
        <w:rPr>
          <w:b w:val="0"/>
          <w:bCs w:val="0"/>
        </w:rPr>
      </w:r>
    </w:p>
    <w:p>
      <w:pPr>
        <w:pStyle w:val="BodyText"/>
        <w:spacing w:line="240" w:lineRule="auto" w:before="59"/>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58"/>
        <w:ind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t>十八、可转换公司债券情况</w:t>
      </w:r>
      <w:r>
        <w:rPr>
          <w:b w:val="0"/>
          <w:bCs w:val="0"/>
        </w:rPr>
      </w:r>
    </w:p>
    <w:p>
      <w:pPr>
        <w:pStyle w:val="Heading3"/>
        <w:spacing w:line="240" w:lineRule="auto" w:before="56"/>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32"/>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3"/>
        <w:spacing w:line="240" w:lineRule="auto" w:before="0"/>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4" w:lineRule="exact" w:before="55"/>
        <w:ind w:right="632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62"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0"/>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footerReference w:type="default" r:id="rId26"/>
          <w:pgSz w:w="11910" w:h="16840"/>
          <w:pgMar w:footer="1195" w:header="880" w:top="1120" w:bottom="1380" w:left="1660" w:right="960"/>
        </w:sectPr>
      </w:pPr>
    </w:p>
    <w:p>
      <w:pPr>
        <w:spacing w:line="240" w:lineRule="auto" w:before="4"/>
        <w:rPr>
          <w:rFonts w:ascii="宋体" w:hAnsi="宋体" w:cs="宋体" w:eastAsia="宋体" w:hint="default"/>
          <w:sz w:val="25"/>
          <w:szCs w:val="25"/>
        </w:rPr>
      </w:pPr>
    </w:p>
    <w:p>
      <w:pPr>
        <w:pStyle w:val="Heading3"/>
        <w:spacing w:line="240" w:lineRule="auto"/>
        <w:ind w:left="398" w:right="651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156" w:val="left" w:leader="none"/>
        </w:tabs>
        <w:spacing w:line="240" w:lineRule="auto" w:before="32"/>
        <w:ind w:left="398" w:right="65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300" w:val="left" w:leader="none"/>
        </w:tabs>
        <w:spacing w:line="240" w:lineRule="auto" w:before="0"/>
        <w:ind w:left="40"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3"/>
        <w:tabs>
          <w:tab w:pos="964" w:val="left" w:leader="none"/>
        </w:tabs>
        <w:spacing w:line="278" w:lineRule="auto" w:before="0"/>
        <w:ind w:left="398" w:right="651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398" w:right="369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156" w:val="left" w:leader="none"/>
        </w:tabs>
        <w:spacing w:line="240" w:lineRule="auto" w:before="15"/>
        <w:ind w:left="398" w:right="65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left="39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156" w:val="left" w:leader="none"/>
        </w:tabs>
        <w:spacing w:line="240" w:lineRule="auto" w:before="58"/>
        <w:ind w:left="398" w:right="65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spacing w:line="240" w:lineRule="auto" w:before="40"/>
        <w:ind w:left="398" w:right="3691"/>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156" w:val="left" w:leader="none"/>
        </w:tabs>
        <w:spacing w:line="240" w:lineRule="auto" w:before="58"/>
        <w:ind w:left="398" w:right="65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964" w:val="left" w:leader="none"/>
        </w:tabs>
        <w:spacing w:line="240" w:lineRule="auto" w:before="40"/>
        <w:ind w:left="398" w:right="65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398" w:right="65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3"/>
        <w:spacing w:line="290" w:lineRule="auto" w:before="0"/>
        <w:ind w:left="398" w:right="621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398" w:right="59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5"/>
          <w:w w:val="100"/>
        </w:rPr>
        <w:t>截至报告期内证券发行情况的说明（存续期内利率不同的债券，请分别说明）：</w:t>
      </w:r>
    </w:p>
    <w:p>
      <w:pPr>
        <w:pStyle w:val="BodyText"/>
        <w:tabs>
          <w:tab w:pos="1240" w:val="left" w:leader="none"/>
        </w:tabs>
        <w:spacing w:line="249" w:lineRule="exact"/>
        <w:ind w:left="398" w:right="651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before="0"/>
        <w:ind w:left="39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156" w:val="left" w:leader="none"/>
        </w:tabs>
        <w:spacing w:line="240" w:lineRule="auto" w:before="56"/>
        <w:ind w:left="398" w:right="65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398" w:right="651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left="398" w:right="65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398" w:right="6510"/>
        <w:jc w:val="left"/>
        <w:rPr>
          <w:b w:val="0"/>
          <w:bCs w:val="0"/>
        </w:rPr>
      </w:pPr>
      <w:r>
        <w:rPr/>
        <w:t>三、</w:t>
      </w:r>
      <w:r>
        <w:rPr>
          <w:spacing w:val="-80"/>
        </w:rPr>
        <w:t> </w:t>
      </w:r>
      <w:r>
        <w:rPr/>
        <w:t>股东和实际控制人情况</w:t>
      </w:r>
      <w:r>
        <w:rPr>
          <w:b w:val="0"/>
          <w:bCs w:val="0"/>
        </w:rPr>
      </w:r>
    </w:p>
    <w:p>
      <w:pPr>
        <w:pStyle w:val="Heading3"/>
        <w:spacing w:line="240" w:lineRule="auto" w:before="59"/>
        <w:ind w:left="398" w:right="651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28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46,749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44,306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3"/>
        <w:spacing w:line="240" w:lineRule="auto"/>
        <w:ind w:left="39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35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10" w:type="dxa"/>
        <w:tblLayout w:type="fixed"/>
        <w:tblCellMar>
          <w:top w:w="0" w:type="dxa"/>
          <w:left w:w="0" w:type="dxa"/>
          <w:bottom w:w="0" w:type="dxa"/>
          <w:right w:w="0" w:type="dxa"/>
        </w:tblCellMar>
        <w:tblLook w:val="01E0"/>
      </w:tblPr>
      <w:tblGrid>
        <w:gridCol w:w="1418"/>
        <w:gridCol w:w="1275"/>
        <w:gridCol w:w="1418"/>
        <w:gridCol w:w="850"/>
        <w:gridCol w:w="994"/>
        <w:gridCol w:w="2269"/>
        <w:gridCol w:w="1133"/>
      </w:tblGrid>
      <w:tr>
        <w:trPr>
          <w:trHeight w:val="281" w:hRule="exact"/>
        </w:trPr>
        <w:tc>
          <w:tcPr>
            <w:tcW w:w="935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报告期内增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期末持股数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持有有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股东</w:t>
            </w:r>
          </w:p>
        </w:tc>
      </w:tr>
    </w:tbl>
    <w:p>
      <w:pPr>
        <w:spacing w:after="0" w:line="241" w:lineRule="exact"/>
        <w:jc w:val="left"/>
        <w:rPr>
          <w:rFonts w:ascii="宋体" w:hAnsi="宋体" w:cs="宋体" w:eastAsia="宋体" w:hint="default"/>
          <w:sz w:val="21"/>
          <w:szCs w:val="21"/>
        </w:rPr>
        <w:sectPr>
          <w:footerReference w:type="default" r:id="rId27"/>
          <w:pgSz w:w="11910" w:h="16840"/>
          <w:pgMar w:footer="1195" w:header="880" w:top="1120" w:bottom="1380" w:left="1400" w:right="920"/>
          <w:pgNumType w:start="5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418"/>
        <w:gridCol w:w="1085"/>
        <w:gridCol w:w="190"/>
        <w:gridCol w:w="1418"/>
        <w:gridCol w:w="850"/>
        <w:gridCol w:w="170"/>
        <w:gridCol w:w="823"/>
        <w:gridCol w:w="850"/>
        <w:gridCol w:w="367"/>
        <w:gridCol w:w="1052"/>
        <w:gridCol w:w="1133"/>
      </w:tblGrid>
      <w:tr>
        <w:trPr>
          <w:trHeight w:val="8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1" w:right="0"/>
              <w:jc w:val="left"/>
              <w:rPr>
                <w:rFonts w:ascii="Times New Roman" w:hAnsi="Times New Roman" w:cs="Times New Roman" w:eastAsia="Times New Roman" w:hint="default"/>
                <w:sz w:val="21"/>
                <w:szCs w:val="21"/>
              </w:rPr>
            </w:pPr>
            <w:r>
              <w:rPr>
                <w:rFonts w:ascii="Times New Roman"/>
                <w:sz w:val="21"/>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限售条</w:t>
            </w:r>
          </w:p>
          <w:p>
            <w:pPr>
              <w:pStyle w:val="TableParagraph"/>
              <w:spacing w:line="240" w:lineRule="auto"/>
              <w:ind w:left="280" w:right="173" w:hanging="106"/>
              <w:jc w:val="left"/>
              <w:rPr>
                <w:rFonts w:ascii="宋体" w:hAnsi="宋体" w:cs="宋体" w:eastAsia="宋体" w:hint="default"/>
                <w:sz w:val="21"/>
                <w:szCs w:val="21"/>
              </w:rPr>
            </w:pP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8" w:right="206"/>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8" w:right="0"/>
              <w:jc w:val="left"/>
              <w:rPr>
                <w:rFonts w:ascii="宋体" w:hAnsi="宋体" w:cs="宋体" w:eastAsia="宋体" w:hint="default"/>
                <w:sz w:val="21"/>
                <w:szCs w:val="21"/>
              </w:rPr>
            </w:pPr>
            <w:r>
              <w:rPr>
                <w:rFonts w:ascii="宋体" w:hAnsi="宋体" w:cs="宋体" w:eastAsia="宋体" w:hint="default"/>
                <w:sz w:val="21"/>
                <w:szCs w:val="21"/>
              </w:rPr>
              <w:t>性质</w:t>
            </w:r>
          </w:p>
        </w:tc>
      </w:tr>
      <w:tr>
        <w:trPr>
          <w:trHeight w:val="8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6"/>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广</w:t>
            </w:r>
            <w:r>
              <w:rPr>
                <w:rFonts w:ascii="宋体" w:hAnsi="宋体" w:cs="宋体" w:eastAsia="宋体" w:hint="default"/>
                <w:spacing w:val="-69"/>
                <w:sz w:val="21"/>
                <w:szCs w:val="21"/>
              </w:rPr>
              <w:t> </w:t>
            </w: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日</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9"/>
                <w:sz w:val="21"/>
                <w:szCs w:val="21"/>
              </w:rPr>
              <w:t> </w:t>
            </w:r>
            <w:r>
              <w:rPr>
                <w:rFonts w:ascii="宋体" w:hAnsi="宋体" w:cs="宋体" w:eastAsia="宋体" w:hint="default"/>
                <w:sz w:val="21"/>
                <w:szCs w:val="21"/>
              </w:rPr>
              <w:t>团</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383,100,000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39.25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2" w:right="0"/>
              <w:jc w:val="left"/>
              <w:rPr>
                <w:rFonts w:ascii="Times New Roman" w:hAnsi="Times New Roman" w:cs="Times New Roman" w:eastAsia="Times New Roman" w:hint="default"/>
                <w:sz w:val="21"/>
                <w:szCs w:val="21"/>
              </w:rPr>
            </w:pPr>
            <w:r>
              <w:rPr>
                <w:rFonts w:ascii="Times New Roman"/>
                <w:sz w:val="21"/>
              </w:rPr>
              <w:t>294,560,000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内非</w:t>
            </w:r>
            <w:r>
              <w:rPr>
                <w:rFonts w:ascii="宋体" w:hAnsi="宋体" w:cs="宋体" w:eastAsia="宋体" w:hint="default"/>
                <w:spacing w:val="-77"/>
                <w:sz w:val="21"/>
                <w:szCs w:val="21"/>
              </w:rPr>
              <w:t> </w:t>
            </w:r>
            <w:r>
              <w:rPr>
                <w:rFonts w:ascii="宋体" w:hAnsi="宋体" w:cs="宋体" w:eastAsia="宋体" w:hint="default"/>
                <w:sz w:val="21"/>
                <w:szCs w:val="21"/>
              </w:rPr>
              <w:t>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1" w:right="0"/>
              <w:jc w:val="left"/>
              <w:rPr>
                <w:rFonts w:ascii="Times New Roman" w:hAnsi="Times New Roman" w:cs="Times New Roman" w:eastAsia="Times New Roman" w:hint="default"/>
                <w:sz w:val="21"/>
                <w:szCs w:val="21"/>
              </w:rPr>
            </w:pPr>
            <w:r>
              <w:rPr>
                <w:rFonts w:ascii="Times New Roman"/>
                <w:sz w:val="21"/>
              </w:rPr>
              <w:t>-5,600,000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18,864,000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1.93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8,000,000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6,128,868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0.63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0.61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79" w:right="0"/>
              <w:jc w:val="left"/>
              <w:rPr>
                <w:rFonts w:ascii="Times New Roman" w:hAnsi="Times New Roman" w:cs="Times New Roman" w:eastAsia="Times New Roman" w:hint="default"/>
                <w:sz w:val="21"/>
                <w:szCs w:val="21"/>
              </w:rPr>
            </w:pPr>
            <w:r>
              <w:rPr>
                <w:rFonts w:ascii="Times New Roman"/>
                <w:sz w:val="21"/>
              </w:rPr>
              <w:t>310,000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5,970,000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z w:val="21"/>
              </w:rPr>
              <w:t>0.61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9" w:right="0"/>
              <w:jc w:val="left"/>
              <w:rPr>
                <w:rFonts w:ascii="Times New Roman" w:hAnsi="Times New Roman" w:cs="Times New Roman" w:eastAsia="Times New Roman" w:hint="default"/>
                <w:sz w:val="21"/>
                <w:szCs w:val="21"/>
              </w:rPr>
            </w:pPr>
            <w:r>
              <w:rPr>
                <w:rFonts w:ascii="Times New Roman"/>
                <w:sz w:val="21"/>
              </w:rPr>
              <w:t>730,880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5,802,522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0.59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吴广宇</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4,460,000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7" w:right="0"/>
              <w:jc w:val="left"/>
              <w:rPr>
                <w:rFonts w:ascii="Times New Roman" w:hAnsi="Times New Roman" w:cs="Times New Roman" w:eastAsia="Times New Roman" w:hint="default"/>
                <w:sz w:val="21"/>
                <w:szCs w:val="21"/>
              </w:rPr>
            </w:pPr>
            <w:r>
              <w:rPr>
                <w:rFonts w:ascii="Times New Roman"/>
                <w:sz w:val="21"/>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0.45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3,000,000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钟山</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1,816,100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4,066,100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0.42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0.41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7"/>
                <w:sz w:val="21"/>
                <w:szCs w:val="21"/>
              </w:rPr>
              <w:t> </w:t>
            </w:r>
            <w:r>
              <w:rPr>
                <w:rFonts w:ascii="宋体" w:hAnsi="宋体" w:cs="宋体" w:eastAsia="宋体" w:hint="default"/>
                <w:spacing w:val="11"/>
                <w:sz w:val="21"/>
                <w:szCs w:val="21"/>
              </w:rPr>
              <w:t>内自</w:t>
            </w:r>
            <w:r>
              <w:rPr>
                <w:rFonts w:ascii="宋体" w:hAnsi="宋体" w:cs="宋体" w:eastAsia="宋体" w:hint="default"/>
                <w:spacing w:val="-77"/>
                <w:sz w:val="21"/>
                <w:szCs w:val="21"/>
              </w:rPr>
              <w:t> </w:t>
            </w:r>
            <w:r>
              <w:rPr>
                <w:rFonts w:ascii="宋体" w:hAnsi="宋体" w:cs="宋体" w:eastAsia="宋体" w:hint="default"/>
                <w:sz w:val="21"/>
                <w:szCs w:val="21"/>
              </w:rPr>
              <w:t>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1" w:hRule="exact"/>
        </w:trPr>
        <w:tc>
          <w:tcPr>
            <w:tcW w:w="93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4" w:hRule="exact"/>
        </w:trPr>
        <w:tc>
          <w:tcPr>
            <w:tcW w:w="2504" w:type="dxa"/>
            <w:gridSpan w:val="2"/>
            <w:vMerge w:val="restart"/>
            <w:tcBorders>
              <w:top w:val="single" w:sz="4" w:space="0" w:color="000000"/>
              <w:left w:val="single" w:sz="4" w:space="0" w:color="000000"/>
              <w:right w:val="single" w:sz="4" w:space="0" w:color="000000"/>
            </w:tcBorders>
          </w:tcPr>
          <w:p>
            <w:pPr>
              <w:pStyle w:val="TableParagraph"/>
              <w:spacing w:line="240" w:lineRule="auto" w:before="108"/>
              <w:ind w:left="82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628" w:type="dxa"/>
            <w:gridSpan w:val="4"/>
            <w:vMerge w:val="restart"/>
            <w:tcBorders>
              <w:top w:val="single" w:sz="4" w:space="0" w:color="000000"/>
              <w:left w:val="single" w:sz="4" w:space="0" w:color="000000"/>
              <w:right w:val="single" w:sz="4" w:space="0" w:color="000000"/>
            </w:tcBorders>
          </w:tcPr>
          <w:p>
            <w:pPr>
              <w:pStyle w:val="TableParagraph"/>
              <w:spacing w:line="272" w:lineRule="exact"/>
              <w:ind w:left="1099" w:right="149" w:hanging="946"/>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数量</w:t>
            </w:r>
          </w:p>
        </w:tc>
        <w:tc>
          <w:tcPr>
            <w:tcW w:w="42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2504" w:type="dxa"/>
            <w:gridSpan w:val="2"/>
            <w:vMerge/>
            <w:tcBorders>
              <w:left w:val="single" w:sz="4" w:space="0" w:color="000000"/>
              <w:bottom w:val="single" w:sz="4" w:space="0" w:color="000000"/>
              <w:right w:val="single" w:sz="4" w:space="0" w:color="000000"/>
            </w:tcBorders>
          </w:tcPr>
          <w:p>
            <w:pPr/>
          </w:p>
        </w:tc>
        <w:tc>
          <w:tcPr>
            <w:tcW w:w="2628" w:type="dxa"/>
            <w:gridSpan w:val="4"/>
            <w:vMerge/>
            <w:tcBorders>
              <w:left w:val="single" w:sz="4" w:space="0" w:color="000000"/>
              <w:bottom w:val="single" w:sz="4" w:space="0" w:color="000000"/>
              <w:right w:val="single" w:sz="4" w:space="0" w:color="000000"/>
            </w:tcBorders>
          </w:tcPr>
          <w:p>
            <w:pP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浙江广天日月集团股份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3" w:right="0"/>
              <w:jc w:val="left"/>
              <w:rPr>
                <w:rFonts w:ascii="Times New Roman" w:hAnsi="Times New Roman" w:cs="Times New Roman" w:eastAsia="Times New Roman" w:hint="default"/>
                <w:sz w:val="21"/>
                <w:szCs w:val="21"/>
              </w:rPr>
            </w:pPr>
            <w:r>
              <w:rPr>
                <w:rFonts w:ascii="Times New Roman"/>
                <w:sz w:val="21"/>
              </w:rPr>
              <w:t>383,100,000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0" w:right="0"/>
              <w:jc w:val="left"/>
              <w:rPr>
                <w:rFonts w:ascii="Times New Roman" w:hAnsi="Times New Roman" w:cs="Times New Roman" w:eastAsia="Times New Roman" w:hint="default"/>
                <w:sz w:val="21"/>
                <w:szCs w:val="21"/>
              </w:rPr>
            </w:pPr>
            <w:r>
              <w:rPr>
                <w:rFonts w:ascii="Times New Roman"/>
                <w:sz w:val="21"/>
              </w:rPr>
              <w:t>383,100,000</w:t>
            </w:r>
          </w:p>
        </w:tc>
      </w:tr>
      <w:tr>
        <w:trPr>
          <w:trHeight w:val="281"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王一丁</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9" w:right="0"/>
              <w:jc w:val="left"/>
              <w:rPr>
                <w:rFonts w:ascii="Times New Roman" w:hAnsi="Times New Roman" w:cs="Times New Roman" w:eastAsia="Times New Roman" w:hint="default"/>
                <w:sz w:val="21"/>
                <w:szCs w:val="21"/>
              </w:rPr>
            </w:pPr>
            <w:r>
              <w:rPr>
                <w:rFonts w:ascii="Times New Roman"/>
                <w:sz w:val="21"/>
              </w:rPr>
              <w:t>18,864,000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6" w:right="0"/>
              <w:jc w:val="left"/>
              <w:rPr>
                <w:rFonts w:ascii="Times New Roman" w:hAnsi="Times New Roman" w:cs="Times New Roman" w:eastAsia="Times New Roman" w:hint="default"/>
                <w:sz w:val="21"/>
                <w:szCs w:val="21"/>
              </w:rPr>
            </w:pPr>
            <w:r>
              <w:rPr>
                <w:rFonts w:ascii="Times New Roman"/>
                <w:sz w:val="21"/>
              </w:rPr>
              <w:t>18,864,000</w:t>
            </w:r>
          </w:p>
        </w:tc>
      </w:tr>
      <w:tr>
        <w:trPr>
          <w:trHeight w:val="283"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75" w:right="0"/>
              <w:jc w:val="left"/>
              <w:rPr>
                <w:rFonts w:ascii="Times New Roman" w:hAnsi="Times New Roman" w:cs="Times New Roman" w:eastAsia="Times New Roman" w:hint="default"/>
                <w:sz w:val="21"/>
                <w:szCs w:val="21"/>
              </w:rPr>
            </w:pPr>
            <w:r>
              <w:rPr>
                <w:rFonts w:ascii="Times New Roman"/>
                <w:sz w:val="21"/>
              </w:rPr>
              <w:t>6,128,868</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1" w:right="0"/>
              <w:jc w:val="left"/>
              <w:rPr>
                <w:rFonts w:ascii="Times New Roman" w:hAnsi="Times New Roman" w:cs="Times New Roman" w:eastAsia="Times New Roman" w:hint="default"/>
                <w:sz w:val="21"/>
                <w:szCs w:val="21"/>
              </w:rPr>
            </w:pPr>
            <w:r>
              <w:rPr>
                <w:rFonts w:ascii="Times New Roman"/>
                <w:sz w:val="21"/>
              </w:rPr>
              <w:t>6,128,868</w:t>
            </w:r>
          </w:p>
        </w:tc>
      </w:tr>
      <w:tr>
        <w:trPr>
          <w:trHeight w:val="283"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75" w:right="0"/>
              <w:jc w:val="left"/>
              <w:rPr>
                <w:rFonts w:ascii="Times New Roman" w:hAnsi="Times New Roman" w:cs="Times New Roman" w:eastAsia="Times New Roman" w:hint="default"/>
                <w:sz w:val="21"/>
                <w:szCs w:val="21"/>
              </w:rPr>
            </w:pPr>
            <w:r>
              <w:rPr>
                <w:rFonts w:ascii="Times New Roman"/>
                <w:sz w:val="21"/>
              </w:rPr>
              <w:t>6,000,000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31" w:right="0"/>
              <w:jc w:val="left"/>
              <w:rPr>
                <w:rFonts w:ascii="Times New Roman" w:hAnsi="Times New Roman" w:cs="Times New Roman" w:eastAsia="Times New Roman" w:hint="default"/>
                <w:sz w:val="21"/>
                <w:szCs w:val="21"/>
              </w:rPr>
            </w:pPr>
            <w:r>
              <w:rPr>
                <w:rFonts w:ascii="Times New Roman"/>
                <w:sz w:val="21"/>
              </w:rPr>
              <w:t>6,000,000</w:t>
            </w:r>
          </w:p>
        </w:tc>
      </w:tr>
      <w:tr>
        <w:trPr>
          <w:trHeight w:val="281"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75" w:right="0"/>
              <w:jc w:val="left"/>
              <w:rPr>
                <w:rFonts w:ascii="Times New Roman" w:hAnsi="Times New Roman" w:cs="Times New Roman" w:eastAsia="Times New Roman" w:hint="default"/>
                <w:sz w:val="21"/>
                <w:szCs w:val="21"/>
              </w:rPr>
            </w:pPr>
            <w:r>
              <w:rPr>
                <w:rFonts w:ascii="Times New Roman"/>
                <w:sz w:val="21"/>
              </w:rPr>
              <w:t>5,970,000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31" w:right="0"/>
              <w:jc w:val="left"/>
              <w:rPr>
                <w:rFonts w:ascii="Times New Roman" w:hAnsi="Times New Roman" w:cs="Times New Roman" w:eastAsia="Times New Roman" w:hint="default"/>
                <w:sz w:val="21"/>
                <w:szCs w:val="21"/>
              </w:rPr>
            </w:pPr>
            <w:r>
              <w:rPr>
                <w:rFonts w:ascii="Times New Roman"/>
                <w:sz w:val="21"/>
              </w:rPr>
              <w:t>5,970,000</w:t>
            </w:r>
          </w:p>
        </w:tc>
      </w:tr>
      <w:tr>
        <w:trPr>
          <w:trHeight w:val="283"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75" w:right="0"/>
              <w:jc w:val="left"/>
              <w:rPr>
                <w:rFonts w:ascii="Times New Roman" w:hAnsi="Times New Roman" w:cs="Times New Roman" w:eastAsia="Times New Roman" w:hint="default"/>
                <w:sz w:val="21"/>
                <w:szCs w:val="21"/>
              </w:rPr>
            </w:pPr>
            <w:r>
              <w:rPr>
                <w:rFonts w:ascii="Times New Roman"/>
                <w:sz w:val="21"/>
              </w:rPr>
              <w:t>5,802,522</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31" w:right="0"/>
              <w:jc w:val="left"/>
              <w:rPr>
                <w:rFonts w:ascii="Times New Roman" w:hAnsi="Times New Roman" w:cs="Times New Roman" w:eastAsia="Times New Roman" w:hint="default"/>
                <w:sz w:val="21"/>
                <w:szCs w:val="21"/>
              </w:rPr>
            </w:pPr>
            <w:r>
              <w:rPr>
                <w:rFonts w:ascii="Times New Roman"/>
                <w:sz w:val="21"/>
              </w:rPr>
              <w:t>5,802,522</w:t>
            </w:r>
          </w:p>
        </w:tc>
      </w:tr>
      <w:tr>
        <w:trPr>
          <w:trHeight w:val="283"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吴广宇</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75" w:right="0"/>
              <w:jc w:val="left"/>
              <w:rPr>
                <w:rFonts w:ascii="Times New Roman" w:hAnsi="Times New Roman" w:cs="Times New Roman" w:eastAsia="Times New Roman" w:hint="default"/>
                <w:sz w:val="21"/>
                <w:szCs w:val="21"/>
              </w:rPr>
            </w:pPr>
            <w:r>
              <w:rPr>
                <w:rFonts w:ascii="Times New Roman"/>
                <w:sz w:val="21"/>
              </w:rPr>
              <w:t>4,460,000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31" w:right="0"/>
              <w:jc w:val="left"/>
              <w:rPr>
                <w:rFonts w:ascii="Times New Roman" w:hAnsi="Times New Roman" w:cs="Times New Roman" w:eastAsia="Times New Roman" w:hint="default"/>
                <w:sz w:val="21"/>
                <w:szCs w:val="21"/>
              </w:rPr>
            </w:pPr>
            <w:r>
              <w:rPr>
                <w:rFonts w:ascii="Times New Roman"/>
                <w:sz w:val="21"/>
              </w:rPr>
              <w:t>4,460,000</w:t>
            </w:r>
          </w:p>
        </w:tc>
      </w:tr>
      <w:tr>
        <w:trPr>
          <w:trHeight w:val="281"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75" w:right="0"/>
              <w:jc w:val="left"/>
              <w:rPr>
                <w:rFonts w:ascii="Times New Roman" w:hAnsi="Times New Roman" w:cs="Times New Roman" w:eastAsia="Times New Roman" w:hint="default"/>
                <w:sz w:val="21"/>
                <w:szCs w:val="21"/>
              </w:rPr>
            </w:pPr>
            <w:r>
              <w:rPr>
                <w:rFonts w:ascii="Times New Roman"/>
                <w:sz w:val="21"/>
              </w:rPr>
              <w:t>4,400,000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31" w:right="0"/>
              <w:jc w:val="left"/>
              <w:rPr>
                <w:rFonts w:ascii="Times New Roman" w:hAnsi="Times New Roman" w:cs="Times New Roman" w:eastAsia="Times New Roman" w:hint="default"/>
                <w:sz w:val="21"/>
                <w:szCs w:val="21"/>
              </w:rPr>
            </w:pPr>
            <w:r>
              <w:rPr>
                <w:rFonts w:ascii="Times New Roman"/>
                <w:sz w:val="21"/>
              </w:rPr>
              <w:t>4,400,000</w:t>
            </w:r>
          </w:p>
        </w:tc>
      </w:tr>
      <w:tr>
        <w:trPr>
          <w:trHeight w:val="283"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钟山</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75" w:right="0"/>
              <w:jc w:val="left"/>
              <w:rPr>
                <w:rFonts w:ascii="Times New Roman" w:hAnsi="Times New Roman" w:cs="Times New Roman" w:eastAsia="Times New Roman" w:hint="default"/>
                <w:sz w:val="21"/>
                <w:szCs w:val="21"/>
              </w:rPr>
            </w:pPr>
            <w:r>
              <w:rPr>
                <w:rFonts w:ascii="Times New Roman"/>
                <w:sz w:val="21"/>
              </w:rPr>
              <w:t>4,066,100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31" w:right="0"/>
              <w:jc w:val="left"/>
              <w:rPr>
                <w:rFonts w:ascii="Times New Roman" w:hAnsi="Times New Roman" w:cs="Times New Roman" w:eastAsia="Times New Roman" w:hint="default"/>
                <w:sz w:val="21"/>
                <w:szCs w:val="21"/>
              </w:rPr>
            </w:pPr>
            <w:r>
              <w:rPr>
                <w:rFonts w:ascii="Times New Roman"/>
                <w:sz w:val="21"/>
              </w:rPr>
              <w:t>4,066,100</w:t>
            </w:r>
          </w:p>
        </w:tc>
      </w:tr>
      <w:tr>
        <w:trPr>
          <w:trHeight w:val="284"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乌家瑜</w:t>
            </w:r>
          </w:p>
        </w:tc>
        <w:tc>
          <w:tcPr>
            <w:tcW w:w="26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675" w:right="0"/>
              <w:jc w:val="left"/>
              <w:rPr>
                <w:rFonts w:ascii="Times New Roman" w:hAnsi="Times New Roman" w:cs="Times New Roman" w:eastAsia="Times New Roman" w:hint="default"/>
                <w:sz w:val="21"/>
                <w:szCs w:val="21"/>
              </w:rPr>
            </w:pPr>
            <w:r>
              <w:rPr>
                <w:rFonts w:ascii="Times New Roman"/>
                <w:sz w:val="21"/>
              </w:rPr>
              <w:t>4,000,400</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1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31" w:right="0"/>
              <w:jc w:val="left"/>
              <w:rPr>
                <w:rFonts w:ascii="Times New Roman" w:hAnsi="Times New Roman" w:cs="Times New Roman" w:eastAsia="Times New Roman" w:hint="default"/>
                <w:sz w:val="21"/>
                <w:szCs w:val="21"/>
              </w:rPr>
            </w:pPr>
            <w:r>
              <w:rPr>
                <w:rFonts w:ascii="Times New Roman"/>
                <w:sz w:val="21"/>
              </w:rPr>
              <w:t>4,000,400</w:t>
            </w:r>
          </w:p>
        </w:tc>
      </w:tr>
      <w:tr>
        <w:trPr>
          <w:trHeight w:val="1370"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上述股东关联关系或一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致行动的说明</w:t>
            </w:r>
          </w:p>
        </w:tc>
        <w:tc>
          <w:tcPr>
            <w:tcW w:w="6853" w:type="dxa"/>
            <w:gridSpan w:val="9"/>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徐文卫为浙江广天日月集团股份有限公司董事长、法定代表人，孟文华、</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潘信强、王一丁为浙江广天日月集团股份有限公司副董事长，陈建国、翁</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w w:val="100"/>
                <w:sz w:val="21"/>
                <w:szCs w:val="21"/>
              </w:rPr>
              <w:t>海勇为浙江广天日月集团股份有限公司董事。本公司未知前十名无限售流</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w w:val="100"/>
                <w:sz w:val="21"/>
                <w:szCs w:val="21"/>
              </w:rPr>
              <w:t>通股股东中其他股东之间是否存在关联关系，也未知其是否属于一致行动</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人。</w:t>
            </w:r>
          </w:p>
        </w:tc>
      </w:tr>
      <w:tr>
        <w:trPr>
          <w:trHeight w:val="554" w:hRule="exact"/>
        </w:trPr>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表决权恢复的优先股股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东及持股数量的说明</w:t>
            </w:r>
          </w:p>
        </w:tc>
        <w:tc>
          <w:tcPr>
            <w:tcW w:w="685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13"/>
          <w:szCs w:val="13"/>
        </w:rPr>
      </w:pPr>
    </w:p>
    <w:p>
      <w:pPr>
        <w:pStyle w:val="BodyText"/>
        <w:spacing w:line="274" w:lineRule="exact" w:before="36"/>
        <w:ind w:left="398" w:right="3691"/>
        <w:jc w:val="left"/>
      </w:pPr>
      <w:r>
        <w:rPr/>
        <w:t>前十名有限售条件股东持股数量及限售条件</w:t>
      </w:r>
    </w:p>
    <w:p>
      <w:pPr>
        <w:pStyle w:val="BodyText"/>
        <w:spacing w:line="290" w:lineRule="exact"/>
        <w:ind w:left="398" w:right="65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964" w:val="left" w:leader="none"/>
        </w:tabs>
        <w:spacing w:line="240" w:lineRule="auto" w:before="40"/>
        <w:ind w:left="398" w:right="3691"/>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0"/>
        <w:ind w:left="398" w:right="65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400" w:right="920"/>
        </w:sectPr>
      </w:pPr>
    </w:p>
    <w:p>
      <w:pPr>
        <w:spacing w:line="240" w:lineRule="auto" w:before="4"/>
        <w:rPr>
          <w:rFonts w:ascii="宋体" w:hAnsi="宋体" w:cs="宋体" w:eastAsia="宋体" w:hint="default"/>
          <w:sz w:val="25"/>
          <w:szCs w:val="25"/>
        </w:rPr>
      </w:pPr>
    </w:p>
    <w:p>
      <w:pPr>
        <w:pStyle w:val="Heading3"/>
        <w:spacing w:line="240" w:lineRule="auto"/>
        <w:ind w:left="218" w:right="2465"/>
        <w:jc w:val="left"/>
        <w:rPr>
          <w:b w:val="0"/>
          <w:bCs w:val="0"/>
        </w:rPr>
      </w:pPr>
      <w:r>
        <w:rPr/>
        <w:t>四、</w:t>
      </w:r>
      <w:r>
        <w:rPr>
          <w:spacing w:val="-79"/>
        </w:rPr>
        <w:t> </w:t>
      </w:r>
      <w:r>
        <w:rPr/>
        <w:t>控股股东及实际控制人情况</w:t>
      </w:r>
      <w:r>
        <w:rPr>
          <w:b w:val="0"/>
          <w:bCs w:val="0"/>
        </w:rPr>
      </w:r>
    </w:p>
    <w:p>
      <w:pPr>
        <w:pStyle w:val="Heading3"/>
        <w:tabs>
          <w:tab w:pos="637" w:val="left" w:leader="none"/>
        </w:tabs>
        <w:spacing w:line="264" w:lineRule="auto" w:before="58"/>
        <w:ind w:left="218"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1992-12-15</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实业项目投资，楼寓物业管理，房地产开发</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tabs>
          <w:tab w:pos="637" w:val="left" w:leader="none"/>
        </w:tabs>
        <w:spacing w:line="240" w:lineRule="auto"/>
        <w:ind w:left="218"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637" w:val="left" w:leader="none"/>
        </w:tabs>
        <w:spacing w:line="240" w:lineRule="auto" w:before="40"/>
        <w:ind w:left="218"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3"/>
        <w:tabs>
          <w:tab w:pos="637" w:val="left" w:leader="none"/>
        </w:tabs>
        <w:spacing w:line="240" w:lineRule="auto" w:before="0"/>
        <w:ind w:left="218"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3"/>
        <w:tabs>
          <w:tab w:pos="637" w:val="left" w:leader="none"/>
        </w:tabs>
        <w:spacing w:line="240" w:lineRule="auto" w:before="43"/>
        <w:ind w:left="218"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964"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336"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511368" cy="2118931"/>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8" cstate="print"/>
                    <a:stretch>
                      <a:fillRect/>
                    </a:stretch>
                  </pic:blipFill>
                  <pic:spPr>
                    <a:xfrm>
                      <a:off x="0" y="0"/>
                      <a:ext cx="2511368" cy="2118931"/>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6"/>
        <w:rPr>
          <w:rFonts w:ascii="宋体" w:hAnsi="宋体" w:cs="宋体" w:eastAsia="宋体" w:hint="default"/>
          <w:sz w:val="22"/>
          <w:szCs w:val="22"/>
        </w:rPr>
      </w:pPr>
    </w:p>
    <w:p>
      <w:pPr>
        <w:pStyle w:val="Heading3"/>
        <w:tabs>
          <w:tab w:pos="642" w:val="left" w:leader="none"/>
        </w:tabs>
        <w:spacing w:line="264" w:lineRule="auto" w:before="0"/>
        <w:ind w:left="218"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73" w:lineRule="auto" w:before="37"/>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9"/>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642" w:val="left" w:leader="none"/>
        </w:tabs>
        <w:spacing w:line="240" w:lineRule="auto" w:before="40"/>
        <w:ind w:left="218"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64" w:val="left" w:leader="none"/>
        </w:tabs>
        <w:spacing w:line="281" w:lineRule="exact"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35" w:lineRule="auto"/>
        <w:ind w:left="218" w:right="228"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spacing w:val="-6"/>
        </w:rPr>
        <w:t>日，公司原实际控制人徐文卫、潘信强、陈建国、陈贤华、翁海勇、鲍林春、</w:t>
      </w:r>
      <w:r>
        <w:rPr>
          <w:w w:val="100"/>
        </w:rPr>
        <w:t> </w:t>
      </w:r>
      <w:r>
        <w:rPr>
          <w:spacing w:val="-6"/>
          <w:w w:val="100"/>
        </w:rPr>
        <w:t>乌家瑜签署《解除一致行动协议书》，解除原实际控制人签署的一致行动《协议书》，目前公司控</w:t>
      </w:r>
      <w:r>
        <w:rPr>
          <w:spacing w:val="-102"/>
          <w:w w:val="100"/>
        </w:rPr>
        <w:t> </w:t>
      </w:r>
      <w:r>
        <w:rPr>
          <w:spacing w:val="-102"/>
          <w:w w:val="100"/>
        </w:rPr>
      </w:r>
      <w:r>
        <w:rPr>
          <w:spacing w:val="-1"/>
        </w:rPr>
        <w:t>股股东广天日月内部各股东持股比例比较分散，单个股东均无法单独对宁波建工形成控制，故本</w:t>
      </w:r>
      <w:r>
        <w:rPr>
          <w:spacing w:val="-55"/>
        </w:rPr>
        <w:t> </w:t>
      </w:r>
      <w:r>
        <w:rPr>
          <w:spacing w:val="-55"/>
        </w:rPr>
      </w:r>
      <w:r>
        <w:rPr/>
        <w:t>公司目前不存在实际控制人。</w:t>
      </w:r>
    </w:p>
    <w:p>
      <w:pPr>
        <w:spacing w:after="0" w:line="235"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3"/>
        <w:tabs>
          <w:tab w:pos="562" w:val="left" w:leader="none"/>
        </w:tabs>
        <w:spacing w:line="240" w:lineRule="auto"/>
        <w:ind w:left="138"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89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3"/>
        <w:tabs>
          <w:tab w:pos="562" w:val="left" w:leader="none"/>
        </w:tabs>
        <w:spacing w:line="240" w:lineRule="auto" w:before="0"/>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32"/>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3"/>
        <w:spacing w:line="240" w:lineRule="auto" w:before="0"/>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0" w:footer="1195" w:top="1120" w:bottom="1380" w:left="1300" w:right="1200"/>
          <w:pgNumType w:start="55"/>
        </w:sectPr>
      </w:pPr>
    </w:p>
    <w:p>
      <w:pPr>
        <w:pStyle w:val="Heading3"/>
        <w:spacing w:line="240" w:lineRule="auto"/>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699"/>
        <w:gridCol w:w="710"/>
        <w:gridCol w:w="553"/>
        <w:gridCol w:w="1265"/>
        <w:gridCol w:w="1222"/>
        <w:gridCol w:w="1160"/>
        <w:gridCol w:w="1162"/>
        <w:gridCol w:w="1352"/>
        <w:gridCol w:w="1171"/>
        <w:gridCol w:w="1406"/>
        <w:gridCol w:w="1438"/>
      </w:tblGrid>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6" w:right="16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96"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4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2" w:right="14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14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156"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4" w:right="183"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2009/12/16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53.776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2013/6/26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6,128,868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6,128,868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99.99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5,071,642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5,802,522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730,880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122.336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5,660,000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5,970,000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59.0387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92.036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2,340,500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90,500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2013/5/7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3,076,690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3,076,690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90.43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2012/4/11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2012/4/11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2015/5/12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2015/5/12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2012/4/11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53.425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2015/5/12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46.035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24.767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55.334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60"/>
        <w:gridCol w:w="1699"/>
        <w:gridCol w:w="710"/>
        <w:gridCol w:w="553"/>
        <w:gridCol w:w="1265"/>
        <w:gridCol w:w="1222"/>
        <w:gridCol w:w="1160"/>
        <w:gridCol w:w="1162"/>
        <w:gridCol w:w="1352"/>
        <w:gridCol w:w="1171"/>
        <w:gridCol w:w="1406"/>
        <w:gridCol w:w="1438"/>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李长春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7"/>
              <w:jc w:val="right"/>
              <w:rPr>
                <w:rFonts w:ascii="Times New Roman" w:hAnsi="Times New Roman" w:cs="Times New Roman" w:eastAsia="Times New Roman" w:hint="default"/>
                <w:sz w:val="21"/>
                <w:szCs w:val="21"/>
              </w:rPr>
            </w:pPr>
            <w:r>
              <w:rPr>
                <w:rFonts w:ascii="Times New Roman"/>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center"/>
              <w:rPr>
                <w:rFonts w:ascii="Times New Roman" w:hAnsi="Times New Roman" w:cs="Times New Roman" w:eastAsia="Times New Roman" w:hint="default"/>
                <w:sz w:val="21"/>
                <w:szCs w:val="21"/>
              </w:rPr>
            </w:pPr>
            <w:r>
              <w:rPr>
                <w:rFonts w:ascii="Times New Roman"/>
                <w:sz w:val="21"/>
              </w:rPr>
              <w:t>2008/12/18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center"/>
              <w:rPr>
                <w:rFonts w:ascii="Times New Roman" w:hAnsi="Times New Roman" w:cs="Times New Roman" w:eastAsia="Times New Roman" w:hint="default"/>
                <w:sz w:val="21"/>
                <w:szCs w:val="21"/>
              </w:rPr>
            </w:pPr>
            <w:r>
              <w:rPr>
                <w:rFonts w:ascii="Times New Roman"/>
                <w:sz w:val="21"/>
              </w:rPr>
              <w:t>2,400,000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55.334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9"/>
              <w:jc w:val="right"/>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41,077,200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42,108,580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1,031,380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879.5017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1"/>
              <w:jc w:val="right"/>
              <w:rPr>
                <w:rFonts w:ascii="宋体" w:hAnsi="宋体" w:cs="宋体" w:eastAsia="宋体" w:hint="default"/>
                <w:sz w:val="21"/>
                <w:szCs w:val="21"/>
              </w:rPr>
            </w:pPr>
            <w:r>
              <w:rPr>
                <w:rFonts w:ascii="宋体" w:hAnsi="宋体" w:cs="宋体" w:eastAsia="宋体" w:hint="default"/>
                <w:sz w:val="21"/>
                <w:szCs w:val="21"/>
              </w:rPr>
              <w:t>姓名</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3"/>
              <w:jc w:val="right"/>
              <w:rPr>
                <w:rFonts w:ascii="宋体" w:hAnsi="宋体" w:cs="宋体" w:eastAsia="宋体" w:hint="default"/>
                <w:sz w:val="21"/>
                <w:szCs w:val="21"/>
              </w:rPr>
            </w:pPr>
            <w:r>
              <w:rPr>
                <w:rFonts w:ascii="宋体" w:hAnsi="宋体" w:cs="宋体" w:eastAsia="宋体" w:hint="default"/>
                <w:sz w:val="21"/>
                <w:szCs w:val="21"/>
              </w:rPr>
              <w:t>徐文卫</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大学学历，教授级高级工程师。浙江广天日月集团股份有限公司董事长，宁波建工股份有限公司董事长、总经理，宁波市明州建筑设计院有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限公司董事长，宁波市民营企业贷款担保有限公司董事长。</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孟文华</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大学学历，高级经济师。浙江广天日月集团股份有限公司副董事长，宁波建工股份有限公司副董事长，公司控股子公司宁波市政工程建设集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团股份有限公司董事长。曾任宁波市政工程建设集团股份有限公司副经理、经理。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潘信强</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大学学历，高级工程师。浙江广天日月集团股份有限公司副董事长，宁波建工股份有限公司副董事长，公司控股子公司宁波建工建乐工程有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限公司董事长。曾任宁波建乐建筑装潢有限公司董事长、董事、总经理。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翁海勇</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硕士研究生学历，高级工程师。浙江广天日月集团股份有限公司董事，宁波建工股份有限公司副董事长，公司控股子公司浙江广天构件股份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有限公司董事长。曾任宁波建工工程集团有限公司执行董事兼总经理、宁波建工股份有限公司总经理助理、副总经理、总经理。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陈建国</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大学学历，高级工程师，浙江广天日月集团股份有限公司董事、宁波建工股份有限公司董事、宁波建工工程集团有限公司设备安装分公司经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理，浙江广天构件股份有限公司董事。曾任宁波建工股份有限公司设备安装分公司副经理、经理。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陈贤华</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大学学历，高级工程师，浙江广天日月集团股份有限公司董事，宁波建工股份有限公司董事，宁波冶金勘察设计研究股份有限公司董事长，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浙江广天构件股份有限公司董事。</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王善波</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大学学历，教授级高级工程师。宁波建工股份有限公司董事，宁波市政工程建设集团股份有限公司副董事长、总经理。曾任宁波市政工程建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设集团股份有限公司副经理。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吴毅雄</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大学学历，教授、博导，宁波建工股份有限公司独立董事，中国焊接学会副理事长，上海焊接学会理事长。曾任上海交通大学焊接工程研究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所所长，上海交通大学材料科学与工程学院院长。</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3"/>
              <w:jc w:val="right"/>
              <w:rPr>
                <w:rFonts w:ascii="宋体" w:hAnsi="宋体" w:cs="宋体" w:eastAsia="宋体" w:hint="default"/>
                <w:sz w:val="21"/>
                <w:szCs w:val="21"/>
              </w:rPr>
            </w:pPr>
            <w:r>
              <w:rPr>
                <w:rFonts w:ascii="宋体" w:hAnsi="宋体" w:cs="宋体" w:eastAsia="宋体" w:hint="default"/>
                <w:sz w:val="21"/>
                <w:szCs w:val="21"/>
              </w:rPr>
              <w:t>童全康</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z w:val="21"/>
                <w:szCs w:val="21"/>
              </w:rPr>
              <w:t>大学学历，高级律师，宁波建工股份有限公司独立董事。现任浙江和义观达律师事务所主任、宁波市政协委员；宁波人大内司工委委员；中</w:t>
            </w:r>
          </w:p>
          <w:p>
            <w:pPr>
              <w:pStyle w:val="TableParagraph"/>
              <w:spacing w:line="240" w:lineRule="auto"/>
              <w:ind w:left="103" w:right="-6"/>
              <w:jc w:val="left"/>
              <w:rPr>
                <w:rFonts w:ascii="宋体" w:hAnsi="宋体" w:cs="宋体" w:eastAsia="宋体" w:hint="default"/>
                <w:sz w:val="21"/>
                <w:szCs w:val="21"/>
              </w:rPr>
            </w:pPr>
            <w:r>
              <w:rPr>
                <w:rFonts w:ascii="宋体" w:hAnsi="宋体" w:cs="宋体" w:eastAsia="宋体" w:hint="default"/>
                <w:spacing w:val="-2"/>
                <w:sz w:val="21"/>
                <w:szCs w:val="21"/>
              </w:rPr>
              <w:t>共宁波市委法律顾问、宁波市律师协会顾问；中国国际贸易仲裁委员会仲裁员、上海国际经济贸易仲裁院仲裁员、宁波仲裁委委员会仲裁员；</w:t>
            </w:r>
            <w:r>
              <w:rPr>
                <w:rFonts w:ascii="宋体" w:hAnsi="宋体" w:cs="宋体" w:eastAsia="宋体" w:hint="default"/>
                <w:sz w:val="21"/>
                <w:szCs w:val="21"/>
              </w:rPr>
              <w:t> </w:t>
            </w:r>
            <w:r>
              <w:rPr>
                <w:rFonts w:ascii="宋体" w:hAnsi="宋体" w:cs="宋体" w:eastAsia="宋体" w:hint="default"/>
                <w:sz w:val="21"/>
                <w:szCs w:val="21"/>
              </w:rPr>
              <w:t>宁波大学特聘教授。</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艾永祥</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大学学历，教授级高级工程师，享受国务院政府特殊津贴。宁波建工股份有限公司独立董事。曾任北京市第二建筑构件厂技术科科长、北京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建工集团有限责任公司质量处副处长、处长、副总工程师、总工程师。</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沈成德</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硕士研究生学历，高级会计师。香溢融通控股集团股份有限公司副总经理、总会计师。宁波建工股份有限公司独立董事。曾任宁波市轻工业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局处长，宁波国际信托投资公司处长。</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z w:val="21"/>
                <w:szCs w:val="21"/>
              </w:rPr>
              <w:t>卢祥康</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大学学历，高级经济师。浙江广天日月集团股份有限公司总裁，宁波建工股份有限公司监事会主席。曾任浙江广天日月集团股份有限公司监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事会主席、浙江广天构件股份有限公司董事长、总经理。</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大学学历，高级工程师，宁波建工股份有限公司监事，宁波建工工程集团有限公司第五分公司经理，宁波大学建筑工程与环境学院研究生兼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职导师。曾任宁波建工股份有限公司第一分公司项目经理。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大学学历，教授级高级工程师。宁波建工股份有限公司监事，宁波冶金勘察设计研究股份有限公司总经理。曾任宁波冶金勘察设计研究股份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有限公司董事长、冶金工业部宁波勘察研究院院长。</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硕士研究生学历，高级工程师，现任宁波建工股份有限公司职工监事、宁波建工工程集团有限公司第一分公司经理。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仇通亮</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大学学历，助理工程师，管道技师职称，宁波建工股份有限公司职工监事，宁波建工工程集团有限公司设备安装分公司项目二部副经理。曾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任宁波建工股份有限公司设备安装分公司安装班班长。</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大学学历，高级经济师，浙江广天日月集团股份有限公司董事，宁波建工股份有限公司副总经理，宁波建工工程集团有限公司执行董事兼总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经理。曾任宁波建工股份有限公司董事。</w:t>
            </w:r>
          </w:p>
        </w:tc>
      </w:tr>
      <w:tr>
        <w:trPr>
          <w:trHeight w:val="82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硕士研究生学历，高级经济师，注册会计师，宁波建工股份有限公司董事会秘书、财务总监，宁波市政工程建设集团股份有限公司董事，宁</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波建工建乐工程有限公司董事、宁波冶金勘察设计研究股份有限公司董事，宁波上市公司协会秘书长。曾任浙江广天日月集团股份有限公司</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总裁助理，宁波建工股份有限公司副总经理。</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224" w:right="7897"/>
        <w:jc w:val="left"/>
      </w:pPr>
      <w:r>
        <w:rPr/>
        <w:t>其它情况说明</w:t>
      </w:r>
    </w:p>
    <w:p>
      <w:pPr>
        <w:pStyle w:val="BodyText"/>
        <w:spacing w:line="290" w:lineRule="exact"/>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83" w:lineRule="auto" w:before="29"/>
        <w:ind w:left="224" w:right="7897"/>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6" w:lineRule="exact"/>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宁波同创投资有限公司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宁波建工工程集团有限公司设备安装分公司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浙江和义观达律师事务所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宁波富达股份有限公司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宁波球冠电缆股份有限公司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深圳市瑞凌实业股份有限公司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香溢融通控股集团股份有限公司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副总经理、总会计师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宁波广天物流有限公司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宁波建工广天构件有限公司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上饶广天建筑构件有限公司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浙江广天盛源实业有限公司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卢祥康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张子江</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郁武铮</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宁波建工工程集团有限公司第五分公司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宁波建工工程集团有限公司第一分公司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温州宁建金科投资管理有限公司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张翔</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宁波市政工程建设集团股份有限公司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宁波冶金勘察设计研究股份有限公司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宁波建乐建筑装潢有限公司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宁波建工建乐工程有限公司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上海雍胜投资管理有限公司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宁建国际（香港）有限公司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上海安旌投资管理有限公司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安兰证券有限公司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上海安璇财务咨询有限公司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宁波上市公司协会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李长春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宁波博汇化工科技股份有限公司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浙江广天构件股份有限公司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陈宝康</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宁波建工工程集团有限公司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564"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3"/>
        <w:spacing w:line="240" w:lineRule="auto" w:before="0"/>
        <w:ind w:left="224" w:right="7897"/>
        <w:jc w:val="left"/>
        <w:rPr>
          <w:b w:val="0"/>
          <w:bCs w:val="0"/>
        </w:rPr>
      </w:pPr>
      <w:r>
        <w:rPr/>
        <w:t>三、董事、监事、高级管理人员报酬情况</w:t>
      </w:r>
      <w:r>
        <w:rPr>
          <w:b w:val="0"/>
          <w:bCs w:val="0"/>
        </w:rPr>
      </w:r>
    </w:p>
    <w:p>
      <w:pPr>
        <w:pStyle w:val="BodyText"/>
        <w:spacing w:line="240" w:lineRule="auto" w:before="58"/>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109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 </w:t>
            </w:r>
            <w:r>
              <w:rPr>
                <w:rFonts w:ascii="Times New Roman" w:hAnsi="Times New Roman" w:cs="Times New Roman" w:eastAsia="Times New Roman" w:hint="default"/>
                <w:spacing w:val="-3"/>
                <w:sz w:val="21"/>
                <w:szCs w:val="21"/>
              </w:rPr>
              <w:t>2011 </w:t>
            </w:r>
            <w:r>
              <w:rPr>
                <w:rFonts w:ascii="宋体" w:hAnsi="宋体" w:cs="宋体" w:eastAsia="宋体" w:hint="default"/>
                <w:spacing w:val="-3"/>
                <w:sz w:val="21"/>
                <w:szCs w:val="21"/>
              </w:rPr>
              <w:t>年度股东大会审议，公司独立董事津贴标准为税前每人每年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万元人民币。公司内部董事及</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监事、高级管理人员薪酬由董事会薪酬与考核委员会提出薪酬方案，经董事会、股东大会审议通过后实</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施。担任其他兼职职务的董事、监事、高管人员的薪酬由公司人力资源部门按照薪酬考核制度确定执行。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公司董事长的薪酬由控股股东按其考核制度确定执行。</w:t>
            </w:r>
          </w:p>
        </w:tc>
      </w:tr>
      <w:tr>
        <w:trPr>
          <w:trHeight w:val="82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公司董事、监事、高级管理人员报酬根据公司股东大会、董事会决议以及公司有关人力资源薪酬考核制</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度并结合个人岗位、所承担的工作量、责任和风险，确定相应薪酬发放。公司董事长徐文卫按照控股股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东单位的考核制度确定并领取薪酬。</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现任及报告期内离任董事、监事和高级管理人员持股变动及报酬情况</w:t>
            </w:r>
            <w:r>
              <w:rPr>
                <w:rFonts w:ascii="Times New Roman" w:hAnsi="Times New Roman" w:cs="Times New Roman" w:eastAsia="Times New Roman" w:hint="default"/>
                <w:sz w:val="21"/>
                <w:szCs w:val="21"/>
              </w:rPr>
              <w:t>”</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详见本节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现任及报告期内离任董事、监事和高级管理人员持股变动及报酬情况</w:t>
            </w:r>
            <w:r>
              <w:rPr>
                <w:rFonts w:ascii="Times New Roman" w:hAnsi="Times New Roman" w:cs="Times New Roman" w:eastAsia="Times New Roman" w:hint="default"/>
                <w:sz w:val="21"/>
                <w:szCs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3"/>
        <w:spacing w:line="240" w:lineRule="auto"/>
        <w:ind w:left="224" w:right="7897"/>
        <w:jc w:val="left"/>
        <w:rPr>
          <w:b w:val="0"/>
          <w:bCs w:val="0"/>
        </w:rPr>
      </w:pPr>
      <w:r>
        <w:rPr/>
        <w:t>四、公司董事、监事、高级管理人员变动情况</w:t>
      </w:r>
      <w:r>
        <w:rPr>
          <w:b w:val="0"/>
          <w:bCs w:val="0"/>
        </w:rPr>
      </w:r>
    </w:p>
    <w:p>
      <w:pPr>
        <w:spacing w:line="273" w:lineRule="auto" w:before="56"/>
        <w:ind w:left="224" w:right="87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40" w:lineRule="auto" w:before="29"/>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footerReference w:type="default" r:id="rId31"/>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left="218" w:right="2465"/>
        <w:jc w:val="left"/>
        <w:rPr>
          <w:b w:val="0"/>
          <w:bCs w:val="0"/>
        </w:rPr>
      </w:pPr>
      <w:r>
        <w:rPr/>
        <w:t>六、母公司和主要子公司的员工情况</w:t>
      </w:r>
      <w:r>
        <w:rPr>
          <w:b w:val="0"/>
          <w:bCs w:val="0"/>
        </w:rPr>
      </w:r>
    </w:p>
    <w:p>
      <w:pPr>
        <w:pStyle w:val="Heading3"/>
        <w:spacing w:line="240" w:lineRule="auto" w:before="58"/>
        <w:ind w:left="218"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3,829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3,863</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713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163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3,863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研究生及以上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1,586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1,024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中专高中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561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初中及以下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617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3,863</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3"/>
        <w:spacing w:line="240" w:lineRule="auto"/>
        <w:ind w:left="2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74" w:lineRule="exact" w:before="55"/>
        <w:ind w:left="638" w:right="2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公司坚持按劳分配、多劳多得，效率优先、兼顾公平的收入分配原则。公司的工资水平将随</w:t>
      </w:r>
    </w:p>
    <w:p>
      <w:pPr>
        <w:pStyle w:val="BodyText"/>
        <w:spacing w:line="245" w:lineRule="exact"/>
        <w:ind w:left="218" w:right="0"/>
        <w:jc w:val="both"/>
      </w:pPr>
      <w:r>
        <w:rPr/>
        <w:t>经济效益和发展状况而调整。薪酬制度围绕以人为本的理念，坚持激励因素与保健因素兼顾的原</w:t>
      </w:r>
    </w:p>
    <w:p>
      <w:pPr>
        <w:pStyle w:val="BodyText"/>
        <w:spacing w:line="237" w:lineRule="auto" w:before="2"/>
        <w:ind w:left="218" w:right="228"/>
        <w:jc w:val="both"/>
      </w:pPr>
      <w:r>
        <w:rPr>
          <w:spacing w:val="-6"/>
          <w:w w:val="100"/>
        </w:rPr>
        <w:t>则，合理制定薪酬水平，使员工与公司能够利益共享。公司严格按照《公司法》、《劳动法》及相</w:t>
      </w:r>
      <w:r>
        <w:rPr>
          <w:spacing w:val="-102"/>
          <w:w w:val="100"/>
        </w:rPr>
        <w:t> </w:t>
      </w:r>
      <w:r>
        <w:rPr>
          <w:spacing w:val="-102"/>
          <w:w w:val="100"/>
        </w:rPr>
      </w:r>
      <w:r>
        <w:rPr>
          <w:spacing w:val="-1"/>
        </w:rPr>
        <w:t>关行业管理办法制定实施人力资源及绩效考核管理办法，努力为员工提供具有市场竞争力的薪酬</w:t>
      </w:r>
      <w:r>
        <w:rPr>
          <w:spacing w:val="-55"/>
        </w:rPr>
        <w:t> </w:t>
      </w:r>
      <w:r>
        <w:rPr>
          <w:spacing w:val="-55"/>
        </w:rPr>
      </w:r>
      <w:r>
        <w:rPr/>
        <w:t>福利待遇，并建立动态调整机制，调动员工的积极性和责任心。</w:t>
      </w:r>
    </w:p>
    <w:p>
      <w:pPr>
        <w:pStyle w:val="BodyText"/>
        <w:spacing w:line="287" w:lineRule="exact"/>
        <w:ind w:left="638" w:right="227"/>
        <w:jc w:val="left"/>
      </w:pPr>
      <w:r>
        <w:rPr/>
        <w:t>公司薪酬构成体系为：员工总收入</w:t>
      </w:r>
      <w:r>
        <w:rPr>
          <w:rFonts w:ascii="Times New Roman" w:hAnsi="Times New Roman" w:cs="Times New Roman" w:eastAsia="Times New Roman" w:hint="default"/>
        </w:rPr>
        <w:t>=</w:t>
      </w:r>
      <w:r>
        <w:rPr/>
        <w:t>基本工资</w:t>
      </w:r>
      <w:r>
        <w:rPr>
          <w:rFonts w:ascii="Times New Roman" w:hAnsi="Times New Roman" w:cs="Times New Roman" w:eastAsia="Times New Roman" w:hint="default"/>
        </w:rPr>
        <w:t>+</w:t>
      </w:r>
      <w:r>
        <w:rPr/>
        <w:t>绩效工资</w:t>
      </w:r>
      <w:r>
        <w:rPr>
          <w:rFonts w:ascii="Times New Roman" w:hAnsi="Times New Roman" w:cs="Times New Roman" w:eastAsia="Times New Roman" w:hint="default"/>
        </w:rPr>
        <w:t>+</w:t>
      </w:r>
      <w:r>
        <w:rPr/>
        <w:t>特殊奖励。</w:t>
      </w:r>
    </w:p>
    <w:p>
      <w:pPr>
        <w:spacing w:line="240" w:lineRule="auto" w:before="9"/>
        <w:rPr>
          <w:rFonts w:ascii="宋体" w:hAnsi="宋体" w:cs="宋体" w:eastAsia="宋体" w:hint="default"/>
          <w:sz w:val="21"/>
          <w:szCs w:val="21"/>
        </w:rPr>
      </w:pPr>
    </w:p>
    <w:p>
      <w:pPr>
        <w:pStyle w:val="Heading3"/>
        <w:spacing w:line="240" w:lineRule="auto" w:before="0"/>
        <w:ind w:left="2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72" w:lineRule="exact" w:before="59"/>
        <w:ind w:left="638" w:right="2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公司培训工作由人力资源管理部门统一管理，公司制定的各项培训，均以提高公司中高层及</w:t>
      </w:r>
    </w:p>
    <w:p>
      <w:pPr>
        <w:pStyle w:val="BodyText"/>
        <w:spacing w:line="272" w:lineRule="exact" w:before="1"/>
        <w:ind w:left="218" w:right="227"/>
        <w:jc w:val="both"/>
      </w:pPr>
      <w:r>
        <w:rPr>
          <w:spacing w:val="-1"/>
        </w:rPr>
        <w:t>普通职工自身业务素质为目的。公司各部门及各分子公司在年初将培训计划表报至各级人力资源</w:t>
      </w:r>
      <w:r>
        <w:rPr>
          <w:spacing w:val="-56"/>
        </w:rPr>
        <w:t> </w:t>
      </w:r>
      <w:r>
        <w:rPr>
          <w:spacing w:val="-56"/>
        </w:rPr>
      </w:r>
      <w:r>
        <w:rPr>
          <w:spacing w:val="-1"/>
        </w:rPr>
        <w:t>部，人力资源部根据各单位、各部门的需求及结合公司实际制定年度培训计划；公司各部门及各</w:t>
      </w:r>
    </w:p>
    <w:p>
      <w:pPr>
        <w:pStyle w:val="BodyText"/>
        <w:spacing w:line="272" w:lineRule="exact" w:before="1"/>
        <w:ind w:left="218" w:right="228"/>
        <w:jc w:val="both"/>
      </w:pPr>
      <w:r>
        <w:rPr>
          <w:spacing w:val="-1"/>
        </w:rPr>
        <w:t>分子公司也可根据本部门或本单位的生产经营情况，自行安排组织职工培训，并将培训情况上报</w:t>
      </w:r>
      <w:r>
        <w:rPr>
          <w:spacing w:val="-55"/>
        </w:rPr>
        <w:t> </w:t>
      </w:r>
      <w:r>
        <w:rPr>
          <w:spacing w:val="-55"/>
        </w:rPr>
      </w:r>
      <w:r>
        <w:rPr/>
        <w:t>公司人力资源部备案。</w:t>
      </w:r>
    </w:p>
    <w:p>
      <w:pPr>
        <w:pStyle w:val="BodyText"/>
        <w:spacing w:line="246" w:lineRule="exact"/>
        <w:ind w:left="218" w:right="0" w:firstLine="419"/>
        <w:jc w:val="left"/>
      </w:pPr>
      <w:r>
        <w:rPr/>
        <w:t>公司培训对象主要包括青英工程、中高层管理人员培训、新员工培训、专业资格培训及分子</w:t>
      </w:r>
    </w:p>
    <w:p>
      <w:pPr>
        <w:pStyle w:val="BodyText"/>
        <w:spacing w:line="237" w:lineRule="auto" w:before="2"/>
        <w:ind w:left="218" w:right="227"/>
        <w:jc w:val="both"/>
      </w:pPr>
      <w:r>
        <w:rPr>
          <w:spacing w:val="-1"/>
        </w:rPr>
        <w:t>公司管理培训等。公司对中高层管理人员有针对性地进行管理技能培训，努力提升管理水平。对</w:t>
      </w:r>
      <w:r>
        <w:rPr>
          <w:spacing w:val="-55"/>
        </w:rPr>
        <w:t> </w:t>
      </w:r>
      <w:r>
        <w:rPr>
          <w:spacing w:val="-55"/>
        </w:rPr>
      </w:r>
      <w:r>
        <w:rPr>
          <w:spacing w:val="-1"/>
        </w:rPr>
        <w:t>技术人员进行对口的专业技能和岗位能力培训。公司以培养管理人才、技术人才和青英人才为目</w:t>
      </w:r>
      <w:r>
        <w:rPr>
          <w:spacing w:val="-55"/>
        </w:rPr>
        <w:t> </w:t>
      </w:r>
      <w:r>
        <w:rPr>
          <w:spacing w:val="-55"/>
        </w:rPr>
      </w:r>
      <w:r>
        <w:rPr>
          <w:spacing w:val="-1"/>
        </w:rPr>
        <w:t>标，提供具有差异性、针对性、多样性的培训内容，营造了良好学习型组织氛围，通过培训提高</w:t>
      </w:r>
      <w:r>
        <w:rPr>
          <w:spacing w:val="-56"/>
        </w:rPr>
        <w:t> </w:t>
      </w:r>
      <w:r>
        <w:rPr>
          <w:spacing w:val="-56"/>
        </w:rPr>
      </w:r>
      <w:r>
        <w:rPr/>
        <w:t>员工专业水平，提升员工整体素质。</w:t>
      </w:r>
    </w:p>
    <w:p>
      <w:pPr>
        <w:spacing w:after="0" w:line="237" w:lineRule="auto"/>
        <w:jc w:val="both"/>
        <w:sectPr>
          <w:headerReference w:type="default" r:id="rId32"/>
          <w:footerReference w:type="default" r:id="rId33"/>
          <w:pgSz w:w="11910" w:h="16840"/>
          <w:pgMar w:header="877" w:footer="1195" w:top="1100" w:bottom="1380" w:left="1580" w:right="1040"/>
          <w:pgNumType w:start="61"/>
        </w:sectPr>
      </w:pPr>
    </w:p>
    <w:p>
      <w:pPr>
        <w:spacing w:line="240" w:lineRule="auto" w:before="9"/>
        <w:rPr>
          <w:rFonts w:ascii="宋体" w:hAnsi="宋体" w:cs="宋体" w:eastAsia="宋体" w:hint="default"/>
          <w:sz w:val="25"/>
          <w:szCs w:val="25"/>
        </w:rPr>
      </w:pPr>
    </w:p>
    <w:p>
      <w:pPr>
        <w:pStyle w:val="Heading3"/>
        <w:spacing w:line="240" w:lineRule="auto"/>
        <w:ind w:left="218"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218"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20,858,279</w:t>
            </w:r>
            <w:r>
              <w:rPr>
                <w:rFonts w:ascii="宋体" w:hAnsi="宋体" w:cs="宋体" w:eastAsia="宋体" w:hint="default"/>
                <w:spacing w:val="-1"/>
                <w:sz w:val="21"/>
                <w:szCs w:val="21"/>
              </w:rPr>
              <w:t>（工日）</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4,431,967,308.24</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line="240" w:lineRule="auto" w:before="7"/>
        <w:rPr>
          <w:rFonts w:ascii="宋体" w:hAnsi="宋体" w:cs="宋体" w:eastAsia="宋体" w:hint="default"/>
          <w:sz w:val="17"/>
          <w:szCs w:val="17"/>
        </w:rPr>
      </w:pPr>
    </w:p>
    <w:p>
      <w:pPr>
        <w:pStyle w:val="Heading3"/>
        <w:spacing w:line="240" w:lineRule="auto"/>
        <w:ind w:left="218" w:right="2465"/>
        <w:jc w:val="left"/>
        <w:rPr>
          <w:b w:val="0"/>
          <w:bCs w:val="0"/>
        </w:rPr>
      </w:pPr>
      <w:r>
        <w:rPr/>
        <w:t>七、其他</w:t>
      </w:r>
      <w:r>
        <w:rPr>
          <w:b w:val="0"/>
          <w:bCs w:val="0"/>
        </w:rPr>
      </w:r>
    </w:p>
    <w:p>
      <w:pPr>
        <w:pStyle w:val="BodyText"/>
        <w:tabs>
          <w:tab w:pos="1060" w:val="left" w:leader="none"/>
        </w:tabs>
        <w:spacing w:line="240" w:lineRule="auto" w:before="58"/>
        <w:ind w:left="218" w:right="2465"/>
        <w:jc w:val="left"/>
      </w:pPr>
      <w:r>
        <w:rPr/>
        <w:t>□适用</w:t>
        <w:tab/>
        <w:t>√不适用</w:t>
      </w:r>
    </w:p>
    <w:p>
      <w:pPr>
        <w:spacing w:line="240" w:lineRule="auto" w:before="1"/>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218" w:right="0"/>
        <w:jc w:val="both"/>
        <w:rPr>
          <w:b w:val="0"/>
          <w:bCs w:val="0"/>
        </w:rPr>
      </w:pPr>
      <w:r>
        <w:rPr/>
        <w:t>一、公司治理相关情况说明</w:t>
      </w:r>
      <w:r>
        <w:rPr>
          <w:b w:val="0"/>
          <w:bCs w:val="0"/>
        </w:rPr>
      </w:r>
    </w:p>
    <w:p>
      <w:pPr>
        <w:pStyle w:val="BodyText"/>
        <w:tabs>
          <w:tab w:pos="964" w:val="left" w:leader="none"/>
        </w:tabs>
        <w:spacing w:line="274" w:lineRule="exact" w:before="83"/>
        <w:ind w:left="638" w:right="2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2"/>
          <w:w w:val="100"/>
        </w:rPr>
        <w:t>报告期内，公司严格按照《公司法》、《证券法》和中国证监会、上海证券交易所的有关要求，</w:t>
      </w:r>
      <w:r>
        <w:rPr>
          <w:w w:val="100"/>
        </w:rPr>
      </w:r>
    </w:p>
    <w:p>
      <w:pPr>
        <w:pStyle w:val="BodyText"/>
        <w:spacing w:line="245" w:lineRule="exact"/>
        <w:ind w:left="218" w:right="0"/>
        <w:jc w:val="both"/>
      </w:pPr>
      <w:r>
        <w:rPr/>
        <w:t>完善了公司内部控制制度，继续加强内幕信息管理，强化信息披露工作，切实维护公司及全体股</w:t>
      </w:r>
    </w:p>
    <w:p>
      <w:pPr>
        <w:pStyle w:val="BodyText"/>
        <w:spacing w:line="228" w:lineRule="auto" w:before="11"/>
        <w:ind w:left="218" w:right="227"/>
        <w:jc w:val="both"/>
      </w:pPr>
      <w:r>
        <w:rPr>
          <w:spacing w:val="-1"/>
        </w:rPr>
        <w:t>东利益，公司治理水平和运行质量不断提高。积极贯彻落实《关于上市公司建立内幕信息知情人</w:t>
      </w:r>
      <w:r>
        <w:rPr>
          <w:spacing w:val="-55"/>
        </w:rPr>
        <w:t> </w:t>
      </w:r>
      <w:r>
        <w:rPr>
          <w:spacing w:val="-55"/>
        </w:rPr>
      </w:r>
      <w:r>
        <w:rPr>
          <w:spacing w:val="-12"/>
          <w:w w:val="100"/>
        </w:rPr>
        <w:t>登记管理制度的规定》、《上市公司监管指引第</w:t>
      </w:r>
      <w:r>
        <w:rPr>
          <w:spacing w:val="-3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7"/>
          <w:w w:val="100"/>
        </w:rPr>
        <w:t> </w:t>
      </w:r>
      <w:r>
        <w:rPr>
          <w:spacing w:val="-11"/>
          <w:w w:val="100"/>
        </w:rPr>
        <w:t>号</w:t>
      </w:r>
      <w:r>
        <w:rPr>
          <w:rFonts w:ascii="宋体" w:hAnsi="宋体" w:cs="宋体" w:eastAsia="宋体" w:hint="default"/>
          <w:spacing w:val="-11"/>
          <w:w w:val="100"/>
        </w:rPr>
        <w:t>--</w:t>
      </w:r>
      <w:r>
        <w:rPr>
          <w:spacing w:val="-11"/>
          <w:w w:val="100"/>
        </w:rPr>
        <w:t>上市公司现金分红》、《上海证券交易所上市</w:t>
      </w:r>
      <w:r>
        <w:rPr>
          <w:spacing w:val="-102"/>
          <w:w w:val="100"/>
        </w:rPr>
        <w:t> </w:t>
      </w:r>
      <w:r>
        <w:rPr>
          <w:spacing w:val="-102"/>
          <w:w w:val="100"/>
        </w:rPr>
      </w:r>
      <w:r>
        <w:rPr>
          <w:spacing w:val="-3"/>
        </w:rPr>
        <w:t>公司现金分红指引》等的要求。</w:t>
      </w:r>
      <w:r>
        <w:rPr>
          <w:rFonts w:ascii="Times New Roman" w:hAnsi="Times New Roman" w:cs="Times New Roman" w:eastAsia="Times New Roman" w:hint="default"/>
          <w:spacing w:val="-3"/>
        </w:rPr>
        <w:t>2017 </w:t>
      </w:r>
      <w:r>
        <w:rPr>
          <w:spacing w:val="-3"/>
        </w:rPr>
        <w:t>年公司筹划了员工持股计划，拟发行永续债等事项，并继续</w:t>
      </w:r>
      <w:r>
        <w:rPr>
          <w:spacing w:val="-75"/>
        </w:rPr>
        <w:t> </w:t>
      </w:r>
      <w:r>
        <w:rPr>
          <w:spacing w:val="-75"/>
        </w:rPr>
      </w:r>
      <w:r>
        <w:rPr/>
        <w:t>深入推进了公司内部控制建设工作，确保公司在规范运作及风险防范体系方面得到不断加强。</w:t>
      </w:r>
    </w:p>
    <w:p>
      <w:pPr>
        <w:pStyle w:val="BodyText"/>
        <w:spacing w:line="272" w:lineRule="exact" w:before="28"/>
        <w:ind w:left="638" w:right="220"/>
        <w:jc w:val="left"/>
      </w:pPr>
      <w:r>
        <w:rPr>
          <w:rFonts w:ascii="Times New Roman" w:hAnsi="Times New Roman" w:cs="Times New Roman" w:eastAsia="Times New Roman" w:hint="default"/>
        </w:rPr>
        <w:t>1</w:t>
      </w:r>
      <w:r>
        <w:rPr/>
        <w:t>、关于股东与股东大会：</w:t>
      </w:r>
      <w:r>
        <w:rPr>
          <w:w w:val="100"/>
        </w:rPr>
        <w:t> </w:t>
      </w:r>
      <w:r>
        <w:rPr>
          <w:spacing w:val="-11"/>
          <w:w w:val="100"/>
        </w:rPr>
        <w:t>公司能够根据《公司法》、《公司章程》、《宁波建工股份有限公司股东大会议事规则》的要求</w:t>
      </w:r>
    </w:p>
    <w:p>
      <w:pPr>
        <w:pStyle w:val="BodyText"/>
        <w:spacing w:line="272" w:lineRule="exact" w:before="1"/>
        <w:ind w:left="218" w:right="228"/>
        <w:jc w:val="both"/>
      </w:pPr>
      <w:r>
        <w:rPr>
          <w:spacing w:val="-1"/>
        </w:rPr>
        <w:t>召开股东大会，并实施现场及网络投票相结合的方式，充分保障全体股东，尤其是中小股东的权</w:t>
      </w:r>
      <w:r>
        <w:rPr>
          <w:spacing w:val="-55"/>
        </w:rPr>
        <w:t> </w:t>
      </w:r>
      <w:r>
        <w:rPr>
          <w:spacing w:val="-55"/>
        </w:rPr>
      </w:r>
      <w:r>
        <w:rPr>
          <w:spacing w:val="-1"/>
        </w:rPr>
        <w:t>益。年度内召开一次年度股东大会、三次临时股东大会，各次股东大会召集、召开表决等程序符</w:t>
      </w:r>
    </w:p>
    <w:p>
      <w:pPr>
        <w:pStyle w:val="BodyText"/>
        <w:spacing w:line="272" w:lineRule="exact" w:before="1"/>
        <w:ind w:left="218" w:right="228"/>
        <w:jc w:val="both"/>
      </w:pPr>
      <w:r>
        <w:rPr>
          <w:spacing w:val="-1"/>
        </w:rPr>
        <w:t>合法律法规的规定，股东大会的会议提案、议事程序、会议决议严格按照相关规定要求执行，具</w:t>
      </w:r>
      <w:r>
        <w:rPr>
          <w:spacing w:val="-55"/>
        </w:rPr>
        <w:t> </w:t>
      </w:r>
      <w:r>
        <w:rPr>
          <w:spacing w:val="-55"/>
        </w:rPr>
      </w:r>
      <w:r>
        <w:rPr>
          <w:spacing w:val="-8"/>
          <w:w w:val="100"/>
        </w:rPr>
        <w:t>体情况请参见“股东大会情况简介”。</w:t>
      </w:r>
    </w:p>
    <w:p>
      <w:pPr>
        <w:pStyle w:val="BodyText"/>
        <w:spacing w:line="272" w:lineRule="exact" w:before="1"/>
        <w:ind w:left="638" w:right="227"/>
        <w:jc w:val="left"/>
      </w:pPr>
      <w:r>
        <w:rPr>
          <w:rFonts w:ascii="Times New Roman" w:hAnsi="Times New Roman" w:cs="Times New Roman" w:eastAsia="Times New Roman" w:hint="default"/>
        </w:rPr>
        <w:t>2</w:t>
      </w:r>
      <w:r>
        <w:rPr/>
        <w:t>、关于控股股东与上市公司的关系：</w:t>
      </w:r>
      <w:r>
        <w:rPr>
          <w:w w:val="100"/>
        </w:rPr>
        <w:t> </w:t>
      </w:r>
      <w:r>
        <w:rPr>
          <w:spacing w:val="-2"/>
        </w:rPr>
        <w:t>公司与控股股东在人员、资产、财务、组织机构和经营业务相互独立，公司控股股东严格规</w:t>
      </w:r>
    </w:p>
    <w:p>
      <w:pPr>
        <w:pStyle w:val="BodyText"/>
        <w:spacing w:line="272" w:lineRule="exact" w:before="1"/>
        <w:ind w:left="218" w:right="228"/>
        <w:jc w:val="both"/>
      </w:pPr>
      <w:r>
        <w:rPr>
          <w:spacing w:val="-1"/>
        </w:rPr>
        <w:t>范自己的行为，通过股东大会行使出资人的权利。公司与控股股东进行的关联交易公平合理。公</w:t>
      </w:r>
      <w:r>
        <w:rPr>
          <w:spacing w:val="-55"/>
        </w:rPr>
        <w:t> </w:t>
      </w:r>
      <w:r>
        <w:rPr>
          <w:spacing w:val="-55"/>
        </w:rPr>
      </w:r>
      <w:r>
        <w:rPr>
          <w:spacing w:val="-1"/>
        </w:rPr>
        <w:t>司建立了防止控股股东及其关联企业占用上市公司资金、资产的长效机制，未发生大股东占用上</w:t>
      </w:r>
    </w:p>
    <w:p>
      <w:pPr>
        <w:pStyle w:val="BodyText"/>
        <w:spacing w:line="247" w:lineRule="exact"/>
        <w:ind w:left="218" w:right="0"/>
        <w:jc w:val="both"/>
      </w:pPr>
      <w:r>
        <w:rPr/>
        <w:t>市公司资金和资产的情况。</w:t>
      </w:r>
    </w:p>
    <w:p>
      <w:pPr>
        <w:pStyle w:val="BodyText"/>
        <w:spacing w:line="272" w:lineRule="exact" w:before="26"/>
        <w:ind w:left="638" w:right="227"/>
        <w:jc w:val="left"/>
      </w:pPr>
      <w:r>
        <w:rPr>
          <w:rFonts w:ascii="Times New Roman" w:hAnsi="Times New Roman" w:cs="Times New Roman" w:eastAsia="Times New Roman" w:hint="default"/>
        </w:rPr>
        <w:t>3</w:t>
      </w:r>
      <w:r>
        <w:rPr/>
        <w:t>、关于董事和董事会：</w:t>
      </w:r>
      <w:r>
        <w:rPr>
          <w:w w:val="100"/>
        </w:rPr>
        <w:t> </w:t>
      </w:r>
      <w:r>
        <w:rPr>
          <w:spacing w:val="-7"/>
          <w:w w:val="100"/>
        </w:rPr>
        <w:t>公司董事会按照《公司法》、《公司章程》及《董事会议事规则》等制度组成和运作。公司董</w:t>
      </w:r>
    </w:p>
    <w:p>
      <w:pPr>
        <w:pStyle w:val="BodyText"/>
        <w:spacing w:line="272" w:lineRule="exact" w:before="1"/>
        <w:ind w:left="218" w:right="228"/>
        <w:jc w:val="both"/>
      </w:pPr>
      <w:r>
        <w:rPr>
          <w:spacing w:val="-1"/>
          <w:w w:val="100"/>
        </w:rPr>
        <w:t>事会由</w:t>
      </w:r>
      <w:r>
        <w:rPr>
          <w:spacing w:val="-48"/>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spacing w:val="-4"/>
          <w:w w:val="100"/>
        </w:rPr>
        <w:t>名董事组成，其中包括</w:t>
      </w:r>
      <w:r>
        <w:rPr>
          <w:spacing w:val="-4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5"/>
          <w:w w:val="100"/>
        </w:rPr>
        <w:t> </w:t>
      </w:r>
      <w:r>
        <w:rPr>
          <w:spacing w:val="-12"/>
          <w:w w:val="100"/>
        </w:rPr>
        <w:t>名独立董事。公司董事能够按照《公司章程》、《董事会议事规</w:t>
      </w:r>
      <w:r>
        <w:rPr>
          <w:spacing w:val="-103"/>
          <w:w w:val="100"/>
        </w:rPr>
        <w:t> </w:t>
      </w:r>
      <w:r>
        <w:rPr>
          <w:spacing w:val="-103"/>
          <w:w w:val="100"/>
        </w:rPr>
      </w:r>
      <w:r>
        <w:rPr>
          <w:spacing w:val="-1"/>
        </w:rPr>
        <w:t>则》等制度的规定忠实勤勉地履行义务。董事会的召集、通知、召开、授权委托及信息披露等符</w:t>
      </w:r>
    </w:p>
    <w:p>
      <w:pPr>
        <w:pStyle w:val="BodyText"/>
        <w:spacing w:line="272" w:lineRule="exact" w:before="1"/>
        <w:ind w:left="218" w:right="227"/>
        <w:jc w:val="both"/>
      </w:pPr>
      <w:r>
        <w:rPr>
          <w:spacing w:val="-1"/>
        </w:rPr>
        <w:t>合相关法律法规的规定。公司独立董事能够按照公司《独立董事工作制度》的要求履行职责，对</w:t>
      </w:r>
      <w:r>
        <w:rPr>
          <w:spacing w:val="-55"/>
        </w:rPr>
        <w:t> </w:t>
      </w:r>
      <w:r>
        <w:rPr>
          <w:spacing w:val="-55"/>
        </w:rPr>
      </w:r>
      <w:r>
        <w:rPr>
          <w:spacing w:val="-1"/>
        </w:rPr>
        <w:t>公司重大事项出具独立意见。董事会下设审计、提名、薪酬与考核和战略决策委员会在公司的经</w:t>
      </w:r>
    </w:p>
    <w:p>
      <w:pPr>
        <w:pStyle w:val="BodyText"/>
        <w:spacing w:line="272" w:lineRule="exact" w:before="2"/>
        <w:ind w:left="218" w:right="230"/>
        <w:jc w:val="both"/>
      </w:pPr>
      <w:r>
        <w:rPr>
          <w:spacing w:val="-7"/>
          <w:w w:val="100"/>
        </w:rPr>
        <w:t>营管理和战略决策中发挥了积极作用。公司</w:t>
      </w:r>
      <w:r>
        <w:rPr>
          <w:spacing w:val="-78"/>
          <w:w w:val="100"/>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26"/>
          <w:w w:val="100"/>
        </w:rPr>
        <w:t> </w:t>
      </w:r>
      <w:r>
        <w:rPr>
          <w:spacing w:val="-2"/>
          <w:w w:val="100"/>
        </w:rPr>
        <w:t>年度内共召开了</w:t>
      </w:r>
      <w:r>
        <w:rPr>
          <w:spacing w:val="-76"/>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3"/>
          <w:w w:val="100"/>
        </w:rPr>
        <w:t> </w:t>
      </w:r>
      <w:r>
        <w:rPr>
          <w:spacing w:val="-9"/>
          <w:w w:val="100"/>
        </w:rPr>
        <w:t>次董事会议，形成了相关决议，</w:t>
      </w:r>
      <w:r>
        <w:rPr>
          <w:w w:val="100"/>
        </w:rPr>
        <w:t> </w:t>
      </w:r>
      <w:r>
        <w:rPr/>
        <w:t>及时披露了相关信息。</w:t>
      </w:r>
    </w:p>
    <w:p>
      <w:pPr>
        <w:pStyle w:val="BodyText"/>
        <w:spacing w:line="272" w:lineRule="exact" w:before="1"/>
        <w:ind w:left="638" w:right="227"/>
        <w:jc w:val="left"/>
      </w:pPr>
      <w:r>
        <w:rPr>
          <w:rFonts w:ascii="Times New Roman" w:hAnsi="Times New Roman" w:cs="Times New Roman" w:eastAsia="Times New Roman" w:hint="default"/>
        </w:rPr>
        <w:t>4</w:t>
      </w:r>
      <w:r>
        <w:rPr/>
        <w:t>、关于监事和监事会：</w:t>
      </w:r>
      <w:r>
        <w:rPr>
          <w:w w:val="100"/>
        </w:rPr>
        <w:t> </w:t>
      </w:r>
      <w:r>
        <w:rPr>
          <w:spacing w:val="-7"/>
          <w:w w:val="100"/>
        </w:rPr>
        <w:t>公司监事会严格执行《公司法》、《公司章程》及《监事会议事规则》等制度的有关规定，人</w:t>
      </w:r>
    </w:p>
    <w:p>
      <w:pPr>
        <w:pStyle w:val="BodyText"/>
        <w:spacing w:line="272" w:lineRule="exact" w:before="1"/>
        <w:ind w:left="218" w:right="228"/>
        <w:jc w:val="both"/>
      </w:pPr>
      <w:r>
        <w:rPr/>
        <w:t>数和人员构成符合法律、法规的要求。公司监事会有</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名监事，其中</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名为职工代表，监事会能</w:t>
      </w:r>
      <w:r>
        <w:rPr>
          <w:w w:val="100"/>
        </w:rPr>
        <w:t> </w:t>
      </w:r>
      <w:r>
        <w:rPr>
          <w:spacing w:val="-1"/>
        </w:rPr>
        <w:t>够依据《监事会议事规则》的要求履行职责，对公司规范运作、财务、资产收购、出售、关联交</w:t>
      </w:r>
    </w:p>
    <w:p>
      <w:pPr>
        <w:pStyle w:val="BodyText"/>
        <w:spacing w:line="272" w:lineRule="exact" w:before="1"/>
        <w:ind w:left="218" w:right="228"/>
        <w:jc w:val="both"/>
      </w:pPr>
      <w:r>
        <w:rPr>
          <w:spacing w:val="-1"/>
        </w:rPr>
        <w:t>易以及公司董事、总经理和其他高级管理人员履行职责的合法、合规性进行有效监督，并发表意</w:t>
      </w:r>
      <w:r>
        <w:rPr>
          <w:spacing w:val="-55"/>
        </w:rPr>
        <w:t> </w:t>
      </w:r>
      <w:r>
        <w:rPr>
          <w:spacing w:val="-55"/>
        </w:rPr>
      </w:r>
      <w:r>
        <w:rPr/>
        <w:t>见。公司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年度内共召开了</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次监事会议，形成了相关决议，及时披露了相关信息。</w:t>
      </w:r>
    </w:p>
    <w:p>
      <w:pPr>
        <w:pStyle w:val="BodyText"/>
        <w:spacing w:line="272" w:lineRule="exact" w:before="1"/>
        <w:ind w:left="638" w:right="227"/>
        <w:jc w:val="left"/>
      </w:pPr>
      <w:r>
        <w:rPr>
          <w:rFonts w:ascii="Times New Roman" w:hAnsi="Times New Roman" w:cs="Times New Roman" w:eastAsia="Times New Roman" w:hint="default"/>
        </w:rPr>
        <w:t>5</w:t>
      </w:r>
      <w:r>
        <w:rPr/>
        <w:t>、关于信息披露：</w:t>
      </w:r>
      <w:r>
        <w:rPr>
          <w:w w:val="100"/>
        </w:rPr>
        <w:t> </w:t>
      </w:r>
      <w:r>
        <w:rPr>
          <w:spacing w:val="-7"/>
          <w:w w:val="100"/>
        </w:rPr>
        <w:t>公司证券与投资部在公司董事会秘书的领导下根据《证券法》、《上海证券交易所股票上市规</w:t>
      </w:r>
    </w:p>
    <w:p>
      <w:pPr>
        <w:pStyle w:val="BodyText"/>
        <w:spacing w:line="272" w:lineRule="exact" w:before="1"/>
        <w:ind w:left="218" w:right="227"/>
        <w:jc w:val="both"/>
      </w:pPr>
      <w:r>
        <w:rPr>
          <w:w w:val="100"/>
        </w:rPr>
        <w:t>则</w:t>
      </w:r>
      <w:r>
        <w:rPr>
          <w:spacing w:val="-106"/>
          <w:w w:val="100"/>
        </w:rPr>
        <w:t>》</w:t>
      </w:r>
      <w:r>
        <w:rPr>
          <w:spacing w:val="-120"/>
          <w:w w:val="100"/>
        </w:rPr>
        <w:t>、</w:t>
      </w:r>
      <w:r>
        <w:rPr>
          <w:w w:val="100"/>
        </w:rPr>
        <w:t>《</w:t>
      </w:r>
      <w:r>
        <w:rPr>
          <w:spacing w:val="-3"/>
          <w:w w:val="100"/>
        </w:rPr>
        <w:t>公</w:t>
      </w:r>
      <w:r>
        <w:rPr>
          <w:w w:val="100"/>
        </w:rPr>
        <w:t>司</w:t>
      </w:r>
      <w:r>
        <w:rPr>
          <w:spacing w:val="-3"/>
          <w:w w:val="100"/>
        </w:rPr>
        <w:t>章</w:t>
      </w:r>
      <w:r>
        <w:rPr>
          <w:w w:val="100"/>
        </w:rPr>
        <w:t>程</w:t>
      </w:r>
      <w:r>
        <w:rPr>
          <w:spacing w:val="-108"/>
          <w:w w:val="100"/>
        </w:rPr>
        <w:t>》</w:t>
      </w:r>
      <w:r>
        <w:rPr>
          <w:spacing w:val="-15"/>
          <w:w w:val="100"/>
        </w:rPr>
        <w:t>、</w:t>
      </w:r>
      <w:r>
        <w:rPr>
          <w:w w:val="100"/>
        </w:rPr>
        <w:t>公</w:t>
      </w:r>
      <w:r>
        <w:rPr>
          <w:spacing w:val="-15"/>
          <w:w w:val="100"/>
        </w:rPr>
        <w:t>司</w:t>
      </w:r>
      <w:r>
        <w:rPr>
          <w:spacing w:val="-3"/>
          <w:w w:val="100"/>
        </w:rPr>
        <w:t>《</w:t>
      </w:r>
      <w:r>
        <w:rPr>
          <w:w w:val="100"/>
        </w:rPr>
        <w:t>信息</w:t>
      </w:r>
      <w:r>
        <w:rPr>
          <w:spacing w:val="-3"/>
          <w:w w:val="100"/>
        </w:rPr>
        <w:t>披</w:t>
      </w:r>
      <w:r>
        <w:rPr>
          <w:w w:val="100"/>
        </w:rPr>
        <w:t>露</w:t>
      </w:r>
      <w:r>
        <w:rPr>
          <w:spacing w:val="-3"/>
          <w:w w:val="100"/>
        </w:rPr>
        <w:t>管</w:t>
      </w:r>
      <w:r>
        <w:rPr>
          <w:w w:val="100"/>
        </w:rPr>
        <w:t>理</w:t>
      </w:r>
      <w:r>
        <w:rPr>
          <w:spacing w:val="-3"/>
          <w:w w:val="100"/>
        </w:rPr>
        <w:t>办法</w:t>
      </w:r>
      <w:r>
        <w:rPr>
          <w:spacing w:val="-13"/>
          <w:w w:val="100"/>
        </w:rPr>
        <w:t>》</w:t>
      </w:r>
      <w:r>
        <w:rPr>
          <w:spacing w:val="-3"/>
          <w:w w:val="100"/>
        </w:rPr>
        <w:t>的相</w:t>
      </w:r>
      <w:r>
        <w:rPr>
          <w:w w:val="100"/>
        </w:rPr>
        <w:t>关规</w:t>
      </w:r>
      <w:r>
        <w:rPr>
          <w:spacing w:val="-3"/>
          <w:w w:val="100"/>
        </w:rPr>
        <w:t>定</w:t>
      </w:r>
      <w:r>
        <w:rPr>
          <w:w w:val="100"/>
        </w:rPr>
        <w:t>真</w:t>
      </w:r>
      <w:r>
        <w:rPr>
          <w:spacing w:val="-3"/>
          <w:w w:val="100"/>
        </w:rPr>
        <w:t>实</w:t>
      </w:r>
      <w:r>
        <w:rPr>
          <w:spacing w:val="-15"/>
          <w:w w:val="100"/>
        </w:rPr>
        <w:t>、</w:t>
      </w:r>
      <w:r>
        <w:rPr>
          <w:w w:val="100"/>
        </w:rPr>
        <w:t>准</w:t>
      </w:r>
      <w:r>
        <w:rPr>
          <w:spacing w:val="-3"/>
          <w:w w:val="100"/>
        </w:rPr>
        <w:t>确</w:t>
      </w:r>
      <w:r>
        <w:rPr>
          <w:spacing w:val="-15"/>
          <w:w w:val="100"/>
        </w:rPr>
        <w:t>、</w:t>
      </w:r>
      <w:r>
        <w:rPr>
          <w:w w:val="100"/>
        </w:rPr>
        <w:t>完</w:t>
      </w:r>
      <w:r>
        <w:rPr>
          <w:spacing w:val="-3"/>
          <w:w w:val="100"/>
        </w:rPr>
        <w:t>整</w:t>
      </w:r>
      <w:r>
        <w:rPr>
          <w:spacing w:val="-13"/>
          <w:w w:val="100"/>
        </w:rPr>
        <w:t>、</w:t>
      </w:r>
      <w:r>
        <w:rPr>
          <w:spacing w:val="-3"/>
          <w:w w:val="100"/>
        </w:rPr>
        <w:t>及</w:t>
      </w:r>
      <w:r>
        <w:rPr>
          <w:w w:val="100"/>
        </w:rPr>
        <w:t>时</w:t>
      </w:r>
      <w:r>
        <w:rPr>
          <w:spacing w:val="-3"/>
          <w:w w:val="100"/>
        </w:rPr>
        <w:t>的</w:t>
      </w:r>
      <w:r>
        <w:rPr>
          <w:w w:val="100"/>
        </w:rPr>
        <w:t>履</w:t>
      </w:r>
      <w:r>
        <w:rPr>
          <w:spacing w:val="-3"/>
          <w:w w:val="100"/>
        </w:rPr>
        <w:t>行</w:t>
      </w:r>
      <w:r>
        <w:rPr>
          <w:w w:val="100"/>
        </w:rPr>
        <w:t>信</w:t>
      </w:r>
      <w:r>
        <w:rPr>
          <w:spacing w:val="-3"/>
          <w:w w:val="100"/>
        </w:rPr>
        <w:t>息</w:t>
      </w:r>
      <w:r>
        <w:rPr>
          <w:w w:val="100"/>
        </w:rPr>
        <w:t>披</w:t>
      </w:r>
      <w:r>
        <w:rPr>
          <w:w w:val="100"/>
        </w:rPr>
        <w:t> 露义</w:t>
      </w:r>
      <w:r>
        <w:rPr>
          <w:spacing w:val="-3"/>
          <w:w w:val="100"/>
        </w:rPr>
        <w:t>务</w:t>
      </w:r>
      <w:r>
        <w:rPr>
          <w:spacing w:val="-17"/>
          <w:w w:val="100"/>
        </w:rPr>
        <w:t>、</w:t>
      </w:r>
      <w:r>
        <w:rPr>
          <w:w w:val="100"/>
        </w:rPr>
        <w:t>接</w:t>
      </w:r>
      <w:r>
        <w:rPr>
          <w:spacing w:val="-3"/>
          <w:w w:val="100"/>
        </w:rPr>
        <w:t>待</w:t>
      </w:r>
      <w:r>
        <w:rPr>
          <w:w w:val="100"/>
        </w:rPr>
        <w:t>股</w:t>
      </w:r>
      <w:r>
        <w:rPr>
          <w:spacing w:val="-3"/>
          <w:w w:val="100"/>
        </w:rPr>
        <w:t>东</w:t>
      </w:r>
      <w:r>
        <w:rPr>
          <w:w w:val="100"/>
        </w:rPr>
        <w:t>来</w:t>
      </w:r>
      <w:r>
        <w:rPr>
          <w:spacing w:val="-3"/>
          <w:w w:val="100"/>
        </w:rPr>
        <w:t>访和</w:t>
      </w:r>
      <w:r>
        <w:rPr>
          <w:w w:val="100"/>
        </w:rPr>
        <w:t>咨询</w:t>
      </w:r>
      <w:r>
        <w:rPr>
          <w:spacing w:val="-123"/>
          <w:w w:val="100"/>
        </w:rPr>
        <w:t>。</w:t>
      </w:r>
      <w:r>
        <w:rPr>
          <w:spacing w:val="-3"/>
          <w:w w:val="100"/>
        </w:rPr>
        <w:t>《</w:t>
      </w:r>
      <w:r>
        <w:rPr>
          <w:w w:val="100"/>
        </w:rPr>
        <w:t>中</w:t>
      </w:r>
      <w:r>
        <w:rPr>
          <w:spacing w:val="-3"/>
          <w:w w:val="100"/>
        </w:rPr>
        <w:t>国</w:t>
      </w:r>
      <w:r>
        <w:rPr>
          <w:w w:val="100"/>
        </w:rPr>
        <w:t>证</w:t>
      </w:r>
      <w:r>
        <w:rPr>
          <w:spacing w:val="-3"/>
          <w:w w:val="100"/>
        </w:rPr>
        <w:t>券</w:t>
      </w:r>
      <w:r>
        <w:rPr>
          <w:w w:val="100"/>
        </w:rPr>
        <w:t>报</w:t>
      </w:r>
      <w:r>
        <w:rPr>
          <w:spacing w:val="-106"/>
          <w:w w:val="100"/>
        </w:rPr>
        <w:t>》</w:t>
      </w:r>
      <w:r>
        <w:rPr>
          <w:spacing w:val="-123"/>
          <w:w w:val="100"/>
        </w:rPr>
        <w:t>、</w:t>
      </w:r>
      <w:r>
        <w:rPr>
          <w:w w:val="100"/>
        </w:rPr>
        <w:t>《</w:t>
      </w:r>
      <w:r>
        <w:rPr>
          <w:spacing w:val="-3"/>
          <w:w w:val="100"/>
        </w:rPr>
        <w:t>上</w:t>
      </w:r>
      <w:r>
        <w:rPr>
          <w:w w:val="100"/>
        </w:rPr>
        <w:t>海证</w:t>
      </w:r>
      <w:r>
        <w:rPr>
          <w:spacing w:val="-3"/>
          <w:w w:val="100"/>
        </w:rPr>
        <w:t>券</w:t>
      </w:r>
      <w:r>
        <w:rPr>
          <w:w w:val="100"/>
        </w:rPr>
        <w:t>报</w:t>
      </w:r>
      <w:r>
        <w:rPr>
          <w:spacing w:val="-106"/>
          <w:w w:val="100"/>
        </w:rPr>
        <w:t>》</w:t>
      </w:r>
      <w:r>
        <w:rPr>
          <w:spacing w:val="-123"/>
          <w:w w:val="100"/>
        </w:rPr>
        <w:t>、</w:t>
      </w:r>
      <w:r>
        <w:rPr>
          <w:spacing w:val="-3"/>
          <w:w w:val="100"/>
        </w:rPr>
        <w:t>《</w:t>
      </w:r>
      <w:r>
        <w:rPr>
          <w:w w:val="100"/>
        </w:rPr>
        <w:t>证</w:t>
      </w:r>
      <w:r>
        <w:rPr>
          <w:spacing w:val="-3"/>
          <w:w w:val="100"/>
        </w:rPr>
        <w:t>券</w:t>
      </w:r>
      <w:r>
        <w:rPr>
          <w:w w:val="100"/>
        </w:rPr>
        <w:t>时</w:t>
      </w:r>
      <w:r>
        <w:rPr>
          <w:spacing w:val="-3"/>
          <w:w w:val="100"/>
        </w:rPr>
        <w:t>报</w:t>
      </w:r>
      <w:r>
        <w:rPr>
          <w:spacing w:val="-106"/>
          <w:w w:val="100"/>
        </w:rPr>
        <w:t>》</w:t>
      </w:r>
      <w:r>
        <w:rPr>
          <w:spacing w:val="-123"/>
          <w:w w:val="100"/>
        </w:rPr>
        <w:t>、</w:t>
      </w:r>
      <w:r>
        <w:rPr>
          <w:w w:val="100"/>
        </w:rPr>
        <w:t>《</w:t>
      </w:r>
      <w:r>
        <w:rPr>
          <w:spacing w:val="-3"/>
          <w:w w:val="100"/>
        </w:rPr>
        <w:t>证</w:t>
      </w:r>
      <w:r>
        <w:rPr>
          <w:w w:val="100"/>
        </w:rPr>
        <w:t>券</w:t>
      </w:r>
      <w:r>
        <w:rPr>
          <w:spacing w:val="-3"/>
          <w:w w:val="100"/>
        </w:rPr>
        <w:t>日报</w:t>
      </w:r>
      <w:r>
        <w:rPr>
          <w:spacing w:val="-15"/>
          <w:w w:val="100"/>
        </w:rPr>
        <w:t>》</w:t>
      </w:r>
      <w:r>
        <w:rPr>
          <w:spacing w:val="-3"/>
          <w:w w:val="100"/>
        </w:rPr>
        <w:t>及</w:t>
      </w:r>
      <w:r>
        <w:rPr>
          <w:w w:val="100"/>
        </w:rPr>
        <w:t>上海</w:t>
      </w:r>
    </w:p>
    <w:p>
      <w:pPr>
        <w:pStyle w:val="BodyText"/>
        <w:spacing w:line="272" w:lineRule="exact" w:before="2"/>
        <w:ind w:left="218" w:right="228"/>
        <w:jc w:val="both"/>
      </w:pPr>
      <w:r>
        <w:rPr>
          <w:spacing w:val="-1"/>
        </w:rPr>
        <w:t>证券交易所网站是公司法定信息披露媒体。公司的重要会议决议及相关重大事项均能够按照法律</w:t>
      </w:r>
      <w:r>
        <w:rPr>
          <w:spacing w:val="-55"/>
        </w:rPr>
        <w:t> </w:t>
      </w:r>
      <w:r>
        <w:rPr>
          <w:spacing w:val="-55"/>
        </w:rPr>
      </w:r>
      <w:r>
        <w:rPr>
          <w:spacing w:val="-7"/>
          <w:w w:val="100"/>
        </w:rPr>
        <w:t>法规、《公司章程》和公司《信息披露管理办法》的规定及时、准确、完整地进行披露，保证公司</w:t>
      </w:r>
    </w:p>
    <w:p>
      <w:pPr>
        <w:spacing w:after="0" w:line="272" w:lineRule="exact"/>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74" w:lineRule="exact" w:before="36"/>
        <w:ind w:left="218" w:right="2465"/>
        <w:jc w:val="left"/>
      </w:pPr>
      <w:r>
        <w:rPr/>
        <w:t>信息披露的公开、公平、公正。</w:t>
      </w:r>
    </w:p>
    <w:p>
      <w:pPr>
        <w:pStyle w:val="BodyText"/>
        <w:spacing w:line="272" w:lineRule="exact" w:before="27"/>
        <w:ind w:left="638" w:right="227"/>
        <w:jc w:val="left"/>
      </w:pPr>
      <w:r>
        <w:rPr>
          <w:rFonts w:ascii="Times New Roman" w:hAnsi="Times New Roman" w:cs="Times New Roman" w:eastAsia="Times New Roman" w:hint="default"/>
        </w:rPr>
        <w:t>6</w:t>
      </w:r>
      <w:r>
        <w:rPr/>
        <w:t>、关于投资者关系：</w:t>
      </w:r>
      <w:r>
        <w:rPr>
          <w:w w:val="100"/>
        </w:rPr>
        <w:t> </w:t>
      </w:r>
      <w:r>
        <w:rPr>
          <w:spacing w:val="-2"/>
        </w:rPr>
        <w:t>公司按照《宁波建工股份有限公司投资者关系管理办法》开展投资者关系管理工作，并借助</w:t>
      </w:r>
    </w:p>
    <w:p>
      <w:pPr>
        <w:pStyle w:val="BodyText"/>
        <w:spacing w:line="272" w:lineRule="exact" w:before="1"/>
        <w:ind w:left="218" w:right="222"/>
        <w:jc w:val="left"/>
      </w:pPr>
      <w:r>
        <w:rPr/>
        <w:t>投资者专线、信箱、交易所</w:t>
      </w:r>
      <w:r>
        <w:rPr>
          <w:spacing w:val="-60"/>
        </w:rPr>
        <w:t> </w:t>
      </w:r>
      <w:r>
        <w:rPr>
          <w:rFonts w:ascii="Times New Roman" w:hAnsi="Times New Roman" w:cs="Times New Roman" w:eastAsia="Times New Roman" w:hint="default"/>
        </w:rPr>
        <w:t>E</w:t>
      </w:r>
      <w:r>
        <w:rPr>
          <w:rFonts w:ascii="Times New Roman" w:hAnsi="Times New Roman" w:cs="Times New Roman" w:eastAsia="Times New Roman" w:hint="default"/>
          <w:spacing w:val="-10"/>
        </w:rPr>
        <w:t> </w:t>
      </w:r>
      <w:r>
        <w:rPr/>
        <w:t>互动、投资者网上交流等多渠道、多种方式与投资者交流互动，及</w:t>
      </w:r>
      <w:r>
        <w:rPr>
          <w:w w:val="100"/>
        </w:rPr>
        <w:t> </w:t>
      </w:r>
      <w:r>
        <w:rPr>
          <w:spacing w:val="-1"/>
        </w:rPr>
        <w:t>时解答投资者疑问，认真接待投资者及调研机构的来访等方式加强其对公司的了解，力求建立良</w:t>
      </w:r>
    </w:p>
    <w:p>
      <w:pPr>
        <w:pStyle w:val="BodyText"/>
        <w:spacing w:line="247" w:lineRule="exact"/>
        <w:ind w:left="218" w:right="2465"/>
        <w:jc w:val="left"/>
      </w:pPr>
      <w:r>
        <w:rPr/>
        <w:t>好、稳定的投资者关系，提升市场对公司的认知度。</w:t>
      </w:r>
    </w:p>
    <w:p>
      <w:pPr>
        <w:pStyle w:val="BodyText"/>
        <w:spacing w:line="235" w:lineRule="auto" w:before="3"/>
        <w:ind w:left="218" w:right="224" w:firstLine="419"/>
        <w:jc w:val="left"/>
      </w:pPr>
      <w:r>
        <w:rPr>
          <w:rFonts w:ascii="Times New Roman" w:hAnsi="Times New Roman" w:cs="Times New Roman" w:eastAsia="Times New Roman" w:hint="default"/>
        </w:rPr>
        <w:t>7</w:t>
      </w:r>
      <w:r>
        <w:rPr/>
        <w:t>、关于内幕信息知情人管理：</w:t>
      </w:r>
      <w:r>
        <w:rPr>
          <w:w w:val="100"/>
        </w:rPr>
        <w:t> </w:t>
      </w:r>
      <w:r>
        <w:rPr>
          <w:spacing w:val="-1"/>
        </w:rPr>
        <w:t>公司依照中国证监会《关于上市公司建立内幕信息知情人登记管理制度的规定》的要求，制定并</w:t>
      </w:r>
      <w:r>
        <w:rPr>
          <w:spacing w:val="-55"/>
        </w:rPr>
        <w:t> </w:t>
      </w:r>
      <w:r>
        <w:rPr>
          <w:spacing w:val="-55"/>
        </w:rPr>
      </w:r>
      <w:r>
        <w:rPr>
          <w:spacing w:val="-6"/>
          <w:w w:val="100"/>
        </w:rPr>
        <w:t>披露了《宁波建工股份有限公司内幕信息知情人登记管理制度》，报告期内公司严格按照该制度的</w:t>
      </w:r>
      <w:r>
        <w:rPr>
          <w:spacing w:val="-104"/>
          <w:w w:val="100"/>
        </w:rPr>
        <w:t> </w:t>
      </w:r>
      <w:r>
        <w:rPr>
          <w:spacing w:val="-104"/>
          <w:w w:val="100"/>
        </w:rPr>
      </w:r>
      <w:r>
        <w:rPr>
          <w:spacing w:val="-1"/>
        </w:rPr>
        <w:t>规定，对涉及公司内幕信息的相关人员、事项、知悉时间和用途等做了详细的登记备案，要求相</w:t>
      </w:r>
      <w:r>
        <w:rPr>
          <w:spacing w:val="-55"/>
        </w:rPr>
        <w:t> </w:t>
      </w:r>
      <w:r>
        <w:rPr>
          <w:spacing w:val="-55"/>
        </w:rPr>
      </w:r>
      <w:r>
        <w:rPr>
          <w:spacing w:val="-1"/>
        </w:rPr>
        <w:t>关人员做出承诺并及时提醒他们履行信息保密的义务，并将相关内幕信息登记资料按要求向监管</w:t>
      </w:r>
      <w:r>
        <w:rPr>
          <w:spacing w:val="-55"/>
        </w:rPr>
        <w:t> </w:t>
      </w:r>
      <w:r>
        <w:rPr>
          <w:spacing w:val="-55"/>
        </w:rPr>
      </w:r>
      <w:r>
        <w:rPr/>
        <w:t>部门进行了报备。</w:t>
      </w:r>
    </w:p>
    <w:p>
      <w:pPr>
        <w:spacing w:line="240" w:lineRule="auto" w:before="4"/>
        <w:rPr>
          <w:rFonts w:ascii="宋体" w:hAnsi="宋体" w:cs="宋体" w:eastAsia="宋体" w:hint="default"/>
          <w:sz w:val="18"/>
          <w:szCs w:val="18"/>
        </w:rPr>
      </w:pPr>
    </w:p>
    <w:p>
      <w:pPr>
        <w:pStyle w:val="BodyText"/>
        <w:spacing w:line="273" w:lineRule="exact"/>
        <w:ind w:left="218" w:right="227"/>
        <w:jc w:val="left"/>
      </w:pPr>
      <w:r>
        <w:rPr/>
        <w:t>公司治理与中国证监会相关规定的要求是否存在重大差异；如有重大差异，应当说明原因</w:t>
      </w:r>
    </w:p>
    <w:p>
      <w:pPr>
        <w:spacing w:line="472" w:lineRule="auto" w:before="0"/>
        <w:ind w:left="218" w:right="6940" w:firstLine="0"/>
        <w:jc w:val="left"/>
        <w:rPr>
          <w:rFonts w:ascii="宋体" w:hAnsi="宋体" w:cs="宋体" w:eastAsia="宋体" w:hint="default"/>
          <w:sz w:val="21"/>
          <w:szCs w:val="21"/>
        </w:rPr>
      </w:pPr>
      <w:r>
        <w:rPr/>
        <w:pict>
          <v:shape style="position:absolute;margin-left:84.264pt;margin-top:47.063652pt;width:453.2pt;height:84.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1"/>
                    <w:gridCol w:w="1985"/>
                    <w:gridCol w:w="2098"/>
                    <w:gridCol w:w="2165"/>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74" w:lineRule="exact" w:before="36"/>
        <w:ind w:left="218" w:right="2465"/>
        <w:jc w:val="left"/>
      </w:pPr>
      <w:r>
        <w:rPr/>
        <w:t>股东大会情况说明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18" w:right="2465"/>
        <w:jc w:val="left"/>
        <w:rPr>
          <w:b w:val="0"/>
          <w:bCs w:val="0"/>
        </w:rPr>
      </w:pPr>
      <w:r>
        <w:rPr/>
        <w:t>三、董事履行职责情况</w:t>
      </w:r>
      <w:r>
        <w:rPr>
          <w:b w:val="0"/>
          <w:bCs w:val="0"/>
        </w:rPr>
      </w:r>
    </w:p>
    <w:p>
      <w:pPr>
        <w:pStyle w:val="Heading3"/>
        <w:spacing w:line="240" w:lineRule="auto" w:before="56"/>
        <w:ind w:left="218"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徐文卫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孟文华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潘信强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翁海勇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陈贤华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王善波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吴毅雄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童全康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艾永祥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沈成德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13"/>
        <w:rPr>
          <w:rFonts w:ascii="宋体" w:hAnsi="宋体" w:cs="宋体" w:eastAsia="宋体" w:hint="default"/>
          <w:b/>
          <w:bCs/>
          <w:sz w:val="12"/>
          <w:szCs w:val="12"/>
        </w:rPr>
      </w:pPr>
    </w:p>
    <w:p>
      <w:pPr>
        <w:pStyle w:val="BodyText"/>
        <w:spacing w:line="274" w:lineRule="exact" w:before="36"/>
        <w:ind w:left="218" w:right="2465"/>
        <w:jc w:val="left"/>
      </w:pPr>
      <w:r>
        <w:rPr/>
        <w:t>连续两次未亲自出席董事会会议的说明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sz w:val="17"/>
          <w:szCs w:val="17"/>
        </w:rPr>
      </w:pPr>
    </w:p>
    <w:p>
      <w:pPr>
        <w:pStyle w:val="Heading3"/>
        <w:spacing w:line="240" w:lineRule="auto"/>
        <w:ind w:left="218"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18"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32"/>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3"/>
          <w:szCs w:val="23"/>
        </w:rPr>
      </w:pPr>
    </w:p>
    <w:p>
      <w:pPr>
        <w:pStyle w:val="Heading3"/>
        <w:spacing w:line="272" w:lineRule="exact" w:before="0"/>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76" w:val="left" w:leader="none"/>
        </w:tabs>
        <w:spacing w:line="240" w:lineRule="auto" w:before="34"/>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218" w:right="2465"/>
        <w:jc w:val="left"/>
        <w:rPr>
          <w:b w:val="0"/>
          <w:bCs w:val="0"/>
        </w:rPr>
      </w:pPr>
      <w:r>
        <w:rPr/>
        <w:t>五、监事会发现公司存在风险的说明</w:t>
      </w:r>
      <w:r>
        <w:rPr>
          <w:b w:val="0"/>
          <w:bCs w:val="0"/>
        </w:rPr>
      </w:r>
    </w:p>
    <w:p>
      <w:pPr>
        <w:pStyle w:val="BodyText"/>
        <w:spacing w:line="240" w:lineRule="auto" w:before="56"/>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3"/>
        <w:spacing w:line="272" w:lineRule="exact" w:before="0"/>
        <w:ind w:left="642" w:right="22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76" w:val="left" w:leader="none"/>
        </w:tabs>
        <w:spacing w:line="240" w:lineRule="auto" w:before="31"/>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BodyText"/>
        <w:spacing w:line="273" w:lineRule="exact"/>
        <w:ind w:left="218" w:right="2465"/>
        <w:jc w:val="left"/>
      </w:pPr>
      <w:r>
        <w:rPr/>
        <w:t>存在同业竞争的，公司相应的解决措施、工作进度及后续工作计划</w:t>
      </w:r>
    </w:p>
    <w:p>
      <w:pPr>
        <w:pStyle w:val="BodyText"/>
        <w:tabs>
          <w:tab w:pos="976" w:val="left" w:leader="none"/>
        </w:tabs>
        <w:spacing w:line="289" w:lineRule="exact"/>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3"/>
        <w:spacing w:line="240" w:lineRule="auto" w:before="0"/>
        <w:ind w:left="218" w:right="227"/>
        <w:jc w:val="left"/>
        <w:rPr>
          <w:b w:val="0"/>
          <w:bCs w:val="0"/>
        </w:rPr>
      </w:pPr>
      <w:r>
        <w:rPr/>
        <w:t>七、报告期内对高级管理人员的考评机制，以及激励机制的建立、实施情况</w:t>
      </w:r>
      <w:r>
        <w:rPr>
          <w:b w:val="0"/>
          <w:bCs w:val="0"/>
        </w:rPr>
      </w:r>
    </w:p>
    <w:p>
      <w:pPr>
        <w:pStyle w:val="BodyText"/>
        <w:tabs>
          <w:tab w:pos="964" w:val="left" w:leader="none"/>
        </w:tabs>
        <w:spacing w:line="272" w:lineRule="exact" w:before="86"/>
        <w:ind w:left="638" w:right="2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公司按照《公司法》和《公司章程》等法律法规的程序公开、公平的选聘高级管理人员。报</w:t>
      </w:r>
    </w:p>
    <w:p>
      <w:pPr>
        <w:pStyle w:val="BodyText"/>
        <w:spacing w:line="272" w:lineRule="exact" w:before="1"/>
        <w:ind w:left="218" w:right="227"/>
        <w:jc w:val="left"/>
      </w:pPr>
      <w:r>
        <w:rPr>
          <w:spacing w:val="-1"/>
        </w:rPr>
        <w:t>告期内，公司依据《宁波建工股份有限公司高级管理人员薪酬考核管理制度》的规定并结合个人</w:t>
      </w:r>
      <w:r>
        <w:rPr>
          <w:spacing w:val="-56"/>
        </w:rPr>
        <w:t> </w:t>
      </w:r>
      <w:r>
        <w:rPr>
          <w:spacing w:val="-56"/>
        </w:rPr>
      </w:r>
      <w:r>
        <w:rPr>
          <w:spacing w:val="-1"/>
        </w:rPr>
        <w:t>岗位、所承担的工作量、责任和风险进行考核评价，由董事会薪酬与考核委员会提出薪酬方案，</w:t>
      </w:r>
    </w:p>
    <w:p>
      <w:pPr>
        <w:pStyle w:val="BodyText"/>
        <w:spacing w:line="272" w:lineRule="exact" w:before="1"/>
        <w:ind w:left="218" w:right="227"/>
        <w:jc w:val="left"/>
      </w:pPr>
      <w:r>
        <w:rPr>
          <w:spacing w:val="-1"/>
        </w:rPr>
        <w:t>经董事会、股东大会审议通过后实施。担任其他兼职职务的董事、监事、高管人员的薪酬由公司</w:t>
      </w:r>
      <w:r>
        <w:rPr>
          <w:spacing w:val="-55"/>
        </w:rPr>
        <w:t> </w:t>
      </w:r>
      <w:r>
        <w:rPr>
          <w:spacing w:val="-55"/>
        </w:rPr>
      </w:r>
      <w:r>
        <w:rPr/>
        <w:t>人力资源管理部门按照薪酬考核制度确定执行。</w:t>
      </w:r>
    </w:p>
    <w:p>
      <w:pPr>
        <w:spacing w:line="240" w:lineRule="auto" w:before="12"/>
        <w:rPr>
          <w:rFonts w:ascii="宋体" w:hAnsi="宋体" w:cs="宋体" w:eastAsia="宋体" w:hint="default"/>
          <w:sz w:val="20"/>
          <w:szCs w:val="20"/>
        </w:rPr>
      </w:pPr>
    </w:p>
    <w:p>
      <w:pPr>
        <w:pStyle w:val="Heading3"/>
        <w:spacing w:line="240" w:lineRule="auto" w:before="0"/>
        <w:ind w:left="218" w:right="2465"/>
        <w:jc w:val="left"/>
        <w:rPr>
          <w:b w:val="0"/>
          <w:bCs w:val="0"/>
        </w:rPr>
      </w:pPr>
      <w:r>
        <w:rPr/>
        <w:t>八、是否披露内部控制自我评价报告</w:t>
      </w:r>
      <w:r>
        <w:rPr>
          <w:b w:val="0"/>
          <w:bCs w:val="0"/>
        </w:rPr>
      </w:r>
    </w:p>
    <w:p>
      <w:pPr>
        <w:pStyle w:val="BodyText"/>
        <w:spacing w:line="281" w:lineRule="exact" w:before="59"/>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638" w:right="0"/>
        <w:jc w:val="left"/>
      </w:pPr>
      <w:r>
        <w:rPr>
          <w:w w:val="100"/>
        </w:rPr>
        <w:t>公司</w:t>
      </w:r>
      <w:r>
        <w:rPr>
          <w:spacing w:val="-3"/>
          <w:w w:val="100"/>
        </w:rPr>
        <w:t>按</w:t>
      </w:r>
      <w:r>
        <w:rPr>
          <w:w w:val="100"/>
        </w:rPr>
        <w:t>规</w:t>
      </w:r>
      <w:r>
        <w:rPr>
          <w:spacing w:val="-3"/>
          <w:w w:val="100"/>
        </w:rPr>
        <w:t>定</w:t>
      </w:r>
      <w:r>
        <w:rPr>
          <w:w w:val="100"/>
        </w:rPr>
        <w:t>在</w:t>
      </w:r>
      <w:r>
        <w:rPr>
          <w:spacing w:val="-3"/>
          <w:w w:val="100"/>
        </w:rPr>
        <w:t>上</w:t>
      </w:r>
      <w:r>
        <w:rPr>
          <w:w w:val="100"/>
        </w:rPr>
        <w:t>海</w:t>
      </w:r>
      <w:r>
        <w:rPr>
          <w:spacing w:val="-3"/>
          <w:w w:val="100"/>
        </w:rPr>
        <w:t>证</w:t>
      </w:r>
      <w:r>
        <w:rPr>
          <w:w w:val="100"/>
        </w:rPr>
        <w:t>券</w:t>
      </w:r>
      <w:r>
        <w:rPr>
          <w:spacing w:val="-3"/>
          <w:w w:val="100"/>
        </w:rPr>
        <w:t>交</w:t>
      </w:r>
      <w:r>
        <w:rPr>
          <w:w w:val="100"/>
        </w:rPr>
        <w:t>易所</w:t>
      </w:r>
      <w:r>
        <w:rPr>
          <w:spacing w:val="-3"/>
          <w:w w:val="100"/>
        </w:rPr>
        <w:t>网</w:t>
      </w:r>
      <w:r>
        <w:rPr>
          <w:w w:val="100"/>
        </w:rPr>
        <w:t>站（</w:t>
      </w:r>
      <w:hyperlink r:id="rId11">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.cn</w:t>
        </w:r>
      </w:hyperlink>
      <w:r>
        <w:rPr>
          <w:w w:val="100"/>
        </w:rPr>
        <w:t>）</w:t>
      </w:r>
      <w:r>
        <w:rPr>
          <w:spacing w:val="-3"/>
          <w:w w:val="100"/>
        </w:rPr>
        <w:t>披</w:t>
      </w:r>
      <w:r>
        <w:rPr>
          <w:w w:val="100"/>
        </w:rPr>
        <w:t>露</w:t>
      </w:r>
      <w:r>
        <w:rPr>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w:t>
      </w:r>
      <w:r>
        <w:rPr>
          <w:spacing w:val="-3"/>
          <w:w w:val="100"/>
        </w:rPr>
        <w:t>度</w:t>
      </w:r>
      <w:r>
        <w:rPr>
          <w:w w:val="100"/>
        </w:rPr>
        <w:t>内</w:t>
      </w:r>
      <w:r>
        <w:rPr>
          <w:spacing w:val="-3"/>
          <w:w w:val="100"/>
        </w:rPr>
        <w:t>部</w:t>
      </w:r>
      <w:r>
        <w:rPr>
          <w:w w:val="100"/>
        </w:rPr>
        <w:t>控制</w:t>
      </w:r>
      <w:r>
        <w:rPr>
          <w:spacing w:val="-3"/>
          <w:w w:val="100"/>
        </w:rPr>
        <w:t>评</w:t>
      </w:r>
      <w:r>
        <w:rPr>
          <w:w w:val="100"/>
        </w:rPr>
        <w:t>价报</w:t>
      </w:r>
      <w:r>
        <w:rPr>
          <w:spacing w:val="2"/>
          <w:w w:val="100"/>
        </w:rPr>
        <w:t>告</w:t>
      </w:r>
      <w:r>
        <w:rPr>
          <w:spacing w:val="-104"/>
          <w:w w:val="100"/>
        </w:rPr>
        <w:t>》</w:t>
      </w:r>
      <w:r>
        <w:rPr>
          <w:w w:val="100"/>
        </w:rPr>
        <w:t>。</w:t>
      </w:r>
    </w:p>
    <w:p>
      <w:pPr>
        <w:spacing w:line="240" w:lineRule="auto" w:before="0"/>
        <w:rPr>
          <w:rFonts w:ascii="宋体" w:hAnsi="宋体" w:cs="宋体" w:eastAsia="宋体" w:hint="default"/>
          <w:sz w:val="17"/>
          <w:szCs w:val="17"/>
        </w:rPr>
      </w:pPr>
    </w:p>
    <w:p>
      <w:pPr>
        <w:pStyle w:val="BodyText"/>
        <w:spacing w:line="274" w:lineRule="exact"/>
        <w:ind w:left="218" w:right="2465"/>
        <w:jc w:val="left"/>
      </w:pPr>
      <w:r>
        <w:rPr/>
        <w:t>报告期内部控制存在重大缺陷情况的说明</w:t>
      </w:r>
    </w:p>
    <w:p>
      <w:pPr>
        <w:pStyle w:val="BodyText"/>
        <w:spacing w:line="290"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18" w:right="2465"/>
        <w:jc w:val="left"/>
        <w:rPr>
          <w:b w:val="0"/>
          <w:bCs w:val="0"/>
        </w:rPr>
      </w:pPr>
      <w:r>
        <w:rPr/>
        <w:t>九、内部控制审计报告的相关情况说明</w:t>
      </w:r>
      <w:r>
        <w:rPr>
          <w:b w:val="0"/>
          <w:bCs w:val="0"/>
        </w:rPr>
      </w:r>
    </w:p>
    <w:p>
      <w:pPr>
        <w:pStyle w:val="BodyText"/>
        <w:tabs>
          <w:tab w:pos="976" w:val="left" w:leader="none"/>
        </w:tabs>
        <w:spacing w:line="274" w:lineRule="exact" w:before="82"/>
        <w:ind w:left="218" w:right="612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是否披露内部控制审计报告：是</w:t>
      </w:r>
    </w:p>
    <w:p>
      <w:pPr>
        <w:spacing w:line="240" w:lineRule="auto" w:before="12"/>
        <w:rPr>
          <w:rFonts w:ascii="宋体" w:hAnsi="宋体" w:cs="宋体" w:eastAsia="宋体" w:hint="default"/>
          <w:sz w:val="20"/>
          <w:szCs w:val="20"/>
        </w:rPr>
      </w:pPr>
    </w:p>
    <w:p>
      <w:pPr>
        <w:pStyle w:val="Heading3"/>
        <w:spacing w:line="240" w:lineRule="auto" w:before="0"/>
        <w:ind w:left="218" w:right="2465"/>
        <w:jc w:val="left"/>
        <w:rPr>
          <w:b w:val="0"/>
          <w:bCs w:val="0"/>
        </w:rPr>
      </w:pPr>
      <w:r>
        <w:rPr/>
        <w:t>十、其他</w:t>
      </w:r>
      <w:r>
        <w:rPr>
          <w:b w:val="0"/>
          <w:bCs w:val="0"/>
        </w:rPr>
      </w:r>
    </w:p>
    <w:p>
      <w:pPr>
        <w:pStyle w:val="BodyText"/>
        <w:tabs>
          <w:tab w:pos="976" w:val="left" w:leader="none"/>
        </w:tabs>
        <w:spacing w:line="240" w:lineRule="auto" w:before="56"/>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77" w:footer="1195" w:top="1100" w:bottom="1380" w:left="1580" w:right="104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660" w:right="1060"/>
        </w:sectPr>
      </w:pPr>
    </w:p>
    <w:p>
      <w:pPr>
        <w:pStyle w:val="Heading3"/>
        <w:spacing w:line="240" w:lineRule="auto"/>
        <w:ind w:left="138" w:right="-19"/>
        <w:jc w:val="left"/>
        <w:rPr>
          <w:b w:val="0"/>
          <w:bCs w:val="0"/>
        </w:rPr>
      </w:pPr>
      <w:r>
        <w:rPr/>
        <w:t>一、审计报告</w:t>
      </w:r>
      <w:r>
        <w:rPr>
          <w:b w:val="0"/>
          <w:bCs w:val="0"/>
        </w:rPr>
      </w:r>
    </w:p>
    <w:p>
      <w:pPr>
        <w:pStyle w:val="BodyText"/>
        <w:spacing w:line="240" w:lineRule="auto" w:before="58"/>
        <w:ind w:right="-19"/>
        <w:jc w:val="left"/>
      </w:pPr>
      <w:r>
        <w:rPr/>
        <w:t>√适用 □不适用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862" w:val="left" w:leader="none"/>
          <w:tab w:pos="1585" w:val="left" w:leader="none"/>
          <w:tab w:pos="2308" w:val="left" w:leader="none"/>
        </w:tabs>
        <w:spacing w:before="0"/>
        <w:ind w:left="138" w:right="0" w:firstLine="0"/>
        <w:jc w:val="left"/>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660" w:right="1060"/>
          <w:cols w:num="2" w:equalWidth="0">
            <w:col w:w="1715" w:space="1434"/>
            <w:col w:w="6041"/>
          </w:cols>
        </w:sectPr>
      </w:pPr>
    </w:p>
    <w:p>
      <w:pPr>
        <w:spacing w:line="240" w:lineRule="auto" w:before="5"/>
        <w:rPr>
          <w:rFonts w:ascii="宋体" w:hAnsi="宋体" w:cs="宋体" w:eastAsia="宋体" w:hint="default"/>
          <w:b/>
          <w:bCs/>
          <w:sz w:val="17"/>
          <w:szCs w:val="17"/>
        </w:rPr>
      </w:pPr>
    </w:p>
    <w:p>
      <w:pPr>
        <w:pStyle w:val="BodyText"/>
        <w:spacing w:line="240" w:lineRule="auto" w:before="36"/>
        <w:ind w:left="0" w:right="212"/>
        <w:jc w:val="right"/>
      </w:pPr>
      <w:r>
        <w:rPr/>
        <w:t>大信审字</w:t>
      </w:r>
      <w:r>
        <w:rPr>
          <w:rFonts w:ascii="Times New Roman" w:hAnsi="Times New Roman" w:cs="Times New Roman" w:eastAsia="Times New Roman" w:hint="default"/>
        </w:rPr>
        <w:t>[2018]</w:t>
      </w:r>
      <w:r>
        <w:rPr/>
        <w:t>第</w:t>
      </w:r>
      <w:r>
        <w:rPr>
          <w:spacing w:val="-55"/>
        </w:rPr>
        <w:t> </w:t>
      </w:r>
      <w:r>
        <w:rPr>
          <w:rFonts w:ascii="Times New Roman" w:hAnsi="Times New Roman" w:cs="Times New Roman" w:eastAsia="Times New Roman" w:hint="default"/>
        </w:rPr>
        <w:t>4-00089</w:t>
      </w:r>
      <w:r>
        <w:rPr>
          <w:rFonts w:ascii="Times New Roman" w:hAnsi="Times New Roman" w:cs="Times New Roman" w:eastAsia="Times New Roman" w:hint="default"/>
          <w:spacing w:val="-3"/>
        </w:rPr>
        <w:t> </w:t>
      </w:r>
      <w:r>
        <w:rPr/>
        <w:t>号</w:t>
      </w:r>
    </w:p>
    <w:p>
      <w:pPr>
        <w:spacing w:line="240" w:lineRule="auto" w:before="6"/>
        <w:rPr>
          <w:rFonts w:ascii="宋体" w:hAnsi="宋体" w:cs="宋体" w:eastAsia="宋体" w:hint="default"/>
          <w:sz w:val="14"/>
          <w:szCs w:val="14"/>
        </w:rPr>
      </w:pPr>
    </w:p>
    <w:p>
      <w:pPr>
        <w:pStyle w:val="Heading3"/>
        <w:spacing w:line="240" w:lineRule="auto"/>
        <w:ind w:left="138" w:right="105"/>
        <w:jc w:val="left"/>
        <w:rPr>
          <w:b w:val="0"/>
          <w:bCs w:val="0"/>
        </w:rPr>
      </w:pPr>
      <w:r>
        <w:rPr/>
        <w:t>宁波建工股份有限公司全体股东：</w:t>
      </w:r>
      <w:r>
        <w:rPr>
          <w:b w:val="0"/>
          <w:bCs w:val="0"/>
        </w:rPr>
      </w:r>
    </w:p>
    <w:p>
      <w:pPr>
        <w:spacing w:line="240" w:lineRule="auto" w:before="4"/>
        <w:rPr>
          <w:rFonts w:ascii="宋体" w:hAnsi="宋体" w:cs="宋体" w:eastAsia="宋体" w:hint="default"/>
          <w:b/>
          <w:bCs/>
          <w:sz w:val="18"/>
          <w:szCs w:val="18"/>
        </w:rPr>
      </w:pPr>
    </w:p>
    <w:p>
      <w:pPr>
        <w:pStyle w:val="Heading3"/>
        <w:spacing w:line="273" w:lineRule="exact" w:before="0"/>
        <w:ind w:left="560" w:right="105"/>
        <w:jc w:val="left"/>
        <w:rPr>
          <w:b w:val="0"/>
          <w:bCs w:val="0"/>
        </w:rPr>
      </w:pPr>
      <w:r>
        <w:rPr/>
        <w:t>一、审计意见</w:t>
      </w:r>
      <w:r>
        <w:rPr>
          <w:b w:val="0"/>
          <w:bCs w:val="0"/>
        </w:rPr>
      </w:r>
    </w:p>
    <w:p>
      <w:pPr>
        <w:pStyle w:val="BodyText"/>
        <w:spacing w:line="280" w:lineRule="exact"/>
        <w:ind w:left="558" w:right="105"/>
        <w:jc w:val="left"/>
      </w:pPr>
      <w:r>
        <w:rPr>
          <w:w w:val="100"/>
        </w:rPr>
        <w:t>我们</w:t>
      </w:r>
      <w:r>
        <w:rPr>
          <w:spacing w:val="-3"/>
          <w:w w:val="100"/>
        </w:rPr>
        <w:t>审</w:t>
      </w:r>
      <w:r>
        <w:rPr>
          <w:w w:val="100"/>
        </w:rPr>
        <w:t>计</w:t>
      </w:r>
      <w:r>
        <w:rPr>
          <w:spacing w:val="-3"/>
          <w:w w:val="100"/>
        </w:rPr>
        <w:t>了</w:t>
      </w:r>
      <w:r>
        <w:rPr>
          <w:w w:val="100"/>
        </w:rPr>
        <w:t>宁</w:t>
      </w:r>
      <w:r>
        <w:rPr>
          <w:spacing w:val="-3"/>
          <w:w w:val="100"/>
        </w:rPr>
        <w:t>波</w:t>
      </w:r>
      <w:r>
        <w:rPr>
          <w:w w:val="100"/>
        </w:rPr>
        <w:t>建</w:t>
      </w:r>
      <w:r>
        <w:rPr>
          <w:spacing w:val="-3"/>
          <w:w w:val="100"/>
        </w:rPr>
        <w:t>工</w:t>
      </w:r>
      <w:r>
        <w:rPr>
          <w:w w:val="100"/>
        </w:rPr>
        <w:t>股</w:t>
      </w:r>
      <w:r>
        <w:rPr>
          <w:spacing w:val="-3"/>
          <w:w w:val="100"/>
        </w:rPr>
        <w:t>份</w:t>
      </w:r>
      <w:r>
        <w:rPr>
          <w:w w:val="100"/>
        </w:rPr>
        <w:t>有限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w:t>
      </w:r>
      <w:r>
        <w:rPr>
          <w:spacing w:val="-3"/>
          <w:w w:val="100"/>
        </w:rPr>
        <w:t>贵</w:t>
      </w:r>
      <w:r>
        <w:rPr>
          <w:w w:val="100"/>
        </w:rPr>
        <w:t>公司</w:t>
      </w:r>
      <w:r>
        <w:rPr>
          <w:spacing w:val="-108"/>
          <w:w w:val="100"/>
        </w:rPr>
        <w:t>”</w:t>
      </w:r>
      <w:r>
        <w:rPr>
          <w:w w:val="100"/>
        </w:rPr>
        <w:t>）</w:t>
      </w:r>
      <w:r>
        <w:rPr>
          <w:spacing w:val="-3"/>
          <w:w w:val="100"/>
        </w:rPr>
        <w:t>的</w:t>
      </w:r>
      <w:r>
        <w:rPr>
          <w:w w:val="100"/>
        </w:rPr>
        <w:t>财</w:t>
      </w:r>
      <w:r>
        <w:rPr>
          <w:spacing w:val="-3"/>
          <w:w w:val="100"/>
        </w:rPr>
        <w:t>务</w:t>
      </w:r>
      <w:r>
        <w:rPr>
          <w:w w:val="100"/>
        </w:rPr>
        <w:t>报</w:t>
      </w:r>
      <w:r>
        <w:rPr>
          <w:spacing w:val="-3"/>
          <w:w w:val="100"/>
        </w:rPr>
        <w:t>表</w:t>
      </w:r>
      <w:r>
        <w:rPr>
          <w:w w:val="100"/>
        </w:rPr>
        <w:t>，</w:t>
      </w:r>
      <w:r>
        <w:rPr>
          <w:spacing w:val="-3"/>
          <w:w w:val="100"/>
        </w:rPr>
        <w:t>包</w:t>
      </w:r>
      <w:r>
        <w:rPr>
          <w:w w:val="100"/>
        </w:rPr>
        <w:t>括</w:t>
      </w:r>
      <w:r>
        <w:rPr>
          <w:spacing w:val="-23"/>
        </w:rPr>
        <w:t> </w:t>
      </w:r>
      <w:r>
        <w:rPr>
          <w:rFonts w:ascii="Times New Roman" w:hAnsi="Times New Roman" w:cs="Times New Roman" w:eastAsia="Times New Roman" w:hint="default"/>
          <w:w w:val="100"/>
        </w:rPr>
        <w:t>2017</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年</w:t>
      </w:r>
      <w:r>
        <w:rPr>
          <w:spacing w:val="-26"/>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6"/>
        </w:rPr>
        <w:t> </w:t>
      </w:r>
      <w:r>
        <w:rPr>
          <w:w w:val="100"/>
        </w:rPr>
        <w:t>月</w:t>
      </w:r>
    </w:p>
    <w:p>
      <w:pPr>
        <w:pStyle w:val="BodyText"/>
        <w:spacing w:line="272" w:lineRule="exact" w:before="19"/>
        <w:ind w:right="97"/>
        <w:jc w:val="left"/>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年度的合并及母公司利润表、合并及母公司现金流量表、</w:t>
      </w:r>
      <w:r>
        <w:rPr>
          <w:w w:val="100"/>
        </w:rPr>
        <w:t> </w:t>
      </w:r>
      <w:r>
        <w:rPr/>
        <w:t>合并及母公司股东权益变动表，以及财务报表附注。</w:t>
      </w:r>
    </w:p>
    <w:p>
      <w:pPr>
        <w:pStyle w:val="BodyText"/>
        <w:spacing w:line="272" w:lineRule="exact" w:before="1"/>
        <w:ind w:right="204" w:firstLine="419"/>
        <w:jc w:val="left"/>
      </w:pPr>
      <w:r>
        <w:rPr>
          <w:spacing w:val="-2"/>
        </w:rPr>
        <w:t>我们认为，后附的财务报表在所有重大方面按照企业会计准则的规定编制，公允反映了贵公</w:t>
      </w:r>
      <w:r>
        <w:rPr>
          <w:w w:val="100"/>
        </w:rPr>
        <w:t> </w:t>
      </w:r>
      <w:r>
        <w:rPr/>
        <w:t>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年度的合并及母公司经营成果和现金流</w:t>
      </w:r>
    </w:p>
    <w:p>
      <w:pPr>
        <w:pStyle w:val="BodyText"/>
        <w:spacing w:line="247" w:lineRule="exact"/>
        <w:ind w:right="105"/>
        <w:jc w:val="left"/>
      </w:pPr>
      <w:r>
        <w:rPr/>
        <w:t>量。</w:t>
      </w:r>
    </w:p>
    <w:p>
      <w:pPr>
        <w:spacing w:line="272" w:lineRule="exact" w:before="26"/>
        <w:ind w:left="558" w:right="105"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72" w:lineRule="exact" w:before="1"/>
        <w:ind w:right="105"/>
        <w:jc w:val="left"/>
      </w:pPr>
      <w:r>
        <w:rPr>
          <w:spacing w:val="-1"/>
        </w:rPr>
        <w:t>报表审计的责任”部分进一步阐述了我们在这些准则下的责任。按照中国注册会计师职业道德守</w:t>
      </w:r>
      <w:r>
        <w:rPr>
          <w:spacing w:val="-55"/>
        </w:rPr>
        <w:t> </w:t>
      </w:r>
      <w:r>
        <w:rPr>
          <w:spacing w:val="-55"/>
        </w:rPr>
      </w:r>
      <w:r>
        <w:rPr/>
        <w:t>则，我们独立于贵公司，并履行了职业道德方面的其他责任。</w:t>
      </w:r>
    </w:p>
    <w:p>
      <w:pPr>
        <w:pStyle w:val="BodyText"/>
        <w:spacing w:line="249" w:lineRule="exact"/>
        <w:ind w:left="558" w:right="105"/>
        <w:jc w:val="left"/>
      </w:pPr>
      <w:r>
        <w:rPr/>
        <w:t>我们相信，我们获取的审计证据是充分、适当的，为发表审计意见提供了基础。</w:t>
      </w:r>
    </w:p>
    <w:p>
      <w:pPr>
        <w:spacing w:line="240" w:lineRule="auto" w:before="5"/>
        <w:rPr>
          <w:rFonts w:ascii="宋体" w:hAnsi="宋体" w:cs="宋体" w:eastAsia="宋体" w:hint="default"/>
          <w:sz w:val="20"/>
          <w:szCs w:val="20"/>
        </w:rPr>
      </w:pPr>
    </w:p>
    <w:p>
      <w:pPr>
        <w:pStyle w:val="BodyText"/>
        <w:spacing w:line="272" w:lineRule="exact"/>
        <w:ind w:left="558" w:right="105"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247" w:lineRule="exact"/>
        <w:ind w:right="105"/>
        <w:jc w:val="left"/>
      </w:pPr>
      <w:r>
        <w:rPr/>
        <w:t>应对以对财务报表整体进行审计并形成审计意见为背景，我们不对这些事项单独发表意见。</w:t>
      </w:r>
    </w:p>
    <w:p>
      <w:pPr>
        <w:pStyle w:val="BodyText"/>
        <w:spacing w:line="272" w:lineRule="exact"/>
        <w:ind w:left="558" w:right="105"/>
        <w:jc w:val="left"/>
      </w:pPr>
      <w:r>
        <w:rPr/>
        <w:t>（一）收入确认中完工百分比法的应用</w:t>
      </w:r>
    </w:p>
    <w:p>
      <w:pPr>
        <w:pStyle w:val="BodyText"/>
        <w:spacing w:line="280" w:lineRule="exact"/>
        <w:ind w:left="558" w:right="105"/>
        <w:jc w:val="left"/>
      </w:pPr>
      <w:r>
        <w:rPr/>
        <w:t>相关信息披露详见财务报表附注五、</w:t>
      </w:r>
      <w:r>
        <w:rPr>
          <w:rFonts w:ascii="Times New Roman" w:hAnsi="Times New Roman" w:cs="Times New Roman" w:eastAsia="Times New Roman" w:hint="default"/>
        </w:rPr>
        <w:t>21 </w:t>
      </w:r>
      <w:r>
        <w:rPr/>
        <w:t>收入及附注七、</w:t>
      </w:r>
      <w:r>
        <w:rPr>
          <w:rFonts w:ascii="Times New Roman" w:hAnsi="Times New Roman" w:cs="Times New Roman" w:eastAsia="Times New Roman" w:hint="default"/>
        </w:rPr>
        <w:t>38</w:t>
      </w:r>
      <w:r>
        <w:rPr>
          <w:rFonts w:ascii="Times New Roman" w:hAnsi="Times New Roman" w:cs="Times New Roman" w:eastAsia="Times New Roman" w:hint="default"/>
          <w:spacing w:val="-9"/>
        </w:rPr>
        <w:t> </w:t>
      </w:r>
      <w:r>
        <w:rPr/>
        <w:t>营业收入和营业成本。</w:t>
      </w:r>
    </w:p>
    <w:p>
      <w:pPr>
        <w:pStyle w:val="BodyText"/>
        <w:spacing w:line="272" w:lineRule="exact"/>
        <w:ind w:left="558" w:right="105"/>
        <w:jc w:val="left"/>
      </w:pPr>
      <w:r>
        <w:rPr>
          <w:rFonts w:ascii="Times New Roman" w:hAnsi="Times New Roman" w:cs="Times New Roman" w:eastAsia="Times New Roman" w:hint="default"/>
        </w:rPr>
        <w:t>1</w:t>
      </w:r>
      <w:r>
        <w:rPr/>
        <w:t>、事项描述</w:t>
      </w:r>
    </w:p>
    <w:p>
      <w:pPr>
        <w:pStyle w:val="BodyText"/>
        <w:spacing w:line="230" w:lineRule="auto" w:before="1"/>
        <w:ind w:right="207" w:firstLine="419"/>
        <w:jc w:val="both"/>
      </w:pPr>
      <w:r>
        <w:rPr>
          <w:rFonts w:ascii="Times New Roman" w:hAnsi="Times New Roman" w:cs="Times New Roman" w:eastAsia="Times New Roman" w:hint="default"/>
        </w:rPr>
        <w:t>2017 </w:t>
      </w:r>
      <w:r>
        <w:rPr/>
        <w:t>年度，贵公司营业收入为人民币 </w:t>
      </w:r>
      <w:r>
        <w:rPr>
          <w:rFonts w:ascii="Times New Roman" w:hAnsi="Times New Roman" w:cs="Times New Roman" w:eastAsia="Times New Roman" w:hint="default"/>
        </w:rPr>
        <w:t>1,474,627.11 </w:t>
      </w:r>
      <w:r>
        <w:rPr/>
        <w:t>万元，其中工程施工类收入</w:t>
      </w:r>
      <w:r>
        <w:rPr>
          <w:spacing w:val="6"/>
        </w:rPr>
        <w:t> </w:t>
      </w:r>
      <w:r>
        <w:rPr>
          <w:rFonts w:ascii="Times New Roman" w:hAnsi="Times New Roman" w:cs="Times New Roman" w:eastAsia="Times New Roman" w:hint="default"/>
        </w:rPr>
        <w:t>1,348,521.70</w:t>
      </w:r>
      <w:r>
        <w:rPr>
          <w:rFonts w:ascii="Times New Roman" w:hAnsi="Times New Roman" w:cs="Times New Roman" w:eastAsia="Times New Roman" w:hint="default"/>
          <w:w w:val="100"/>
        </w:rPr>
        <w:t> </w:t>
      </w:r>
      <w:r>
        <w:rPr>
          <w:spacing w:val="-5"/>
        </w:rPr>
        <w:t>万元，约占贵公司总收入的 </w:t>
      </w:r>
      <w:r>
        <w:rPr>
          <w:rFonts w:ascii="Times New Roman" w:hAnsi="Times New Roman" w:cs="Times New Roman" w:eastAsia="Times New Roman" w:hint="default"/>
          <w:spacing w:val="-4"/>
        </w:rPr>
        <w:t>91.45%</w:t>
      </w:r>
      <w:r>
        <w:rPr>
          <w:spacing w:val="-4"/>
        </w:rPr>
        <w:t>，贵公司对于工程施工类业务按照《企业会计准则</w:t>
      </w:r>
      <w:r>
        <w:rPr>
          <w:rFonts w:ascii="Times New Roman" w:hAnsi="Times New Roman" w:cs="Times New Roman" w:eastAsia="Times New Roman" w:hint="default"/>
          <w:spacing w:val="-4"/>
        </w:rPr>
        <w:t>-</w:t>
      </w:r>
      <w:r>
        <w:rPr>
          <w:spacing w:val="-4"/>
        </w:rPr>
        <w:t>建造合同》</w:t>
      </w:r>
      <w:r>
        <w:rPr>
          <w:spacing w:val="-92"/>
        </w:rPr>
        <w:t> </w:t>
      </w:r>
      <w:r>
        <w:rPr>
          <w:spacing w:val="-92"/>
        </w:rPr>
      </w:r>
      <w:r>
        <w:rPr>
          <w:spacing w:val="-1"/>
        </w:rPr>
        <w:t>按照完工百分比法确认收入，完工进度依据已发生成本占预计总成本的比例确认。在应用完工百</w:t>
      </w:r>
      <w:r>
        <w:rPr>
          <w:spacing w:val="-55"/>
        </w:rPr>
        <w:t> </w:t>
      </w:r>
      <w:r>
        <w:rPr>
          <w:spacing w:val="-55"/>
        </w:rPr>
      </w:r>
      <w:r>
        <w:rPr>
          <w:spacing w:val="-1"/>
        </w:rPr>
        <w:t>分比法时，完工进度及预计总成本主要依赖管理层的重大估计和判断，因此，我们将收入确认中</w:t>
      </w:r>
      <w:r>
        <w:rPr>
          <w:spacing w:val="-55"/>
        </w:rPr>
        <w:t> </w:t>
      </w:r>
      <w:r>
        <w:rPr>
          <w:spacing w:val="-55"/>
        </w:rPr>
      </w:r>
      <w:r>
        <w:rPr/>
        <w:t>的完工百分比法应用作为关键审计事项。</w:t>
      </w:r>
    </w:p>
    <w:p>
      <w:pPr>
        <w:pStyle w:val="BodyText"/>
        <w:spacing w:line="280" w:lineRule="exact"/>
        <w:ind w:left="558" w:right="105"/>
        <w:jc w:val="left"/>
      </w:pPr>
      <w:r>
        <w:rPr>
          <w:rFonts w:ascii="Times New Roman" w:hAnsi="Times New Roman" w:cs="Times New Roman" w:eastAsia="Times New Roman" w:hint="default"/>
        </w:rPr>
        <w:t>2</w:t>
      </w:r>
      <w:r>
        <w:rPr/>
        <w:t>、审计应对</w:t>
      </w:r>
    </w:p>
    <w:p>
      <w:pPr>
        <w:pStyle w:val="BodyText"/>
        <w:spacing w:line="272" w:lineRule="exact" w:before="19"/>
        <w:ind w:right="105" w:firstLine="419"/>
        <w:jc w:val="left"/>
      </w:pPr>
      <w:r>
        <w:rPr>
          <w:spacing w:val="-4"/>
        </w:rPr>
        <w:t>（</w:t>
      </w:r>
      <w:r>
        <w:rPr>
          <w:rFonts w:ascii="Times New Roman" w:hAnsi="Times New Roman" w:cs="Times New Roman" w:eastAsia="Times New Roman" w:hint="default"/>
          <w:spacing w:val="-4"/>
        </w:rPr>
        <w:t>1</w:t>
      </w:r>
      <w:r>
        <w:rPr>
          <w:spacing w:val="-4"/>
        </w:rPr>
        <w:t>）了解、评估和测试管理层确定完工进度、实际发生的成本和预计总成本的关键内部控制</w:t>
      </w:r>
      <w:r>
        <w:rPr>
          <w:w w:val="100"/>
        </w:rPr>
        <w:t> </w:t>
      </w:r>
      <w:r>
        <w:rPr/>
        <w:t>的设计和执行，以确认内部控制的有效性；</w:t>
      </w:r>
    </w:p>
    <w:p>
      <w:pPr>
        <w:pStyle w:val="BodyText"/>
        <w:spacing w:line="272" w:lineRule="exact" w:before="1"/>
        <w:ind w:right="105" w:firstLine="419"/>
        <w:jc w:val="left"/>
      </w:pPr>
      <w:r>
        <w:rPr>
          <w:spacing w:val="-4"/>
        </w:rPr>
        <w:t>（</w:t>
      </w:r>
      <w:r>
        <w:rPr>
          <w:rFonts w:ascii="Times New Roman" w:hAnsi="Times New Roman" w:cs="Times New Roman" w:eastAsia="Times New Roman" w:hint="default"/>
          <w:spacing w:val="-4"/>
        </w:rPr>
        <w:t>2</w:t>
      </w:r>
      <w:r>
        <w:rPr>
          <w:spacing w:val="-4"/>
        </w:rPr>
        <w:t>）通过审阅业务合同及与管理层的访谈，了解和评估完工进度确定方法的合理性，以及预</w:t>
      </w:r>
      <w:r>
        <w:rPr>
          <w:w w:val="100"/>
        </w:rPr>
        <w:t> </w:t>
      </w:r>
      <w:r>
        <w:rPr/>
        <w:t>计总收入和预计总成本的编制方法的合理性；</w:t>
      </w:r>
    </w:p>
    <w:p>
      <w:pPr>
        <w:pStyle w:val="BodyText"/>
        <w:spacing w:line="272" w:lineRule="exact" w:before="1"/>
        <w:ind w:right="105" w:firstLine="419"/>
        <w:jc w:val="left"/>
      </w:pPr>
      <w:r>
        <w:rPr>
          <w:spacing w:val="-4"/>
        </w:rPr>
        <w:t>（</w:t>
      </w:r>
      <w:r>
        <w:rPr>
          <w:rFonts w:ascii="Times New Roman" w:hAnsi="Times New Roman" w:cs="Times New Roman" w:eastAsia="Times New Roman" w:hint="default"/>
          <w:spacing w:val="-4"/>
        </w:rPr>
        <w:t>3</w:t>
      </w:r>
      <w:r>
        <w:rPr>
          <w:spacing w:val="-4"/>
        </w:rPr>
        <w:t>）针对工程施工类项目进行抽样测试，核对业务合同的关键条款和完工进度对应支持性文</w:t>
      </w:r>
      <w:r>
        <w:rPr>
          <w:w w:val="100"/>
        </w:rPr>
        <w:t> </w:t>
      </w:r>
      <w:r>
        <w:rPr>
          <w:spacing w:val="-7"/>
        </w:rPr>
        <w:t>件。其中包括：工程量结算单、业主确认文件、第三方监理确认文件、竣工结算报告及验收报告、</w:t>
      </w:r>
    </w:p>
    <w:p>
      <w:pPr>
        <w:pStyle w:val="BodyText"/>
        <w:spacing w:line="272" w:lineRule="exact" w:before="1"/>
        <w:ind w:right="105"/>
        <w:jc w:val="left"/>
      </w:pPr>
      <w:r>
        <w:rPr>
          <w:spacing w:val="-1"/>
        </w:rPr>
        <w:t>实际累计投入的工程成本、预算部门编制的预计总成本等，评估项目完工进度的依据是否充分，</w:t>
      </w:r>
      <w:r>
        <w:rPr>
          <w:spacing w:val="-55"/>
        </w:rPr>
        <w:t> </w:t>
      </w:r>
      <w:r>
        <w:rPr>
          <w:spacing w:val="-55"/>
        </w:rPr>
      </w:r>
      <w:r>
        <w:rPr/>
        <w:t>完工进度的确认是否合理；</w:t>
      </w:r>
    </w:p>
    <w:p>
      <w:pPr>
        <w:pStyle w:val="BodyText"/>
        <w:spacing w:line="272" w:lineRule="exact" w:before="1"/>
        <w:ind w:right="105" w:firstLine="419"/>
        <w:jc w:val="left"/>
      </w:pPr>
      <w:r>
        <w:rPr>
          <w:spacing w:val="-4"/>
        </w:rPr>
        <w:t>（</w:t>
      </w:r>
      <w:r>
        <w:rPr>
          <w:rFonts w:ascii="Times New Roman" w:hAnsi="Times New Roman" w:cs="Times New Roman" w:eastAsia="Times New Roman" w:hint="default"/>
          <w:spacing w:val="-4"/>
        </w:rPr>
        <w:t>4</w:t>
      </w:r>
      <w:r>
        <w:rPr>
          <w:spacing w:val="-4"/>
        </w:rPr>
        <w:t>）抽取样本对资产负债表日的项目状态进行函证，其中包括：项目名称、合同额、累计已</w:t>
      </w:r>
      <w:r>
        <w:rPr>
          <w:w w:val="100"/>
        </w:rPr>
        <w:t> </w:t>
      </w:r>
      <w:r>
        <w:rPr>
          <w:spacing w:val="-1"/>
        </w:rPr>
        <w:t>支付（或收到）的工程款项、累计已开具的建筑业发票、期末应收或预收款项余额等，重新计算</w:t>
      </w:r>
    </w:p>
    <w:p>
      <w:pPr>
        <w:pStyle w:val="BodyText"/>
        <w:spacing w:line="246" w:lineRule="exact"/>
        <w:ind w:right="105"/>
        <w:jc w:val="left"/>
      </w:pPr>
      <w:r>
        <w:rPr/>
        <w:t>并核实工程项目在资产负债表日的收入成本核算是否准确；</w:t>
      </w:r>
    </w:p>
    <w:p>
      <w:pPr>
        <w:pStyle w:val="BodyText"/>
        <w:spacing w:line="272" w:lineRule="exact" w:before="27"/>
        <w:ind w:right="105" w:firstLine="419"/>
        <w:jc w:val="left"/>
      </w:pPr>
      <w:r>
        <w:rPr>
          <w:spacing w:val="-4"/>
        </w:rPr>
        <w:t>（</w:t>
      </w:r>
      <w:r>
        <w:rPr>
          <w:rFonts w:ascii="Times New Roman" w:hAnsi="Times New Roman" w:cs="Times New Roman" w:eastAsia="Times New Roman" w:hint="default"/>
          <w:spacing w:val="-4"/>
        </w:rPr>
        <w:t>5</w:t>
      </w:r>
      <w:r>
        <w:rPr>
          <w:spacing w:val="-4"/>
        </w:rPr>
        <w:t>）针对期后新签订的项目合同及新取得的外部支持性文件进行检查，关注收入成本是否存</w:t>
      </w:r>
      <w:r>
        <w:rPr>
          <w:w w:val="100"/>
        </w:rPr>
        <w:t> </w:t>
      </w:r>
      <w:r>
        <w:rPr/>
        <w:t>在重大跨期；分析其是否已根据完工进度在资产负债表日准确确认。</w:t>
      </w:r>
    </w:p>
    <w:p>
      <w:pPr>
        <w:spacing w:after="0" w:line="272" w:lineRule="exact"/>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74" w:lineRule="exact" w:before="36"/>
        <w:ind w:left="558" w:right="0"/>
        <w:jc w:val="left"/>
      </w:pPr>
      <w:r>
        <w:rPr/>
        <w:t>（二）应收账款减值准备的计提</w:t>
      </w:r>
    </w:p>
    <w:p>
      <w:pPr>
        <w:pStyle w:val="BodyText"/>
        <w:spacing w:line="280" w:lineRule="exact"/>
        <w:ind w:left="558" w:right="0"/>
        <w:jc w:val="left"/>
      </w:pPr>
      <w:r>
        <w:rPr/>
        <w:t>相关信息披露详见财务报表附注五、</w:t>
      </w:r>
      <w:r>
        <w:rPr>
          <w:rFonts w:ascii="Times New Roman" w:hAnsi="Times New Roman" w:cs="Times New Roman" w:eastAsia="Times New Roman" w:hint="default"/>
        </w:rPr>
        <w:t>10 </w:t>
      </w:r>
      <w:r>
        <w:rPr/>
        <w:t>应收款项及附注七、</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应收账款。</w:t>
      </w:r>
    </w:p>
    <w:p>
      <w:pPr>
        <w:pStyle w:val="BodyText"/>
        <w:spacing w:line="272" w:lineRule="exact"/>
        <w:ind w:left="558" w:right="0"/>
        <w:jc w:val="left"/>
      </w:pPr>
      <w:r>
        <w:rPr>
          <w:rFonts w:ascii="Times New Roman" w:hAnsi="Times New Roman" w:cs="Times New Roman" w:eastAsia="Times New Roman" w:hint="default"/>
        </w:rPr>
        <w:t>1</w:t>
      </w:r>
      <w:r>
        <w:rPr/>
        <w:t>、事项描述</w:t>
      </w:r>
    </w:p>
    <w:p>
      <w:pPr>
        <w:pStyle w:val="BodyText"/>
        <w:spacing w:line="272" w:lineRule="exact"/>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日贵公司合并财务报表中应收账款的原值为</w:t>
      </w:r>
      <w:r>
        <w:rPr>
          <w:spacing w:val="-52"/>
        </w:rPr>
        <w:t> </w:t>
      </w:r>
      <w:r>
        <w:rPr>
          <w:rFonts w:ascii="Times New Roman" w:hAnsi="Times New Roman" w:cs="Times New Roman" w:eastAsia="Times New Roman" w:hint="default"/>
        </w:rPr>
        <w:t>364,273.59</w:t>
      </w:r>
      <w:r>
        <w:rPr>
          <w:rFonts w:ascii="Times New Roman" w:hAnsi="Times New Roman" w:cs="Times New Roman" w:eastAsia="Times New Roman" w:hint="default"/>
          <w:spacing w:val="-2"/>
        </w:rPr>
        <w:t> </w:t>
      </w:r>
      <w:r>
        <w:rPr>
          <w:spacing w:val="-6"/>
        </w:rPr>
        <w:t>万元，坏账准备合计</w:t>
      </w:r>
    </w:p>
    <w:p>
      <w:pPr>
        <w:pStyle w:val="BodyText"/>
        <w:spacing w:line="230" w:lineRule="auto"/>
        <w:ind w:right="128"/>
        <w:jc w:val="both"/>
      </w:pPr>
      <w:r>
        <w:rPr/>
        <w:t>为</w:t>
      </w:r>
      <w:r>
        <w:rPr>
          <w:spacing w:val="-34"/>
        </w:rPr>
        <w:t> </w:t>
      </w:r>
      <w:r>
        <w:rPr>
          <w:rFonts w:ascii="Times New Roman" w:hAnsi="Times New Roman" w:cs="Times New Roman" w:eastAsia="Times New Roman" w:hint="default"/>
        </w:rPr>
        <w:t>34,605.51</w:t>
      </w:r>
      <w:r>
        <w:rPr>
          <w:rFonts w:ascii="Times New Roman" w:hAnsi="Times New Roman" w:cs="Times New Roman" w:eastAsia="Times New Roman" w:hint="default"/>
          <w:spacing w:val="20"/>
        </w:rPr>
        <w:t> </w:t>
      </w:r>
      <w:r>
        <w:rPr>
          <w:spacing w:val="-4"/>
        </w:rPr>
        <w:t>万元。由于应收账款可收回金额方面涉及管理层运用重大会计估计和判断，并且管理</w:t>
      </w:r>
      <w:r>
        <w:rPr>
          <w:spacing w:val="-98"/>
        </w:rPr>
        <w:t> </w:t>
      </w:r>
      <w:r>
        <w:rPr>
          <w:spacing w:val="-98"/>
        </w:rPr>
      </w:r>
      <w:r>
        <w:rPr>
          <w:spacing w:val="-1"/>
        </w:rPr>
        <w:t>层的估计和判断具有不确定性，基于应收账款坏账准备的计提对于财务报表具有重要性，我们将</w:t>
      </w:r>
      <w:r>
        <w:rPr>
          <w:spacing w:val="-55"/>
        </w:rPr>
        <w:t> </w:t>
      </w:r>
      <w:r>
        <w:rPr>
          <w:spacing w:val="-55"/>
        </w:rPr>
      </w:r>
      <w:r>
        <w:rPr/>
        <w:t>应收账款的减值确定为关键审计事项。</w:t>
      </w:r>
    </w:p>
    <w:p>
      <w:pPr>
        <w:pStyle w:val="BodyText"/>
        <w:spacing w:line="281" w:lineRule="exact"/>
        <w:ind w:left="558" w:right="0"/>
        <w:jc w:val="left"/>
      </w:pPr>
      <w:r>
        <w:rPr>
          <w:rFonts w:ascii="Times New Roman" w:hAnsi="Times New Roman" w:cs="Times New Roman" w:eastAsia="Times New Roman" w:hint="default"/>
        </w:rPr>
        <w:t>2</w:t>
      </w:r>
      <w:r>
        <w:rPr/>
        <w:t>、审计应对</w:t>
      </w:r>
    </w:p>
    <w:p>
      <w:pPr>
        <w:pStyle w:val="BodyText"/>
        <w:spacing w:line="274" w:lineRule="exact" w:before="16"/>
        <w:ind w:right="0" w:firstLine="419"/>
        <w:jc w:val="left"/>
      </w:pPr>
      <w:r>
        <w:rPr>
          <w:spacing w:val="-4"/>
        </w:rPr>
        <w:t>（</w:t>
      </w:r>
      <w:r>
        <w:rPr>
          <w:rFonts w:ascii="Times New Roman" w:hAnsi="Times New Roman" w:cs="Times New Roman" w:eastAsia="Times New Roman" w:hint="default"/>
          <w:spacing w:val="-4"/>
        </w:rPr>
        <w:t>1</w:t>
      </w:r>
      <w:r>
        <w:rPr>
          <w:spacing w:val="-4"/>
        </w:rPr>
        <w:t>）评价并测试管理层应收账款减值的内部控制，包括有关识别减值客观证据和计算减值准</w:t>
      </w:r>
      <w:r>
        <w:rPr>
          <w:w w:val="100"/>
        </w:rPr>
        <w:t> </w:t>
      </w:r>
      <w:r>
        <w:rPr/>
        <w:t>备的控制；</w:t>
      </w:r>
    </w:p>
    <w:p>
      <w:pPr>
        <w:pStyle w:val="BodyText"/>
        <w:spacing w:line="253" w:lineRule="exact"/>
        <w:ind w:right="0" w:firstLine="419"/>
        <w:jc w:val="left"/>
      </w:pPr>
      <w:r>
        <w:rPr>
          <w:spacing w:val="-4"/>
        </w:rPr>
        <w:t>（</w:t>
      </w:r>
      <w:r>
        <w:rPr>
          <w:rFonts w:ascii="Times New Roman" w:hAnsi="Times New Roman" w:cs="Times New Roman" w:eastAsia="Times New Roman" w:hint="default"/>
          <w:spacing w:val="-4"/>
        </w:rPr>
        <w:t>2</w:t>
      </w:r>
      <w:r>
        <w:rPr>
          <w:spacing w:val="-4"/>
        </w:rPr>
        <w:t>）了解管理层评估应收账款坏账准备时的判断和考虑的因素，分析管理层对应收账款坏账</w:t>
      </w:r>
    </w:p>
    <w:p>
      <w:pPr>
        <w:pStyle w:val="BodyText"/>
        <w:spacing w:line="272" w:lineRule="exact" w:before="19"/>
        <w:ind w:right="128"/>
        <w:jc w:val="both"/>
      </w:pPr>
      <w:r>
        <w:rPr>
          <w:spacing w:val="-1"/>
        </w:rPr>
        <w:t>准备会计估计的合理性，包括确定应收账款组合的依据、金额重大的判断、单独计提坏账准备的</w:t>
      </w:r>
      <w:r>
        <w:rPr>
          <w:spacing w:val="-55"/>
        </w:rPr>
        <w:t> </w:t>
      </w:r>
      <w:r>
        <w:rPr>
          <w:spacing w:val="-55"/>
        </w:rPr>
      </w:r>
      <w:r>
        <w:rPr/>
        <w:t>判断等；</w:t>
      </w:r>
    </w:p>
    <w:p>
      <w:pPr>
        <w:pStyle w:val="BodyText"/>
        <w:spacing w:line="255" w:lineRule="exact"/>
        <w:ind w:left="558" w:right="0"/>
        <w:jc w:val="left"/>
      </w:pPr>
      <w:r>
        <w:rPr/>
        <w:t>（</w:t>
      </w:r>
      <w:r>
        <w:rPr>
          <w:rFonts w:ascii="Times New Roman" w:hAnsi="Times New Roman" w:cs="Times New Roman" w:eastAsia="Times New Roman" w:hint="default"/>
        </w:rPr>
        <w:t>3</w:t>
      </w:r>
      <w:r>
        <w:rPr/>
        <w:t>）检查管理层编制的应收账款账龄分析表的准确性；</w:t>
      </w:r>
    </w:p>
    <w:p>
      <w:pPr>
        <w:pStyle w:val="BodyText"/>
        <w:spacing w:line="230" w:lineRule="auto"/>
        <w:ind w:right="128" w:firstLine="419"/>
        <w:jc w:val="both"/>
      </w:pPr>
      <w:r>
        <w:rPr>
          <w:spacing w:val="-4"/>
        </w:rPr>
        <w:t>（</w:t>
      </w:r>
      <w:r>
        <w:rPr>
          <w:rFonts w:ascii="Times New Roman" w:hAnsi="Times New Roman" w:cs="Times New Roman" w:eastAsia="Times New Roman" w:hint="default"/>
          <w:spacing w:val="-4"/>
        </w:rPr>
        <w:t>4</w:t>
      </w:r>
      <w:r>
        <w:rPr>
          <w:spacing w:val="-4"/>
        </w:rPr>
        <w:t>）选取金额重大的应收账款，独立测试其可收回性。在评估应收款项的可回收性时，检查</w:t>
      </w:r>
      <w:r>
        <w:rPr>
          <w:w w:val="100"/>
        </w:rPr>
        <w:t> </w:t>
      </w:r>
      <w:r>
        <w:rPr>
          <w:spacing w:val="-1"/>
        </w:rPr>
        <w:t>相关的支持性证据，包括客户回函、期后收款、通过查询客户的工商登记信息了解客户性质、经</w:t>
      </w:r>
      <w:r>
        <w:rPr>
          <w:spacing w:val="-55"/>
        </w:rPr>
        <w:t> </w:t>
      </w:r>
      <w:r>
        <w:rPr>
          <w:spacing w:val="-55"/>
        </w:rPr>
      </w:r>
      <w:r>
        <w:rPr/>
        <w:t>营是否正常等信息；针对涉及诉讼的工程项目的应收款项，征询律师的意见。</w:t>
      </w:r>
    </w:p>
    <w:p>
      <w:pPr>
        <w:spacing w:line="240" w:lineRule="auto" w:before="4"/>
        <w:rPr>
          <w:rFonts w:ascii="宋体" w:hAnsi="宋体" w:cs="宋体" w:eastAsia="宋体" w:hint="default"/>
          <w:sz w:val="18"/>
          <w:szCs w:val="18"/>
        </w:rPr>
      </w:pPr>
    </w:p>
    <w:p>
      <w:pPr>
        <w:pStyle w:val="BodyText"/>
        <w:spacing w:line="274" w:lineRule="exact"/>
        <w:ind w:left="558" w:right="0"/>
        <w:jc w:val="left"/>
      </w:pPr>
      <w:r>
        <w:rPr/>
        <w:t>四、其他信息</w:t>
      </w:r>
    </w:p>
    <w:p>
      <w:pPr>
        <w:pStyle w:val="BodyText"/>
        <w:spacing w:line="272" w:lineRule="exact" w:before="27"/>
        <w:ind w:right="0" w:firstLine="419"/>
        <w:jc w:val="left"/>
      </w:pPr>
      <w:r>
        <w:rPr>
          <w:spacing w:val="-5"/>
        </w:rPr>
        <w:t>贵公司管理层（以下简称管理层）对其他信息负责。其他信息包括贵公司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年年度报告中</w:t>
      </w:r>
      <w:r>
        <w:rPr>
          <w:w w:val="100"/>
        </w:rPr>
        <w:t> </w:t>
      </w:r>
      <w:r>
        <w:rPr/>
        <w:t>涵盖的信息，但不包括财务报表和我们的审计报告。</w:t>
      </w:r>
    </w:p>
    <w:p>
      <w:pPr>
        <w:pStyle w:val="BodyText"/>
        <w:spacing w:line="272" w:lineRule="exact" w:before="1"/>
        <w:ind w:right="0" w:firstLine="419"/>
        <w:jc w:val="left"/>
      </w:pPr>
      <w:r>
        <w:rPr>
          <w:spacing w:val="-2"/>
        </w:rPr>
        <w:t>我们对财务报表发表的审计意见并不涵盖其他信息，我们也不对其他信息发表任何形式的鉴</w:t>
      </w:r>
      <w:r>
        <w:rPr>
          <w:w w:val="100"/>
        </w:rPr>
        <w:t> </w:t>
      </w:r>
      <w:r>
        <w:rPr/>
        <w:t>证结论。</w:t>
      </w:r>
    </w:p>
    <w:p>
      <w:pPr>
        <w:pStyle w:val="BodyText"/>
        <w:spacing w:line="272" w:lineRule="exact" w:before="1"/>
        <w:ind w:right="0"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246" w:lineRule="exact"/>
        <w:ind w:left="558" w:right="0"/>
        <w:jc w:val="left"/>
      </w:pPr>
      <w:r>
        <w:rPr/>
        <w:t>基于我们已执行的工作，如果我们确定其他信息存在重大错报，我们应当报告该事实。在这</w:t>
      </w:r>
    </w:p>
    <w:p>
      <w:pPr>
        <w:pStyle w:val="BodyText"/>
        <w:spacing w:line="274" w:lineRule="exact"/>
        <w:ind w:right="0"/>
        <w:jc w:val="left"/>
      </w:pPr>
      <w:r>
        <w:rPr/>
        <w:t>方面，我们无任何事项需要报告。</w:t>
      </w:r>
    </w:p>
    <w:p>
      <w:pPr>
        <w:spacing w:line="240" w:lineRule="auto" w:before="3"/>
        <w:rPr>
          <w:rFonts w:ascii="宋体" w:hAnsi="宋体" w:cs="宋体" w:eastAsia="宋体" w:hint="default"/>
          <w:sz w:val="18"/>
          <w:szCs w:val="18"/>
        </w:rPr>
      </w:pPr>
    </w:p>
    <w:p>
      <w:pPr>
        <w:pStyle w:val="BodyText"/>
        <w:spacing w:line="240" w:lineRule="auto"/>
        <w:ind w:left="558" w:right="0"/>
        <w:jc w:val="left"/>
      </w:pPr>
      <w:r>
        <w:rPr/>
        <w:t>五、管理层和治理层对财务报表的责任</w:t>
      </w:r>
      <w:r>
        <w:rPr>
          <w:w w:val="100"/>
        </w:rPr>
        <w:t> </w:t>
      </w:r>
      <w:r>
        <w:rPr>
          <w:spacing w:val="-2"/>
        </w:rPr>
        <w:t>管理层负责按照企业会计准则的规定编制财务报表，使其实现公允反映，并设计、执行和维</w:t>
      </w:r>
    </w:p>
    <w:p>
      <w:pPr>
        <w:pStyle w:val="BodyText"/>
        <w:spacing w:line="272" w:lineRule="exact" w:before="24"/>
        <w:ind w:left="558" w:right="0" w:hanging="420"/>
        <w:jc w:val="left"/>
      </w:pPr>
      <w:r>
        <w:rPr/>
        <w:t>护必要的内部控制，以使财务报表不存在由于舞弊或错误导致的重大错报。</w:t>
      </w:r>
      <w:r>
        <w:rPr>
          <w:w w:val="100"/>
        </w:rPr>
        <w:t> </w:t>
      </w:r>
      <w:r>
        <w:rPr>
          <w:spacing w:val="-7"/>
        </w:rPr>
        <w:t>在编制财务报表时，管理层负责评估贵公司的持续经营能力，披露与持续经营相关的事项（如</w:t>
      </w:r>
      <w:r>
        <w:rPr/>
      </w:r>
    </w:p>
    <w:p>
      <w:pPr>
        <w:pStyle w:val="BodyText"/>
        <w:spacing w:line="272" w:lineRule="exact" w:before="1"/>
        <w:ind w:left="558" w:right="0" w:hanging="420"/>
        <w:jc w:val="left"/>
      </w:pPr>
      <w:r>
        <w:rPr>
          <w:spacing w:val="-4"/>
          <w:w w:val="100"/>
        </w:rPr>
        <w:t>适用），并运用持续经营假设，除非管理层计划清算贵公司、终止运营或别无其他现实的选择。</w:t>
      </w:r>
      <w:r>
        <w:rPr>
          <w:spacing w:val="-101"/>
          <w:w w:val="100"/>
        </w:rPr>
        <w:t> </w:t>
      </w:r>
      <w:r>
        <w:rPr>
          <w:spacing w:val="-101"/>
          <w:w w:val="100"/>
        </w:rPr>
      </w:r>
      <w:r>
        <w:rPr/>
        <w:t>治理层负责监督贵公司的财务报告过程。</w:t>
      </w:r>
    </w:p>
    <w:p>
      <w:pPr>
        <w:spacing w:line="240" w:lineRule="auto" w:before="8"/>
        <w:rPr>
          <w:rFonts w:ascii="宋体" w:hAnsi="宋体" w:cs="宋体" w:eastAsia="宋体" w:hint="default"/>
          <w:sz w:val="18"/>
          <w:szCs w:val="18"/>
        </w:rPr>
      </w:pPr>
    </w:p>
    <w:p>
      <w:pPr>
        <w:pStyle w:val="BodyText"/>
        <w:spacing w:line="272" w:lineRule="exact"/>
        <w:ind w:left="558" w:right="0"/>
        <w:jc w:val="left"/>
      </w:pPr>
      <w:r>
        <w:rPr/>
        <w:t>六、注册会计师对财务报表审计的责任</w:t>
      </w:r>
      <w:r>
        <w:rPr>
          <w:w w:val="100"/>
        </w:rPr>
        <w:t> </w:t>
      </w:r>
      <w:r>
        <w:rPr>
          <w:spacing w:val="-2"/>
        </w:rPr>
        <w:t>我们的目标是对财务报表整体是否不存在由于舞弊或错误导致的重大错报获取合理保证，并</w:t>
      </w:r>
    </w:p>
    <w:p>
      <w:pPr>
        <w:pStyle w:val="BodyText"/>
        <w:spacing w:line="246" w:lineRule="exact"/>
        <w:ind w:right="0"/>
        <w:jc w:val="left"/>
      </w:pPr>
      <w:r>
        <w:rPr/>
        <w:t>出具包含审计意见的审计报告。合理保证是高水平的保证，但并不能保证按照审计准则执行的审</w:t>
      </w:r>
    </w:p>
    <w:p>
      <w:pPr>
        <w:pStyle w:val="BodyText"/>
        <w:spacing w:line="272" w:lineRule="exact" w:before="27"/>
        <w:ind w:right="128"/>
        <w:jc w:val="both"/>
      </w:pPr>
      <w:r>
        <w:rPr>
          <w:spacing w:val="-1"/>
        </w:rPr>
        <w:t>计在某一重大错报存在时总能发现。错报可能由于舞弊或错误导致，如果合理预期错报单独或汇</w:t>
      </w:r>
      <w:r>
        <w:rPr>
          <w:spacing w:val="-56"/>
        </w:rPr>
        <w:t> </w:t>
      </w:r>
      <w:r>
        <w:rPr>
          <w:spacing w:val="-56"/>
        </w:rPr>
      </w:r>
      <w:r>
        <w:rPr/>
        <w:t>总起来可能影响财务报表使用者依据财务报表作出的经济决策，则通常认为错报是重大的。</w:t>
      </w:r>
    </w:p>
    <w:p>
      <w:pPr>
        <w:pStyle w:val="BodyText"/>
        <w:spacing w:line="272" w:lineRule="exact" w:before="1"/>
        <w:ind w:right="0" w:firstLine="419"/>
        <w:jc w:val="left"/>
      </w:pPr>
      <w:r>
        <w:rPr>
          <w:spacing w:val="-2"/>
        </w:rPr>
        <w:t>在按照审计准则执行审计工作的过程中，我们运用职业判断，并保持职业怀疑。同时，我们</w:t>
      </w:r>
      <w:r>
        <w:rPr>
          <w:w w:val="100"/>
        </w:rPr>
        <w:t> </w:t>
      </w:r>
      <w:r>
        <w:rPr/>
        <w:t>也执行以下工作：</w:t>
      </w:r>
    </w:p>
    <w:p>
      <w:pPr>
        <w:pStyle w:val="BodyText"/>
        <w:spacing w:line="272" w:lineRule="exact" w:before="1"/>
        <w:ind w:right="0" w:firstLine="419"/>
        <w:jc w:val="left"/>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p>
    <w:p>
      <w:pPr>
        <w:pStyle w:val="BodyText"/>
        <w:spacing w:line="272" w:lineRule="exact" w:before="1"/>
        <w:ind w:right="128"/>
        <w:jc w:val="both"/>
      </w:pP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7" w:lineRule="exact"/>
        <w:ind w:left="558" w:right="0"/>
        <w:jc w:val="left"/>
      </w:pPr>
      <w:r>
        <w:rPr/>
        <w:t>（二）了解与审计相关的内部控制，以设计恰当的审计程序。</w:t>
      </w:r>
    </w:p>
    <w:p>
      <w:pPr>
        <w:pStyle w:val="BodyText"/>
        <w:spacing w:line="273" w:lineRule="exact"/>
        <w:ind w:left="558" w:right="0"/>
        <w:jc w:val="left"/>
      </w:pPr>
      <w:r>
        <w:rPr/>
        <w:t>（三）评价管理层选用会计政策的恰当性和作出会计估计及相关披露的合理性。</w:t>
      </w:r>
    </w:p>
    <w:p>
      <w:pPr>
        <w:pStyle w:val="BodyText"/>
        <w:spacing w:line="237" w:lineRule="auto" w:before="2"/>
        <w:ind w:right="128" w:firstLine="419"/>
        <w:jc w:val="both"/>
      </w:pPr>
      <w:r>
        <w:rPr>
          <w:spacing w:val="-2"/>
        </w:rPr>
        <w:t>（四）对管理层使用持续经营假设的恰当性得出结论。同时，根据获取的审计证据，就可能</w:t>
      </w:r>
      <w:r>
        <w:rPr>
          <w:w w:val="100"/>
        </w:rPr>
        <w:t> </w:t>
      </w:r>
      <w:r>
        <w:rPr>
          <w:spacing w:val="-1"/>
        </w:rPr>
        <w:t>导致对贵公司持续经营能力产生重大疑虑的事项或情况是否存在重大不确定性得出结论。如果我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p>
    <w:p>
      <w:pPr>
        <w:spacing w:after="0" w:line="237"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240" w:lineRule="auto" w:before="36"/>
        <w:ind w:left="218" w:right="227"/>
        <w:jc w:val="left"/>
      </w:pP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日可获得的信息。然而，未来的事项或情况可能导致贵公司不能持续经营。</w:t>
      </w:r>
    </w:p>
    <w:p>
      <w:pPr>
        <w:pStyle w:val="BodyText"/>
        <w:spacing w:line="274" w:lineRule="exact" w:before="22"/>
        <w:ind w:left="218" w:right="227" w:firstLine="419"/>
        <w:jc w:val="left"/>
      </w:pPr>
      <w:r>
        <w:rPr>
          <w:spacing w:val="-7"/>
          <w:w w:val="100"/>
        </w:rPr>
        <w:t>（五）评价财务报表的总体列报、结构和内容（包括披露），并评价财务报表是否公允反映相</w:t>
      </w:r>
      <w:r>
        <w:rPr>
          <w:w w:val="100"/>
        </w:rPr>
        <w:t> </w:t>
      </w:r>
      <w:r>
        <w:rPr/>
        <w:t>关交易和事项。</w:t>
      </w:r>
    </w:p>
    <w:p>
      <w:pPr>
        <w:pStyle w:val="BodyText"/>
        <w:spacing w:line="245" w:lineRule="exact"/>
        <w:ind w:left="638" w:right="0"/>
        <w:jc w:val="left"/>
      </w:pPr>
      <w:r>
        <w:rPr/>
        <w:t>（六）就贵公司中实体或业务活动的财务信息获取充分、恰当的审计证据，以对财务报表发</w:t>
      </w:r>
    </w:p>
    <w:p>
      <w:pPr>
        <w:pStyle w:val="BodyText"/>
        <w:spacing w:line="272" w:lineRule="exact" w:before="27"/>
        <w:ind w:left="638" w:right="227" w:hanging="420"/>
        <w:jc w:val="left"/>
      </w:pPr>
      <w:r>
        <w:rPr/>
        <w:t>表审计意见。我们负责指导、监督和执行集团审计，并对审计意见承担全部责任。</w:t>
      </w:r>
      <w:r>
        <w:rPr>
          <w:w w:val="100"/>
        </w:rPr>
        <w:t> </w:t>
      </w:r>
      <w:r>
        <w:rPr>
          <w:spacing w:val="-2"/>
        </w:rPr>
        <w:t>我们与治理层就计划的审计范围、时间安排和重大审计发现等事项进行沟通，包括沟通我们</w:t>
      </w:r>
    </w:p>
    <w:p>
      <w:pPr>
        <w:pStyle w:val="BodyText"/>
        <w:spacing w:line="272" w:lineRule="exact" w:before="1"/>
        <w:ind w:left="638" w:right="227" w:hanging="420"/>
        <w:jc w:val="left"/>
      </w:pPr>
      <w:r>
        <w:rPr/>
        <w:t>在审计中识别出的值得关注的内部控制缺陷。</w:t>
      </w:r>
      <w:r>
        <w:rPr>
          <w:w w:val="100"/>
        </w:rPr>
        <w:t> </w:t>
      </w:r>
      <w:r>
        <w:rPr>
          <w:spacing w:val="-2"/>
        </w:rPr>
        <w:t>我们还就遵守与独立性相关的职业道德要求向治理层提供声明，并与治理层沟通可能被合理</w:t>
      </w:r>
    </w:p>
    <w:p>
      <w:pPr>
        <w:pStyle w:val="BodyText"/>
        <w:spacing w:line="272" w:lineRule="exact" w:before="1"/>
        <w:ind w:left="638" w:right="227" w:hanging="420"/>
        <w:jc w:val="left"/>
      </w:pPr>
      <w:r>
        <w:rPr>
          <w:spacing w:val="-5"/>
          <w:w w:val="100"/>
        </w:rPr>
        <w:t>认为影响我们独立性的所有关系和其他事项，以及相关的防范措施（如适用）。</w:t>
      </w:r>
      <w:r>
        <w:rPr>
          <w:spacing w:val="-84"/>
          <w:w w:val="100"/>
        </w:rPr>
        <w:t> </w:t>
      </w:r>
      <w:r>
        <w:rPr>
          <w:spacing w:val="-84"/>
          <w:w w:val="100"/>
        </w:rPr>
      </w:r>
      <w:r>
        <w:rPr>
          <w:spacing w:val="-2"/>
        </w:rPr>
        <w:t>从与治理层沟通过的事项中，我们确定哪些事项对本期财务报表审计最为重要，因而构成关</w:t>
      </w:r>
    </w:p>
    <w:p>
      <w:pPr>
        <w:pStyle w:val="BodyText"/>
        <w:spacing w:line="272" w:lineRule="exact" w:before="1"/>
        <w:ind w:left="218" w:right="227"/>
        <w:jc w:val="left"/>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p>
    <w:p>
      <w:pPr>
        <w:pStyle w:val="BodyText"/>
        <w:spacing w:line="249" w:lineRule="exact"/>
        <w:ind w:left="218" w:right="2465"/>
        <w:jc w:val="left"/>
      </w:pP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5261" w:val="left" w:leader="none"/>
        </w:tabs>
        <w:spacing w:line="273" w:lineRule="exact"/>
        <w:ind w:left="640" w:right="227"/>
        <w:jc w:val="left"/>
      </w:pPr>
      <w:r>
        <w:rPr>
          <w:spacing w:val="-2"/>
        </w:rPr>
        <w:t>大信会计师事务所（特殊普通合伙）</w:t>
        <w:tab/>
        <w:t>中国注册会计师：舒铭</w:t>
      </w:r>
      <w:r>
        <w:rPr/>
      </w:r>
    </w:p>
    <w:p>
      <w:pPr>
        <w:pStyle w:val="BodyText"/>
        <w:spacing w:line="273" w:lineRule="exact"/>
        <w:ind w:left="5470" w:right="227"/>
        <w:jc w:val="left"/>
      </w:pPr>
      <w:r>
        <w:rPr/>
        <w:t>（项目合伙人）</w:t>
      </w:r>
    </w:p>
    <w:p>
      <w:pPr>
        <w:spacing w:line="240" w:lineRule="auto" w:before="6"/>
        <w:rPr>
          <w:rFonts w:ascii="宋体" w:hAnsi="宋体" w:cs="宋体" w:eastAsia="宋体" w:hint="default"/>
          <w:sz w:val="18"/>
          <w:szCs w:val="18"/>
        </w:rPr>
      </w:pPr>
    </w:p>
    <w:p>
      <w:pPr>
        <w:pStyle w:val="BodyText"/>
        <w:tabs>
          <w:tab w:pos="5213" w:val="left" w:leader="none"/>
        </w:tabs>
        <w:spacing w:line="240" w:lineRule="auto"/>
        <w:ind w:left="1955" w:right="227"/>
        <w:jc w:val="left"/>
      </w:pPr>
      <w:r>
        <w:rPr/>
        <w:t>中国 •</w:t>
      </w:r>
      <w:r>
        <w:rPr>
          <w:spacing w:val="1"/>
        </w:rPr>
        <w:t> </w:t>
      </w:r>
      <w:r>
        <w:rPr/>
        <w:t>北京</w:t>
        <w:tab/>
        <w:t>中国注册会计师：陈伟</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230"/>
        <w:jc w:val="right"/>
      </w:pPr>
      <w:r>
        <w:rPr>
          <w:spacing w:val="-2"/>
        </w:rPr>
        <w:t>二○一八年四月十八日</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pStyle w:val="Heading3"/>
        <w:spacing w:line="240" w:lineRule="auto"/>
        <w:ind w:left="218"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宁波建工股份有限公司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3"/>
        <w:spacing w:line="273" w:lineRule="exact" w:before="0"/>
        <w:ind w:left="215" w:right="0"/>
        <w:jc w:val="center"/>
        <w:rPr>
          <w:b w:val="0"/>
          <w:bCs w:val="0"/>
        </w:rPr>
      </w:pPr>
      <w:r>
        <w:rPr/>
        <w:t>合并资产负债表</w:t>
      </w:r>
      <w:r>
        <w:rPr>
          <w:b w:val="0"/>
          <w:bCs w:val="0"/>
        </w:rPr>
      </w:r>
    </w:p>
    <w:p>
      <w:pPr>
        <w:pStyle w:val="BodyText"/>
        <w:spacing w:line="289" w:lineRule="exact"/>
        <w:ind w:left="218" w:right="0"/>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324" w:space="226"/>
            <w:col w:w="195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2,341,871,737.78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1,724,667,399.79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159,046,648.18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54,062,350.66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3,296,680,781.96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3,974,361,502.28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394,047,751.87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511,588,762.87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1,089,728,773.44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981,300,818.53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4,736,059,243.11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4,136,528,851.29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0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141,006,291.25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51,348,173.65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12,158,441,227.59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11,433,857,859.07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88,300,000.00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126,300,000.00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120,092,229.73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142,290,899.83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37,394,039.41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41,825,773.56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835,923,888.93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583,313,959.64</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23,839,845.10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88,084,897.87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279,108,443.07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255,248,009.30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194,898,127.44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194,898,127.44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2,188,064.30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2,041,263.11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162,078,926.17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156,232,418.59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12,553,217.94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9,626,405.06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1,756,376,782.09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1,599,861,754.40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13,914,818,009.68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13,033,719,613.47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3,919,426,675.20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3,726,620,000.00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448,683,228.01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356,816,926.60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4,619,941,521.87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4,405,601,810.85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302,698,173.94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243,703,966.31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43,713,710.65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32,909,363.10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65,163,423.15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82,158,620.75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7,271,760.20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6,384,562.73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989,545.89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989,545.89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1,067,549,885.21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1,277,158,824.47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0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52,500,000.00</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245,229,277.66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137,093,979.06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10,872,667,201.78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10,321,937,599.76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27,928,452.23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28,698,284.84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324,328,452.23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160,098,284.84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11,196,995,654.01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10,482,035,884.60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976,080,000.00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976,080,000.00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515,679,099.70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515,771,014.05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-1,464,741.32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-357,706.35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2,921,158.40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4,246,982.81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96,536,312.05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75,726,390.27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995,146,520.93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870,352,713.91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2,584,898,349.76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2,441,819,394.69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132,924,005.91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109,864,334.18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2,717,822,355.67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2,551,683,728.87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13,914,818,009.68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13,033,719,613.47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227"/>
        <w:jc w:val="left"/>
      </w:pPr>
      <w:r>
        <w:rPr/>
        <w:t>法定代表人：徐文卫 主管会计工作负责人：李长春</w:t>
      </w:r>
      <w:r>
        <w:rPr>
          <w:spacing w:val="-6"/>
        </w:rPr>
        <w:t> </w:t>
      </w:r>
      <w:r>
        <w:rPr/>
        <w:t>会计机构负责人：王菊侠</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4"/>
          <w:pgSz w:w="11910" w:h="16840"/>
          <w:pgMar w:footer="1195" w:header="877"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left="218" w:right="0"/>
        <w:jc w:val="left"/>
      </w:pPr>
      <w:r>
        <w:rPr>
          <w:spacing w:val="-2"/>
        </w:rPr>
        <w:t>编制单位</w:t>
      </w:r>
      <w:r>
        <w:rPr>
          <w:rFonts w:ascii="Times New Roman" w:hAnsi="Times New Roman" w:cs="Times New Roman" w:eastAsia="Times New Roman" w:hint="default"/>
          <w:spacing w:val="-2"/>
        </w:rPr>
        <w:t>:</w:t>
      </w:r>
      <w:r>
        <w:rPr>
          <w:spacing w:val="-2"/>
        </w:rPr>
        <w:t>宁波建工股份有限公司</w:t>
      </w:r>
    </w:p>
    <w:p>
      <w:pPr>
        <w:pStyle w:val="Heading3"/>
        <w:spacing w:line="274" w:lineRule="exact"/>
        <w:ind w:left="239" w:right="-16"/>
        <w:jc w:val="left"/>
        <w:rPr>
          <w:b w:val="0"/>
          <w:bCs w:val="0"/>
        </w:rPr>
      </w:pPr>
      <w:r>
        <w:rPr>
          <w:b w:val="0"/>
          <w:bCs w:val="0"/>
        </w:rPr>
        <w:br w:type="column"/>
      </w:r>
      <w:r>
        <w:rPr/>
        <w:t>母公司资产负债表</w:t>
      </w:r>
      <w:r>
        <w:rPr>
          <w:b w:val="0"/>
          <w:bCs w:val="0"/>
        </w:rPr>
      </w:r>
    </w:p>
    <w:p>
      <w:pPr>
        <w:pStyle w:val="BodyText"/>
        <w:spacing w:line="290" w:lineRule="exact"/>
        <w:ind w:left="218"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221" w:space="329"/>
            <w:col w:w="195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173,718,759.09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107,386,037.40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十五、</w:t>
            </w:r>
            <w:r>
              <w:rPr>
                <w:rFonts w:ascii="Times New Roman" w:hAnsi="Times New Roman" w:cs="Times New Roman" w:eastAsia="Times New Roman"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155,012,721.37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221,420,492.29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17,393,821.17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7,540,176.29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15,780,900.00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5,150,304.00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十五、</w:t>
            </w:r>
            <w:r>
              <w:rPr>
                <w:rFonts w:ascii="Times New Roman" w:hAnsi="Times New Roman" w:cs="Times New Roman" w:eastAsia="Times New Roman"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165,927,037.20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189,908,962.40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212,502,297.52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198,680,095.76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1,982,157.12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2,904,238.24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742,317,693.47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732,990,306.38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126,000,000.00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十五、</w:t>
            </w:r>
            <w:r>
              <w:rPr>
                <w:rFonts w:ascii="Times New Roman" w:hAnsi="Times New Roman" w:cs="Times New Roman" w:eastAsia="Times New Roman"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2,636,433,383.27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2,357,712,904.49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42,829,969.46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44,412,879.10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46,390,476.94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47,799,796.42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38,116,254.20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37,814,201.97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2,851,770,083.87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2,613,739,781.98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3,594,087,777.34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3,346,730,088.36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880,342,675.20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778,000,000.00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229,225,027.26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248,769,077.87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41,608,713.63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19,900,916.95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58,554.02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762,875.02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701,918.96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65,851.87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1,375,893.75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1,001,020.83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312,953,608.60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309,411,902.80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9,097,029.95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9,867,704.85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1,475,363,421.37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1,367,779,350.19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100,000,000.00</w:t>
            </w:r>
          </w:p>
        </w:tc>
      </w:tr>
    </w:tbl>
    <w:p>
      <w:pPr>
        <w:spacing w:after="0" w:line="237" w:lineRule="exact"/>
        <w:jc w:val="right"/>
        <w:rPr>
          <w:rFonts w:ascii="Times New Roman" w:hAnsi="Times New Roman" w:cs="Times New Roman" w:eastAsia="Times New Roman" w:hint="default"/>
          <w:sz w:val="21"/>
          <w:szCs w:val="21"/>
        </w:rPr>
        <w:sectPr>
          <w:footerReference w:type="default" r:id="rId35"/>
          <w:pgSz w:w="11910" w:h="16840"/>
          <w:pgMar w:footer="1195" w:header="877"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101,400,000.00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101,400,000.00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1,576,763,421.37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1,469,179,350.19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976,080,000.00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976,080,000.00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521,267,655.23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521,267,655.23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96,536,312.05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75,726,390.27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423,440,388.69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304,476,692.67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2,017,324,355.97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1,877,550,738.17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3,594,087,777.34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3,346,730,088.36</w:t>
            </w:r>
          </w:p>
        </w:tc>
      </w:tr>
    </w:tbl>
    <w:p>
      <w:pPr>
        <w:pStyle w:val="BodyText"/>
        <w:spacing w:line="241" w:lineRule="exact"/>
        <w:ind w:left="218" w:right="227"/>
        <w:jc w:val="left"/>
      </w:pPr>
      <w:r>
        <w:rPr/>
        <w:t>法定代表人：徐文卫 主管会计工作负责人：李长春</w:t>
      </w:r>
      <w:r>
        <w:rPr>
          <w:spacing w:val="-6"/>
        </w:rPr>
        <w:t> </w:t>
      </w:r>
      <w:r>
        <w:rPr/>
        <w:t>会计机构负责人：王菊侠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3"/>
        <w:spacing w:line="273" w:lineRule="exact"/>
        <w:ind w:left="0" w:right="233"/>
        <w:jc w:val="right"/>
        <w:rPr>
          <w:b w:val="0"/>
          <w:bCs w:val="0"/>
        </w:rPr>
      </w:pPr>
      <w:r>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14,746,271,174.48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13,695,796,802.68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14,746,271,174.48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13,695,796,802.68</w:t>
            </w:r>
          </w:p>
        </w:tc>
      </w:tr>
      <w:tr>
        <w:trPr>
          <w:trHeight w:val="28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14,449,358,930.46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13,439,978,795.16</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13,708,466,118.02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12,654,988,246.15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54,067,691.14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215,829,190.53</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19,463,630.36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7,947,416.54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430,671,509.59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353,493,078.04</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214,463,386.66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167,570,347.39</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22,226,594.69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40,150,516.51</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8"/>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11,136,965.85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-3,838,904.57</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-4,431,734.15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-4,212,504.57</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14"/>
                <w:sz w:val="21"/>
                <w:szCs w:val="21"/>
              </w:rPr>
              <w:t>资产处置收益（损失以“－”号填列）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1,097,362.04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110,275.84</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14,442,489.30</w:t>
            </w: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323,589,061.21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252,089,378.79</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2,706,630.41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28,883,833.25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4,419,754.91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1,401,483.24</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321,875,936.71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279,571,728.80</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103,551,705.62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74,077,106.19</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218,324,231.09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205,494,622.61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亏损</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218,323,496.26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206,008,509.94</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10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亏损</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734.83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-513,887.33</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4,394,902.29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10,108,091.08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213,929,328.80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195,386,531.53</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-1,299,839.46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2,752,258.61</w:t>
            </w:r>
          </w:p>
        </w:tc>
      </w:tr>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-1,107,034.97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2,612,068.78</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-1,107,034.97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2,612,068.78</w:t>
            </w:r>
          </w:p>
        </w:tc>
      </w:tr>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-1,107,034.97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2,612,068.78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-192,804.49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140,189.83</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217,024,391.63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208,246,881.22</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212,822,293.83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197,998,600.31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4,202,097.80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10,248,280.91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十六、</w:t>
            </w:r>
            <w:r>
              <w:rPr>
                <w:rFonts w:ascii="宋体" w:hAnsi="宋体" w:cs="宋体" w:eastAsia="宋体" w:hint="default"/>
                <w:spacing w:val="-3"/>
                <w:sz w:val="21"/>
                <w:szCs w:val="21"/>
              </w:rPr>
              <w:t>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0.2192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0.2002</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left="218" w:right="227"/>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 </w:t>
      </w:r>
      <w:r>
        <w:rPr/>
        <w:t>元</w:t>
      </w:r>
      <w:r>
        <w:rPr>
          <w:rFonts w:ascii="Times New Roman" w:hAnsi="Times New Roman" w:cs="Times New Roman" w:eastAsia="Times New Roman" w:hint="default"/>
        </w:rPr>
        <w:t>,</w:t>
      </w:r>
      <w:r>
        <w:rPr/>
        <w:t>上期被合并方实现的</w:t>
      </w:r>
      <w:r>
        <w:rPr>
          <w:spacing w:val="-101"/>
        </w:rPr>
        <w:t> </w:t>
      </w:r>
      <w:r>
        <w:rPr>
          <w:spacing w:val="-101"/>
        </w:rPr>
      </w:r>
      <w:r>
        <w:rPr/>
        <w:t>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spacing w:val="-3"/>
        </w:rPr>
        <w:t>元。</w:t>
      </w:r>
      <w:r>
        <w:rPr/>
      </w:r>
    </w:p>
    <w:p>
      <w:pPr>
        <w:pStyle w:val="BodyText"/>
        <w:spacing w:line="249" w:lineRule="exact"/>
        <w:ind w:left="218" w:right="227"/>
        <w:jc w:val="left"/>
      </w:pPr>
      <w:r>
        <w:rPr/>
        <w:t>法定代表人：徐文卫 主管会计工作负责人：李长春</w:t>
      </w:r>
      <w:r>
        <w:rPr>
          <w:spacing w:val="-6"/>
        </w:rPr>
        <w:t> </w:t>
      </w:r>
      <w:r>
        <w:rPr/>
        <w:t>会计机构负责人：王菊侠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580" w:right="1040"/>
        </w:sectPr>
      </w:pPr>
    </w:p>
    <w:p>
      <w:pPr>
        <w:pStyle w:val="Heading3"/>
        <w:spacing w:line="275"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十五、</w:t>
            </w:r>
            <w:r>
              <w:rPr>
                <w:rFonts w:ascii="Times New Roman" w:hAnsi="Times New Roman" w:cs="Times New Roman" w:eastAsia="Times New Roman"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410,298,863.31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524,105,423.87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十五、</w:t>
            </w:r>
            <w:r>
              <w:rPr>
                <w:rFonts w:ascii="Times New Roman" w:hAnsi="Times New Roman" w:cs="Times New Roman" w:eastAsia="Times New Roman"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367,511,350.12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527,335,249.10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2,461,968.85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8,552,982.41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466,966.22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258,857.86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18,806,070.71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23,107,083.17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50,015,772.91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35,903,557.91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-755,132.26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-34,995,346.15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2"/>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十五、</w:t>
            </w:r>
            <w:r>
              <w:rPr>
                <w:rFonts w:ascii="Times New Roman" w:hAnsi="Times New Roman" w:cs="Times New Roman" w:eastAsia="Times New Roman"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236,701,374.11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13,592,195.43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-4,213,521.22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-4,212,504.57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495,139.10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208,988,379.97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-22,464,765.00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109,753.05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7,023,446.72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848,600.54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31,913.60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208,249,532.48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-15,473,231.88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150,314.68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-8,000,383.86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208,099,217.80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-7,472,848.02</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5"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208,099,217.80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5"/>
              <w:jc w:val="right"/>
              <w:rPr>
                <w:rFonts w:ascii="Times New Roman" w:hAnsi="Times New Roman" w:cs="Times New Roman" w:eastAsia="Times New Roman" w:hint="default"/>
                <w:sz w:val="21"/>
                <w:szCs w:val="21"/>
              </w:rPr>
            </w:pPr>
            <w:r>
              <w:rPr>
                <w:rFonts w:ascii="Times New Roman"/>
                <w:spacing w:val="-1"/>
                <w:sz w:val="21"/>
              </w:rPr>
              <w:t>-7,472,848.02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重新计量设定受益计划净负债或净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6"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权益法下在被投资单位以后将重分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持有至到期投资重分类为可供出售</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208,099,217.80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-7,472,848.02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0.2132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-0.0077</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27"/>
        <w:jc w:val="left"/>
      </w:pPr>
      <w:r>
        <w:rPr/>
        <w:t>法定代表人：徐文卫 主管会计工作负责人：李长春</w:t>
      </w:r>
      <w:r>
        <w:rPr>
          <w:spacing w:val="-6"/>
        </w:rPr>
        <w:t> </w:t>
      </w:r>
      <w:r>
        <w:rPr/>
        <w:t>会计机构负责人：王菊侠</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95" w:top="1100" w:bottom="1380" w:left="1580" w:right="1040"/>
        </w:sectPr>
      </w:pPr>
    </w:p>
    <w:p>
      <w:pPr>
        <w:pStyle w:val="Heading3"/>
        <w:spacing w:line="273" w:lineRule="exact"/>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16,912,856,624.21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13,226,821,746.76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1,453,595.07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959,412.31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30"/>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49</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703,377,185.40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860,156,612.81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17,617,687,404.68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14,087,937,771.88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14,837,833,546.97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11,823,443,220.99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454,865,515.28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407,482,258.48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476,165,912.28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528,194,484.26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30"/>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49</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1,364,046,964.67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929,218,231.27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17,132,911,939.20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13,688,338,195.00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484,775,465.48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399,599,576.88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6,468,700.00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373,600.00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17,700,554.42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912,827.50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62,169,254.42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1,286,427.50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316,744,878.80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47,422,908.19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45,050,000.00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316,744,878.80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92,472,908.19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-254,575,624.38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-91,186,480.69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50,694,500.00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50,694,500.00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5,849,226,205.20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5,025,590,000.00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49</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6,019,920,705.20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5,025,590,000.00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5,511,919,530.00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4,703,020,000.00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284,526,688.64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237,815,347.40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3,792,875.00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3,421,000.00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49</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31,321,500.11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5,827,767,718.75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4,940,835,347.40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192,152,986.45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84,754,652.60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422,352,826.29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393,167,748.79</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1,652,249,118.52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1,259,081,369.73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2,074,601,944.81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1,652,249,118.52</w:t>
            </w:r>
          </w:p>
        </w:tc>
      </w:tr>
    </w:tbl>
    <w:p>
      <w:pPr>
        <w:spacing w:line="240" w:lineRule="auto" w:before="13"/>
        <w:rPr>
          <w:rFonts w:ascii="宋体" w:hAnsi="宋体" w:cs="宋体" w:eastAsia="宋体" w:hint="default"/>
          <w:sz w:val="12"/>
          <w:szCs w:val="12"/>
        </w:rPr>
      </w:pPr>
    </w:p>
    <w:p>
      <w:pPr>
        <w:pStyle w:val="BodyText"/>
        <w:spacing w:line="240" w:lineRule="auto" w:before="36"/>
        <w:ind w:left="218" w:right="227"/>
        <w:jc w:val="left"/>
      </w:pPr>
      <w:r>
        <w:rPr/>
        <w:t>法定代表人：徐文卫 主管会计工作负责人：李长春</w:t>
      </w:r>
      <w:r>
        <w:rPr>
          <w:spacing w:val="-6"/>
        </w:rPr>
        <w:t> </w:t>
      </w:r>
      <w:r>
        <w:rPr/>
        <w:t>会计机构负责人：王菊侠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3"/>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515,290,315.30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889,926,836.36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36,095,574.67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62,161,018.44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551,385,889.97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952,087,854.80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420,848,846.96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756,041,901.67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7,003,065.24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5,562,858.39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4,572,209.12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27,726,750.70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11,832,778.02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176,294,699.51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444,256,899.34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965,626,210.27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107,128,990.63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-13,538,355.47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39,050,975.33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10,237,500.00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221,233,324.00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18,178,700.00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303.00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260,284,299.33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28,416,503.00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540,485.37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11,580.00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283,934,000.00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310,000,000.00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284,474,485.37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310,011,580.00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-24,190,186.04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-281,595,077.00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1,170,342,675.20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1,208,000,000.00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1,170,342,675.20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1,208,000,000.00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1,068,000,000.00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970,000,000.00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118,948,758.10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95,253,020.45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1,186,948,758.10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1,065,253,020.45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-16,606,082.90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142,746,979.55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66,332,721.69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-152,386,452.92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107,386,037.40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259,772,490.32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173,718,759.09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107,386,037.40</w:t>
            </w:r>
          </w:p>
        </w:tc>
      </w:tr>
    </w:tbl>
    <w:p>
      <w:pPr>
        <w:pStyle w:val="BodyText"/>
        <w:spacing w:line="241" w:lineRule="exact"/>
        <w:ind w:left="218" w:right="227"/>
        <w:jc w:val="left"/>
      </w:pPr>
      <w:r>
        <w:rPr/>
        <w:t>法定代表人：徐文卫 主管会计工作负责人：李长春</w:t>
      </w:r>
      <w:r>
        <w:rPr>
          <w:spacing w:val="-6"/>
        </w:rPr>
        <w:t> </w:t>
      </w:r>
      <w:r>
        <w:rPr/>
        <w:t>会计机构负责人：王菊侠</w:t>
      </w:r>
    </w:p>
    <w:p>
      <w:pPr>
        <w:spacing w:after="0" w:line="241" w:lineRule="exact"/>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36"/>
          <w:footerReference w:type="default" r:id="rId37"/>
          <w:pgSz w:w="16840" w:h="11910" w:orient="landscape"/>
          <w:pgMar w:header="882" w:footer="1195" w:top="1120" w:bottom="1380" w:left="1280" w:right="1300"/>
          <w:pgNumType w:start="78"/>
        </w:sectPr>
      </w:pPr>
    </w:p>
    <w:p>
      <w:pPr>
        <w:pStyle w:val="Heading3"/>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280" w:right="1300"/>
          <w:cols w:num="2" w:equalWidth="0">
            <w:col w:w="8142" w:space="40"/>
            <w:col w:w="6078"/>
          </w:cols>
        </w:sectPr>
      </w:pPr>
    </w:p>
    <w:tbl>
      <w:tblPr>
        <w:tblW w:w="0" w:type="auto"/>
        <w:jc w:val="left"/>
        <w:tblInd w:w="10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53"/>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53"/>
              <w:ind w:left="271" w:right="180"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3"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2"/>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92"/>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2"/>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5"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976,080</w:t>
            </w:r>
          </w:p>
          <w:p>
            <w:pPr>
              <w:pStyle w:val="TableParagraph"/>
              <w:spacing w:line="234" w:lineRule="exact"/>
              <w:ind w:left="107"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515,771</w:t>
            </w:r>
          </w:p>
          <w:p>
            <w:pPr>
              <w:pStyle w:val="TableParagraph"/>
              <w:spacing w:line="234" w:lineRule="exact"/>
              <w:ind w:left="124" w:right="0"/>
              <w:jc w:val="left"/>
              <w:rPr>
                <w:rFonts w:ascii="宋体" w:hAnsi="宋体" w:cs="宋体" w:eastAsia="宋体" w:hint="default"/>
                <w:sz w:val="18"/>
                <w:szCs w:val="18"/>
              </w:rPr>
            </w:pPr>
            <w:r>
              <w:rPr>
                <w:rFonts w:ascii="宋体"/>
                <w:sz w:val="18"/>
              </w:rPr>
              <w:t>,014.05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-357,70</w:t>
            </w:r>
          </w:p>
          <w:p>
            <w:pPr>
              <w:pStyle w:val="TableParagraph"/>
              <w:spacing w:line="234" w:lineRule="exact"/>
              <w:ind w:left="405" w:right="0"/>
              <w:jc w:val="left"/>
              <w:rPr>
                <w:rFonts w:ascii="宋体" w:hAnsi="宋体" w:cs="宋体" w:eastAsia="宋体" w:hint="default"/>
                <w:sz w:val="18"/>
                <w:szCs w:val="18"/>
              </w:rPr>
            </w:pPr>
            <w:r>
              <w:rPr>
                <w:rFonts w:ascii="宋体"/>
                <w:sz w:val="18"/>
              </w:rPr>
              <w:t>6.35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4,246,9</w:t>
            </w:r>
          </w:p>
          <w:p>
            <w:pPr>
              <w:pStyle w:val="TableParagraph"/>
              <w:spacing w:line="234" w:lineRule="exact"/>
              <w:ind w:left="190" w:right="0"/>
              <w:jc w:val="center"/>
              <w:rPr>
                <w:rFonts w:ascii="宋体" w:hAnsi="宋体" w:cs="宋体" w:eastAsia="宋体" w:hint="default"/>
                <w:sz w:val="18"/>
                <w:szCs w:val="18"/>
              </w:rPr>
            </w:pPr>
            <w:r>
              <w:rPr>
                <w:rFonts w:ascii="宋体"/>
                <w:sz w:val="18"/>
              </w:rPr>
              <w:t>82.81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75,726,</w:t>
            </w:r>
          </w:p>
          <w:p>
            <w:pPr>
              <w:pStyle w:val="TableParagraph"/>
              <w:spacing w:line="234" w:lineRule="exact"/>
              <w:ind w:left="218" w:right="0"/>
              <w:jc w:val="left"/>
              <w:rPr>
                <w:rFonts w:ascii="宋体" w:hAnsi="宋体" w:cs="宋体" w:eastAsia="宋体" w:hint="default"/>
                <w:sz w:val="18"/>
                <w:szCs w:val="18"/>
              </w:rPr>
            </w:pPr>
            <w:r>
              <w:rPr>
                <w:rFonts w:ascii="宋体"/>
                <w:sz w:val="18"/>
              </w:rPr>
              <w:t>390.27</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870,352</w:t>
            </w:r>
          </w:p>
          <w:p>
            <w:pPr>
              <w:pStyle w:val="TableParagraph"/>
              <w:spacing w:line="234" w:lineRule="exact"/>
              <w:ind w:left="129" w:right="0"/>
              <w:jc w:val="left"/>
              <w:rPr>
                <w:rFonts w:ascii="宋体" w:hAnsi="宋体" w:cs="宋体" w:eastAsia="宋体" w:hint="default"/>
                <w:sz w:val="18"/>
                <w:szCs w:val="18"/>
              </w:rPr>
            </w:pPr>
            <w:r>
              <w:rPr>
                <w:rFonts w:ascii="宋体"/>
                <w:sz w:val="18"/>
              </w:rPr>
              <w:t>,713.91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109,864,3</w:t>
            </w:r>
          </w:p>
          <w:p>
            <w:pPr>
              <w:pStyle w:val="TableParagraph"/>
              <w:spacing w:line="234" w:lineRule="exact"/>
              <w:ind w:left="537" w:right="0"/>
              <w:jc w:val="left"/>
              <w:rPr>
                <w:rFonts w:ascii="宋体" w:hAnsi="宋体" w:cs="宋体" w:eastAsia="宋体" w:hint="default"/>
                <w:sz w:val="18"/>
                <w:szCs w:val="18"/>
              </w:rPr>
            </w:pPr>
            <w:r>
              <w:rPr>
                <w:rFonts w:ascii="宋体"/>
                <w:sz w:val="18"/>
              </w:rPr>
              <w:t>34.18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2,551,683</w:t>
            </w:r>
          </w:p>
          <w:p>
            <w:pPr>
              <w:pStyle w:val="TableParagraph"/>
              <w:spacing w:line="234" w:lineRule="exact"/>
              <w:ind w:left="248" w:right="0"/>
              <w:jc w:val="center"/>
              <w:rPr>
                <w:rFonts w:ascii="宋体" w:hAnsi="宋体" w:cs="宋体" w:eastAsia="宋体" w:hint="default"/>
                <w:sz w:val="18"/>
                <w:szCs w:val="18"/>
              </w:rPr>
            </w:pPr>
            <w:r>
              <w:rPr>
                <w:rFonts w:ascii="宋体"/>
                <w:sz w:val="18"/>
              </w:rPr>
              <w:t>,728.87</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976,080</w:t>
            </w:r>
          </w:p>
          <w:p>
            <w:pPr>
              <w:pStyle w:val="TableParagraph"/>
              <w:spacing w:line="240" w:lineRule="auto"/>
              <w:ind w:left="107"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515,771</w:t>
            </w:r>
          </w:p>
          <w:p>
            <w:pPr>
              <w:pStyle w:val="TableParagraph"/>
              <w:spacing w:line="240" w:lineRule="auto"/>
              <w:ind w:left="124" w:right="0"/>
              <w:jc w:val="left"/>
              <w:rPr>
                <w:rFonts w:ascii="宋体" w:hAnsi="宋体" w:cs="宋体" w:eastAsia="宋体" w:hint="default"/>
                <w:sz w:val="18"/>
                <w:szCs w:val="18"/>
              </w:rPr>
            </w:pPr>
            <w:r>
              <w:rPr>
                <w:rFonts w:ascii="宋体"/>
                <w:sz w:val="18"/>
              </w:rPr>
              <w:t>,014.05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-357,70</w:t>
            </w:r>
          </w:p>
          <w:p>
            <w:pPr>
              <w:pStyle w:val="TableParagraph"/>
              <w:spacing w:line="240" w:lineRule="auto"/>
              <w:ind w:left="405" w:right="0"/>
              <w:jc w:val="left"/>
              <w:rPr>
                <w:rFonts w:ascii="宋体" w:hAnsi="宋体" w:cs="宋体" w:eastAsia="宋体" w:hint="default"/>
                <w:sz w:val="18"/>
                <w:szCs w:val="18"/>
              </w:rPr>
            </w:pPr>
            <w:r>
              <w:rPr>
                <w:rFonts w:ascii="宋体"/>
                <w:sz w:val="18"/>
              </w:rPr>
              <w:t>6.35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4,246,9</w:t>
            </w:r>
          </w:p>
          <w:p>
            <w:pPr>
              <w:pStyle w:val="TableParagraph"/>
              <w:spacing w:line="240" w:lineRule="auto"/>
              <w:ind w:left="190" w:right="0"/>
              <w:jc w:val="center"/>
              <w:rPr>
                <w:rFonts w:ascii="宋体" w:hAnsi="宋体" w:cs="宋体" w:eastAsia="宋体" w:hint="default"/>
                <w:sz w:val="18"/>
                <w:szCs w:val="18"/>
              </w:rPr>
            </w:pPr>
            <w:r>
              <w:rPr>
                <w:rFonts w:ascii="宋体"/>
                <w:sz w:val="18"/>
              </w:rPr>
              <w:t>82.81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75,726,</w:t>
            </w:r>
          </w:p>
          <w:p>
            <w:pPr>
              <w:pStyle w:val="TableParagraph"/>
              <w:spacing w:line="240" w:lineRule="auto"/>
              <w:ind w:left="218" w:right="0"/>
              <w:jc w:val="left"/>
              <w:rPr>
                <w:rFonts w:ascii="宋体" w:hAnsi="宋体" w:cs="宋体" w:eastAsia="宋体" w:hint="default"/>
                <w:sz w:val="18"/>
                <w:szCs w:val="18"/>
              </w:rPr>
            </w:pPr>
            <w:r>
              <w:rPr>
                <w:rFonts w:ascii="宋体"/>
                <w:sz w:val="18"/>
              </w:rPr>
              <w:t>390.27</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870,352</w:t>
            </w:r>
          </w:p>
          <w:p>
            <w:pPr>
              <w:pStyle w:val="TableParagraph"/>
              <w:spacing w:line="240" w:lineRule="auto"/>
              <w:ind w:left="129" w:right="0"/>
              <w:jc w:val="left"/>
              <w:rPr>
                <w:rFonts w:ascii="宋体" w:hAnsi="宋体" w:cs="宋体" w:eastAsia="宋体" w:hint="default"/>
                <w:sz w:val="18"/>
                <w:szCs w:val="18"/>
              </w:rPr>
            </w:pPr>
            <w:r>
              <w:rPr>
                <w:rFonts w:ascii="宋体"/>
                <w:sz w:val="18"/>
              </w:rPr>
              <w:t>,713.91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109,864,3</w:t>
            </w:r>
          </w:p>
          <w:p>
            <w:pPr>
              <w:pStyle w:val="TableParagraph"/>
              <w:spacing w:line="240" w:lineRule="auto"/>
              <w:ind w:left="537" w:right="0"/>
              <w:jc w:val="left"/>
              <w:rPr>
                <w:rFonts w:ascii="宋体" w:hAnsi="宋体" w:cs="宋体" w:eastAsia="宋体" w:hint="default"/>
                <w:sz w:val="18"/>
                <w:szCs w:val="18"/>
              </w:rPr>
            </w:pPr>
            <w:r>
              <w:rPr>
                <w:rFonts w:ascii="宋体"/>
                <w:sz w:val="18"/>
              </w:rPr>
              <w:t>34.18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2,551,683</w:t>
            </w:r>
          </w:p>
          <w:p>
            <w:pPr>
              <w:pStyle w:val="TableParagraph"/>
              <w:spacing w:line="240" w:lineRule="auto"/>
              <w:ind w:left="248" w:right="0"/>
              <w:jc w:val="center"/>
              <w:rPr>
                <w:rFonts w:ascii="宋体" w:hAnsi="宋体" w:cs="宋体" w:eastAsia="宋体" w:hint="default"/>
                <w:sz w:val="18"/>
                <w:szCs w:val="18"/>
              </w:rPr>
            </w:pPr>
            <w:r>
              <w:rPr>
                <w:rFonts w:ascii="宋体"/>
                <w:sz w:val="18"/>
              </w:rPr>
              <w:t>,728.87</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-91,914</w:t>
            </w:r>
          </w:p>
          <w:p>
            <w:pPr>
              <w:pStyle w:val="TableParagraph"/>
              <w:spacing w:line="234" w:lineRule="exact"/>
              <w:ind w:left="484" w:right="0"/>
              <w:jc w:val="left"/>
              <w:rPr>
                <w:rFonts w:ascii="宋体" w:hAnsi="宋体" w:cs="宋体" w:eastAsia="宋体" w:hint="default"/>
                <w:sz w:val="18"/>
                <w:szCs w:val="18"/>
              </w:rPr>
            </w:pPr>
            <w:r>
              <w:rPr>
                <w:rFonts w:ascii="宋体"/>
                <w:sz w:val="18"/>
              </w:rPr>
              <w:t>.35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-1,107,</w:t>
            </w:r>
          </w:p>
          <w:p>
            <w:pPr>
              <w:pStyle w:val="TableParagraph"/>
              <w:spacing w:line="234" w:lineRule="exact"/>
              <w:ind w:left="225" w:right="0"/>
              <w:jc w:val="left"/>
              <w:rPr>
                <w:rFonts w:ascii="宋体" w:hAnsi="宋体" w:cs="宋体" w:eastAsia="宋体" w:hint="default"/>
                <w:sz w:val="18"/>
                <w:szCs w:val="18"/>
              </w:rPr>
            </w:pPr>
            <w:r>
              <w:rPr>
                <w:rFonts w:ascii="宋体"/>
                <w:sz w:val="18"/>
              </w:rPr>
              <w:t>034.97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-1,325,</w:t>
            </w:r>
          </w:p>
          <w:p>
            <w:pPr>
              <w:pStyle w:val="TableParagraph"/>
              <w:spacing w:line="234" w:lineRule="exact"/>
              <w:ind w:left="203" w:right="0"/>
              <w:jc w:val="left"/>
              <w:rPr>
                <w:rFonts w:ascii="宋体" w:hAnsi="宋体" w:cs="宋体" w:eastAsia="宋体" w:hint="default"/>
                <w:sz w:val="18"/>
                <w:szCs w:val="18"/>
              </w:rPr>
            </w:pPr>
            <w:r>
              <w:rPr>
                <w:rFonts w:ascii="宋体"/>
                <w:sz w:val="18"/>
              </w:rPr>
              <w:t>824.41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20,809,</w:t>
            </w:r>
          </w:p>
          <w:p>
            <w:pPr>
              <w:pStyle w:val="TableParagraph"/>
              <w:spacing w:line="234" w:lineRule="exact"/>
              <w:ind w:left="218" w:right="0"/>
              <w:jc w:val="left"/>
              <w:rPr>
                <w:rFonts w:ascii="宋体" w:hAnsi="宋体" w:cs="宋体" w:eastAsia="宋体" w:hint="default"/>
                <w:sz w:val="18"/>
                <w:szCs w:val="18"/>
              </w:rPr>
            </w:pPr>
            <w:r>
              <w:rPr>
                <w:rFonts w:ascii="宋体"/>
                <w:sz w:val="18"/>
              </w:rPr>
              <w:t>921.78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124,793</w:t>
            </w:r>
          </w:p>
          <w:p>
            <w:pPr>
              <w:pStyle w:val="TableParagraph"/>
              <w:spacing w:line="234" w:lineRule="exact"/>
              <w:ind w:left="129" w:right="0"/>
              <w:jc w:val="left"/>
              <w:rPr>
                <w:rFonts w:ascii="宋体" w:hAnsi="宋体" w:cs="宋体" w:eastAsia="宋体" w:hint="default"/>
                <w:sz w:val="18"/>
                <w:szCs w:val="18"/>
              </w:rPr>
            </w:pPr>
            <w:r>
              <w:rPr>
                <w:rFonts w:ascii="宋体"/>
                <w:sz w:val="18"/>
              </w:rPr>
              <w:t>,807.02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23,059,67</w:t>
            </w:r>
          </w:p>
          <w:p>
            <w:pPr>
              <w:pStyle w:val="TableParagraph"/>
              <w:spacing w:line="234" w:lineRule="exact"/>
              <w:ind w:left="628" w:right="0"/>
              <w:jc w:val="left"/>
              <w:rPr>
                <w:rFonts w:ascii="宋体" w:hAnsi="宋体" w:cs="宋体" w:eastAsia="宋体" w:hint="default"/>
                <w:sz w:val="18"/>
                <w:szCs w:val="18"/>
              </w:rPr>
            </w:pPr>
            <w:r>
              <w:rPr>
                <w:rFonts w:ascii="宋体"/>
                <w:sz w:val="18"/>
              </w:rPr>
              <w:t>1.73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166,138,6</w:t>
            </w:r>
          </w:p>
          <w:p>
            <w:pPr>
              <w:pStyle w:val="TableParagraph"/>
              <w:spacing w:line="234" w:lineRule="exact"/>
              <w:ind w:left="530" w:right="0"/>
              <w:jc w:val="left"/>
              <w:rPr>
                <w:rFonts w:ascii="宋体" w:hAnsi="宋体" w:cs="宋体" w:eastAsia="宋体" w:hint="default"/>
                <w:sz w:val="18"/>
                <w:szCs w:val="18"/>
              </w:rPr>
            </w:pPr>
            <w:r>
              <w:rPr>
                <w:rFonts w:ascii="宋体"/>
                <w:sz w:val="18"/>
              </w:rPr>
              <w:t>26.80</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-1,107,</w:t>
            </w:r>
          </w:p>
          <w:p>
            <w:pPr>
              <w:pStyle w:val="TableParagraph"/>
              <w:spacing w:line="234" w:lineRule="exact"/>
              <w:ind w:left="225" w:right="0"/>
              <w:jc w:val="left"/>
              <w:rPr>
                <w:rFonts w:ascii="宋体" w:hAnsi="宋体" w:cs="宋体" w:eastAsia="宋体" w:hint="default"/>
                <w:sz w:val="18"/>
                <w:szCs w:val="18"/>
              </w:rPr>
            </w:pPr>
            <w:r>
              <w:rPr>
                <w:rFonts w:ascii="宋体"/>
                <w:sz w:val="18"/>
              </w:rPr>
              <w:t>034.97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213,929</w:t>
            </w:r>
          </w:p>
          <w:p>
            <w:pPr>
              <w:pStyle w:val="TableParagraph"/>
              <w:spacing w:line="234" w:lineRule="exact"/>
              <w:ind w:left="129" w:right="0"/>
              <w:jc w:val="left"/>
              <w:rPr>
                <w:rFonts w:ascii="宋体" w:hAnsi="宋体" w:cs="宋体" w:eastAsia="宋体" w:hint="default"/>
                <w:sz w:val="18"/>
                <w:szCs w:val="18"/>
              </w:rPr>
            </w:pPr>
            <w:r>
              <w:rPr>
                <w:rFonts w:ascii="宋体"/>
                <w:sz w:val="18"/>
              </w:rPr>
              <w:t>,328.80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4,202,097</w:t>
            </w:r>
          </w:p>
          <w:p>
            <w:pPr>
              <w:pStyle w:val="TableParagraph"/>
              <w:spacing w:line="234" w:lineRule="exact"/>
              <w:ind w:left="717" w:right="0"/>
              <w:jc w:val="left"/>
              <w:rPr>
                <w:rFonts w:ascii="宋体" w:hAnsi="宋体" w:cs="宋体" w:eastAsia="宋体" w:hint="default"/>
                <w:sz w:val="18"/>
                <w:szCs w:val="18"/>
              </w:rPr>
            </w:pPr>
            <w:r>
              <w:rPr>
                <w:rFonts w:ascii="宋体"/>
                <w:sz w:val="18"/>
              </w:rPr>
              <w:t>.80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217,024,3</w:t>
            </w:r>
          </w:p>
          <w:p>
            <w:pPr>
              <w:pStyle w:val="TableParagraph"/>
              <w:spacing w:line="234" w:lineRule="exact"/>
              <w:ind w:left="530" w:right="0"/>
              <w:jc w:val="left"/>
              <w:rPr>
                <w:rFonts w:ascii="宋体" w:hAnsi="宋体" w:cs="宋体" w:eastAsia="宋体" w:hint="default"/>
                <w:sz w:val="18"/>
                <w:szCs w:val="18"/>
              </w:rPr>
            </w:pPr>
            <w:r>
              <w:rPr>
                <w:rFonts w:ascii="宋体"/>
                <w:sz w:val="18"/>
              </w:rPr>
              <w:t>91.63</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-91,914</w:t>
            </w:r>
          </w:p>
          <w:p>
            <w:pPr>
              <w:pStyle w:val="TableParagraph"/>
              <w:spacing w:line="234" w:lineRule="exact"/>
              <w:ind w:left="484" w:right="0"/>
              <w:jc w:val="left"/>
              <w:rPr>
                <w:rFonts w:ascii="宋体" w:hAnsi="宋体" w:cs="宋体" w:eastAsia="宋体" w:hint="default"/>
                <w:sz w:val="18"/>
                <w:szCs w:val="18"/>
              </w:rPr>
            </w:pPr>
            <w:r>
              <w:rPr>
                <w:rFonts w:ascii="宋体"/>
                <w:sz w:val="18"/>
              </w:rPr>
              <w:t>.35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22,650,44</w:t>
            </w:r>
          </w:p>
          <w:p>
            <w:pPr>
              <w:pStyle w:val="TableParagraph"/>
              <w:spacing w:line="234" w:lineRule="exact"/>
              <w:ind w:left="628" w:right="0"/>
              <w:jc w:val="left"/>
              <w:rPr>
                <w:rFonts w:ascii="宋体" w:hAnsi="宋体" w:cs="宋体" w:eastAsia="宋体" w:hint="default"/>
                <w:sz w:val="18"/>
                <w:szCs w:val="18"/>
              </w:rPr>
            </w:pPr>
            <w:r>
              <w:rPr>
                <w:rFonts w:ascii="宋体"/>
                <w:sz w:val="18"/>
              </w:rPr>
              <w:t>8.93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22,558,53</w:t>
            </w:r>
          </w:p>
          <w:p>
            <w:pPr>
              <w:pStyle w:val="TableParagraph"/>
              <w:spacing w:line="234" w:lineRule="exact"/>
              <w:ind w:left="622" w:right="0"/>
              <w:jc w:val="left"/>
              <w:rPr>
                <w:rFonts w:ascii="宋体" w:hAnsi="宋体" w:cs="宋体" w:eastAsia="宋体" w:hint="default"/>
                <w:sz w:val="18"/>
                <w:szCs w:val="18"/>
              </w:rPr>
            </w:pPr>
            <w:r>
              <w:rPr>
                <w:rFonts w:ascii="宋体"/>
                <w:sz w:val="18"/>
              </w:rPr>
              <w:t>4.58</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19,464,91</w:t>
            </w:r>
          </w:p>
          <w:p>
            <w:pPr>
              <w:pStyle w:val="TableParagraph"/>
              <w:spacing w:line="240" w:lineRule="auto"/>
              <w:ind w:left="628" w:right="0"/>
              <w:jc w:val="left"/>
              <w:rPr>
                <w:rFonts w:ascii="宋体" w:hAnsi="宋体" w:cs="宋体" w:eastAsia="宋体" w:hint="default"/>
                <w:sz w:val="18"/>
                <w:szCs w:val="18"/>
              </w:rPr>
            </w:pPr>
            <w:r>
              <w:rPr>
                <w:rFonts w:ascii="宋体"/>
                <w:sz w:val="18"/>
              </w:rPr>
              <w:t>4.24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19,464,91</w:t>
            </w:r>
          </w:p>
          <w:p>
            <w:pPr>
              <w:pStyle w:val="TableParagraph"/>
              <w:spacing w:line="240" w:lineRule="auto"/>
              <w:ind w:left="622" w:right="0"/>
              <w:jc w:val="left"/>
              <w:rPr>
                <w:rFonts w:ascii="宋体" w:hAnsi="宋体" w:cs="宋体" w:eastAsia="宋体" w:hint="default"/>
                <w:sz w:val="18"/>
                <w:szCs w:val="18"/>
              </w:rPr>
            </w:pPr>
            <w:r>
              <w:rPr>
                <w:rFonts w:ascii="宋体"/>
                <w:sz w:val="18"/>
              </w:rPr>
              <w:t>4.24</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-91,914</w:t>
            </w:r>
          </w:p>
          <w:p>
            <w:pPr>
              <w:pStyle w:val="TableParagraph"/>
              <w:spacing w:line="240" w:lineRule="auto"/>
              <w:ind w:left="484" w:right="0"/>
              <w:jc w:val="left"/>
              <w:rPr>
                <w:rFonts w:ascii="宋体" w:hAnsi="宋体" w:cs="宋体" w:eastAsia="宋体" w:hint="default"/>
                <w:sz w:val="18"/>
                <w:szCs w:val="18"/>
              </w:rPr>
            </w:pPr>
            <w:r>
              <w:rPr>
                <w:rFonts w:ascii="宋体"/>
                <w:sz w:val="18"/>
              </w:rPr>
              <w:t>.35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3,185,534</w:t>
            </w:r>
          </w:p>
          <w:p>
            <w:pPr>
              <w:pStyle w:val="TableParagraph"/>
              <w:spacing w:line="240" w:lineRule="auto"/>
              <w:ind w:left="717" w:right="0"/>
              <w:jc w:val="left"/>
              <w:rPr>
                <w:rFonts w:ascii="宋体" w:hAnsi="宋体" w:cs="宋体" w:eastAsia="宋体" w:hint="default"/>
                <w:sz w:val="18"/>
                <w:szCs w:val="18"/>
              </w:rPr>
            </w:pPr>
            <w:r>
              <w:rPr>
                <w:rFonts w:ascii="宋体"/>
                <w:sz w:val="18"/>
              </w:rPr>
              <w:t>.69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3,093,620</w:t>
            </w:r>
          </w:p>
          <w:p>
            <w:pPr>
              <w:pStyle w:val="TableParagraph"/>
              <w:spacing w:line="240" w:lineRule="auto"/>
              <w:ind w:left="710" w:right="0"/>
              <w:jc w:val="left"/>
              <w:rPr>
                <w:rFonts w:ascii="宋体" w:hAnsi="宋体" w:cs="宋体" w:eastAsia="宋体" w:hint="default"/>
                <w:sz w:val="18"/>
                <w:szCs w:val="18"/>
              </w:rPr>
            </w:pPr>
            <w:r>
              <w:rPr>
                <w:rFonts w:ascii="宋体"/>
                <w:sz w:val="18"/>
              </w:rPr>
              <w:t>.34</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20,809,</w:t>
            </w:r>
          </w:p>
          <w:p>
            <w:pPr>
              <w:pStyle w:val="TableParagraph"/>
              <w:spacing w:line="234" w:lineRule="exact"/>
              <w:ind w:left="218" w:right="0"/>
              <w:jc w:val="left"/>
              <w:rPr>
                <w:rFonts w:ascii="宋体" w:hAnsi="宋体" w:cs="宋体" w:eastAsia="宋体" w:hint="default"/>
                <w:sz w:val="18"/>
                <w:szCs w:val="18"/>
              </w:rPr>
            </w:pPr>
            <w:r>
              <w:rPr>
                <w:rFonts w:ascii="宋体"/>
                <w:sz w:val="18"/>
              </w:rPr>
              <w:t>921.78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-89,135</w:t>
            </w:r>
          </w:p>
          <w:p>
            <w:pPr>
              <w:pStyle w:val="TableParagraph"/>
              <w:spacing w:line="234" w:lineRule="exact"/>
              <w:ind w:left="129" w:right="0"/>
              <w:jc w:val="left"/>
              <w:rPr>
                <w:rFonts w:ascii="宋体" w:hAnsi="宋体" w:cs="宋体" w:eastAsia="宋体" w:hint="default"/>
                <w:sz w:val="18"/>
                <w:szCs w:val="18"/>
              </w:rPr>
            </w:pPr>
            <w:r>
              <w:rPr>
                <w:rFonts w:ascii="宋体"/>
                <w:sz w:val="18"/>
              </w:rPr>
              <w:t>,521.78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-3,792,87</w:t>
            </w:r>
          </w:p>
          <w:p>
            <w:pPr>
              <w:pStyle w:val="TableParagraph"/>
              <w:spacing w:line="234" w:lineRule="exact"/>
              <w:ind w:left="628" w:right="0"/>
              <w:jc w:val="left"/>
              <w:rPr>
                <w:rFonts w:ascii="宋体" w:hAnsi="宋体" w:cs="宋体" w:eastAsia="宋体" w:hint="default"/>
                <w:sz w:val="18"/>
                <w:szCs w:val="18"/>
              </w:rPr>
            </w:pPr>
            <w:r>
              <w:rPr>
                <w:rFonts w:ascii="宋体"/>
                <w:sz w:val="18"/>
              </w:rPr>
              <w:t>5.00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-72,118,4</w:t>
            </w:r>
          </w:p>
          <w:p>
            <w:pPr>
              <w:pStyle w:val="TableParagraph"/>
              <w:spacing w:line="234" w:lineRule="exact"/>
              <w:ind w:left="530" w:right="0"/>
              <w:jc w:val="left"/>
              <w:rPr>
                <w:rFonts w:ascii="宋体" w:hAnsi="宋体" w:cs="宋体" w:eastAsia="宋体" w:hint="default"/>
                <w:sz w:val="18"/>
                <w:szCs w:val="18"/>
              </w:rPr>
            </w:pPr>
            <w:r>
              <w:rPr>
                <w:rFonts w:ascii="宋体"/>
                <w:sz w:val="18"/>
              </w:rPr>
              <w:t>75.00</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20,809,</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-20,809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8" w:right="0"/>
              <w:jc w:val="left"/>
              <w:rPr>
                <w:rFonts w:ascii="宋体" w:hAnsi="宋体" w:cs="宋体" w:eastAsia="宋体" w:hint="default"/>
                <w:sz w:val="18"/>
                <w:szCs w:val="18"/>
              </w:rPr>
            </w:pPr>
            <w:r>
              <w:rPr>
                <w:rFonts w:ascii="宋体"/>
                <w:sz w:val="18"/>
              </w:rPr>
              <w:t>921.78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,921.78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-68,325</w:t>
            </w:r>
          </w:p>
          <w:p>
            <w:pPr>
              <w:pStyle w:val="TableParagraph"/>
              <w:spacing w:line="234" w:lineRule="exact"/>
              <w:ind w:left="129" w:right="0"/>
              <w:jc w:val="left"/>
              <w:rPr>
                <w:rFonts w:ascii="宋体" w:hAnsi="宋体" w:cs="宋体" w:eastAsia="宋体" w:hint="default"/>
                <w:sz w:val="18"/>
                <w:szCs w:val="18"/>
              </w:rPr>
            </w:pPr>
            <w:r>
              <w:rPr>
                <w:rFonts w:ascii="宋体"/>
                <w:sz w:val="18"/>
              </w:rPr>
              <w:t>,600.00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-3,792,87</w:t>
            </w:r>
          </w:p>
          <w:p>
            <w:pPr>
              <w:pStyle w:val="TableParagraph"/>
              <w:spacing w:line="234" w:lineRule="exact"/>
              <w:ind w:left="628" w:right="0"/>
              <w:jc w:val="left"/>
              <w:rPr>
                <w:rFonts w:ascii="宋体" w:hAnsi="宋体" w:cs="宋体" w:eastAsia="宋体" w:hint="default"/>
                <w:sz w:val="18"/>
                <w:szCs w:val="18"/>
              </w:rPr>
            </w:pPr>
            <w:r>
              <w:rPr>
                <w:rFonts w:ascii="宋体"/>
                <w:sz w:val="18"/>
              </w:rPr>
              <w:t>5.00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-72,118,4</w:t>
            </w:r>
          </w:p>
          <w:p>
            <w:pPr>
              <w:pStyle w:val="TableParagraph"/>
              <w:spacing w:line="234" w:lineRule="exact"/>
              <w:ind w:left="530" w:right="0"/>
              <w:jc w:val="left"/>
              <w:rPr>
                <w:rFonts w:ascii="宋体" w:hAnsi="宋体" w:cs="宋体" w:eastAsia="宋体" w:hint="default"/>
                <w:sz w:val="18"/>
                <w:szCs w:val="18"/>
              </w:rPr>
            </w:pPr>
            <w:r>
              <w:rPr>
                <w:rFonts w:ascii="宋体"/>
                <w:sz w:val="18"/>
              </w:rPr>
              <w:t>75.00</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-1,325,</w:t>
            </w:r>
          </w:p>
          <w:p>
            <w:pPr>
              <w:pStyle w:val="TableParagraph"/>
              <w:spacing w:line="234" w:lineRule="exact"/>
              <w:ind w:left="203" w:right="0"/>
              <w:jc w:val="left"/>
              <w:rPr>
                <w:rFonts w:ascii="宋体" w:hAnsi="宋体" w:cs="宋体" w:eastAsia="宋体" w:hint="default"/>
                <w:sz w:val="18"/>
                <w:szCs w:val="18"/>
              </w:rPr>
            </w:pPr>
            <w:r>
              <w:rPr>
                <w:rFonts w:ascii="宋体"/>
                <w:sz w:val="18"/>
              </w:rPr>
              <w:t>824.41</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-1,325,82</w:t>
            </w:r>
          </w:p>
          <w:p>
            <w:pPr>
              <w:pStyle w:val="TableParagraph"/>
              <w:spacing w:line="234" w:lineRule="exact"/>
              <w:ind w:left="622" w:right="0"/>
              <w:jc w:val="left"/>
              <w:rPr>
                <w:rFonts w:ascii="宋体" w:hAnsi="宋体" w:cs="宋体" w:eastAsia="宋体" w:hint="default"/>
                <w:sz w:val="18"/>
                <w:szCs w:val="18"/>
              </w:rPr>
            </w:pPr>
            <w:r>
              <w:rPr>
                <w:rFonts w:ascii="宋体"/>
                <w:sz w:val="18"/>
              </w:rPr>
              <w:t>4.41</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272,896</w:t>
            </w:r>
          </w:p>
          <w:p>
            <w:pPr>
              <w:pStyle w:val="TableParagraph"/>
              <w:spacing w:line="240" w:lineRule="auto"/>
              <w:ind w:left="112" w:right="0"/>
              <w:jc w:val="left"/>
              <w:rPr>
                <w:rFonts w:ascii="宋体" w:hAnsi="宋体" w:cs="宋体" w:eastAsia="宋体" w:hint="default"/>
                <w:sz w:val="18"/>
                <w:szCs w:val="18"/>
              </w:rPr>
            </w:pPr>
            <w:r>
              <w:rPr>
                <w:rFonts w:ascii="宋体"/>
                <w:sz w:val="18"/>
              </w:rPr>
              <w:t>,159.94</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272,896,1</w:t>
            </w:r>
          </w:p>
          <w:p>
            <w:pPr>
              <w:pStyle w:val="TableParagraph"/>
              <w:spacing w:line="240" w:lineRule="auto"/>
              <w:ind w:left="530" w:right="0"/>
              <w:jc w:val="left"/>
              <w:rPr>
                <w:rFonts w:ascii="宋体" w:hAnsi="宋体" w:cs="宋体" w:eastAsia="宋体" w:hint="default"/>
                <w:sz w:val="18"/>
                <w:szCs w:val="18"/>
              </w:rPr>
            </w:pPr>
            <w:r>
              <w:rPr>
                <w:rFonts w:ascii="宋体"/>
                <w:sz w:val="18"/>
              </w:rPr>
              <w:t>59.94</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274,221</w:t>
            </w:r>
          </w:p>
          <w:p>
            <w:pPr>
              <w:pStyle w:val="TableParagraph"/>
              <w:spacing w:line="234" w:lineRule="exact"/>
              <w:ind w:left="112" w:right="0"/>
              <w:jc w:val="left"/>
              <w:rPr>
                <w:rFonts w:ascii="宋体" w:hAnsi="宋体" w:cs="宋体" w:eastAsia="宋体" w:hint="default"/>
                <w:sz w:val="18"/>
                <w:szCs w:val="18"/>
              </w:rPr>
            </w:pPr>
            <w:r>
              <w:rPr>
                <w:rFonts w:ascii="宋体"/>
                <w:sz w:val="18"/>
              </w:rPr>
              <w:t>,984.35</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274,221,9</w:t>
            </w:r>
          </w:p>
          <w:p>
            <w:pPr>
              <w:pStyle w:val="TableParagraph"/>
              <w:spacing w:line="234" w:lineRule="exact"/>
              <w:ind w:left="530" w:right="0"/>
              <w:jc w:val="left"/>
              <w:rPr>
                <w:rFonts w:ascii="宋体" w:hAnsi="宋体" w:cs="宋体" w:eastAsia="宋体" w:hint="default"/>
                <w:sz w:val="18"/>
                <w:szCs w:val="18"/>
              </w:rPr>
            </w:pPr>
            <w:r>
              <w:rPr>
                <w:rFonts w:ascii="宋体"/>
                <w:sz w:val="18"/>
              </w:rPr>
              <w:t>84.35</w:t>
            </w:r>
          </w:p>
        </w:tc>
      </w:tr>
      <w:tr>
        <w:trPr>
          <w:trHeight w:val="24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sz w:val="18"/>
              </w:rPr>
              <w:t>976,080</w:t>
            </w:r>
          </w:p>
          <w:p>
            <w:pPr>
              <w:pStyle w:val="TableParagraph"/>
              <w:spacing w:line="234" w:lineRule="exact"/>
              <w:ind w:left="107"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515,679</w:t>
            </w:r>
          </w:p>
          <w:p>
            <w:pPr>
              <w:pStyle w:val="TableParagraph"/>
              <w:spacing w:line="234" w:lineRule="exact"/>
              <w:ind w:left="124" w:right="0"/>
              <w:jc w:val="left"/>
              <w:rPr>
                <w:rFonts w:ascii="宋体" w:hAnsi="宋体" w:cs="宋体" w:eastAsia="宋体" w:hint="default"/>
                <w:sz w:val="18"/>
                <w:szCs w:val="18"/>
              </w:rPr>
            </w:pPr>
            <w:r>
              <w:rPr>
                <w:rFonts w:ascii="宋体"/>
                <w:sz w:val="18"/>
              </w:rPr>
              <w:t>,099.70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-1,464,</w:t>
            </w:r>
          </w:p>
          <w:p>
            <w:pPr>
              <w:pStyle w:val="TableParagraph"/>
              <w:spacing w:line="234" w:lineRule="exact"/>
              <w:ind w:left="225" w:right="0"/>
              <w:jc w:val="left"/>
              <w:rPr>
                <w:rFonts w:ascii="宋体" w:hAnsi="宋体" w:cs="宋体" w:eastAsia="宋体" w:hint="default"/>
                <w:sz w:val="18"/>
                <w:szCs w:val="18"/>
              </w:rPr>
            </w:pPr>
            <w:r>
              <w:rPr>
                <w:rFonts w:ascii="宋体"/>
                <w:sz w:val="18"/>
              </w:rPr>
              <w:t>741.32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宋体" w:hAnsi="宋体" w:cs="宋体" w:eastAsia="宋体" w:hint="default"/>
                <w:sz w:val="18"/>
                <w:szCs w:val="18"/>
              </w:rPr>
            </w:pPr>
            <w:r>
              <w:rPr>
                <w:rFonts w:ascii="宋体"/>
                <w:sz w:val="18"/>
              </w:rPr>
              <w:t>2,921,1</w:t>
            </w:r>
          </w:p>
          <w:p>
            <w:pPr>
              <w:pStyle w:val="TableParagraph"/>
              <w:spacing w:line="234" w:lineRule="exact"/>
              <w:ind w:left="190" w:right="0"/>
              <w:jc w:val="center"/>
              <w:rPr>
                <w:rFonts w:ascii="宋体" w:hAnsi="宋体" w:cs="宋体" w:eastAsia="宋体" w:hint="default"/>
                <w:sz w:val="18"/>
                <w:szCs w:val="18"/>
              </w:rPr>
            </w:pPr>
            <w:r>
              <w:rPr>
                <w:rFonts w:ascii="宋体"/>
                <w:sz w:val="18"/>
              </w:rPr>
              <w:t>58.40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96,536,</w:t>
            </w:r>
          </w:p>
          <w:p>
            <w:pPr>
              <w:pStyle w:val="TableParagraph"/>
              <w:spacing w:line="234" w:lineRule="exact"/>
              <w:ind w:left="218" w:right="0"/>
              <w:jc w:val="left"/>
              <w:rPr>
                <w:rFonts w:ascii="宋体" w:hAnsi="宋体" w:cs="宋体" w:eastAsia="宋体" w:hint="default"/>
                <w:sz w:val="18"/>
                <w:szCs w:val="18"/>
              </w:rPr>
            </w:pPr>
            <w:r>
              <w:rPr>
                <w:rFonts w:ascii="宋体"/>
                <w:sz w:val="18"/>
              </w:rPr>
              <w:t>312.05</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995,146</w:t>
            </w:r>
          </w:p>
          <w:p>
            <w:pPr>
              <w:pStyle w:val="TableParagraph"/>
              <w:spacing w:line="234" w:lineRule="exact"/>
              <w:ind w:left="129" w:right="0"/>
              <w:jc w:val="left"/>
              <w:rPr>
                <w:rFonts w:ascii="宋体" w:hAnsi="宋体" w:cs="宋体" w:eastAsia="宋体" w:hint="default"/>
                <w:sz w:val="18"/>
                <w:szCs w:val="18"/>
              </w:rPr>
            </w:pPr>
            <w:r>
              <w:rPr>
                <w:rFonts w:ascii="宋体"/>
                <w:sz w:val="18"/>
              </w:rPr>
              <w:t>,520.93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132,924,0</w:t>
            </w:r>
          </w:p>
          <w:p>
            <w:pPr>
              <w:pStyle w:val="TableParagraph"/>
              <w:spacing w:line="234" w:lineRule="exact"/>
              <w:ind w:left="537" w:right="0"/>
              <w:jc w:val="left"/>
              <w:rPr>
                <w:rFonts w:ascii="宋体" w:hAnsi="宋体" w:cs="宋体" w:eastAsia="宋体" w:hint="default"/>
                <w:sz w:val="18"/>
                <w:szCs w:val="18"/>
              </w:rPr>
            </w:pPr>
            <w:r>
              <w:rPr>
                <w:rFonts w:ascii="宋体"/>
                <w:sz w:val="18"/>
              </w:rPr>
              <w:t>05.91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2,717,822</w:t>
            </w:r>
          </w:p>
          <w:p>
            <w:pPr>
              <w:pStyle w:val="TableParagraph"/>
              <w:spacing w:line="234" w:lineRule="exact"/>
              <w:ind w:left="248" w:right="0"/>
              <w:jc w:val="center"/>
              <w:rPr>
                <w:rFonts w:ascii="宋体" w:hAnsi="宋体" w:cs="宋体" w:eastAsia="宋体" w:hint="default"/>
                <w:sz w:val="18"/>
                <w:szCs w:val="18"/>
              </w:rPr>
            </w:pPr>
            <w:r>
              <w:rPr>
                <w:rFonts w:ascii="宋体"/>
                <w:sz w:val="18"/>
              </w:rPr>
              <w:t>,355.67</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5" w:right="17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1"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4"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7"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49" w:right="158"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2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1,003,81</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1,014.05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9" w:right="0"/>
              <w:jc w:val="center"/>
              <w:rPr>
                <w:rFonts w:ascii="Times New Roman" w:hAnsi="Times New Roman" w:cs="Times New Roman" w:eastAsia="Times New Roman" w:hint="default"/>
                <w:sz w:val="18"/>
                <w:szCs w:val="18"/>
              </w:rPr>
            </w:pPr>
            <w:r>
              <w:rPr>
                <w:rFonts w:ascii="Times New Roman"/>
                <w:sz w:val="18"/>
              </w:rPr>
              <w:t>-2,969,7</w:t>
            </w:r>
          </w:p>
          <w:p>
            <w:pPr>
              <w:pStyle w:val="TableParagraph"/>
              <w:spacing w:line="207" w:lineRule="exact"/>
              <w:ind w:left="264" w:right="0"/>
              <w:jc w:val="center"/>
              <w:rPr>
                <w:rFonts w:ascii="Times New Roman" w:hAnsi="Times New Roman" w:cs="Times New Roman" w:eastAsia="Times New Roman" w:hint="default"/>
                <w:sz w:val="18"/>
                <w:szCs w:val="18"/>
              </w:rPr>
            </w:pPr>
            <w:r>
              <w:rPr>
                <w:rFonts w:ascii="Times New Roman"/>
                <w:sz w:val="18"/>
              </w:rPr>
              <w:t>75.13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2,417,60</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6.73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75,726,3</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90.27</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center"/>
              <w:rPr>
                <w:rFonts w:ascii="Times New Roman" w:hAnsi="Times New Roman" w:cs="Times New Roman" w:eastAsia="Times New Roman" w:hint="default"/>
                <w:sz w:val="18"/>
                <w:szCs w:val="18"/>
              </w:rPr>
            </w:pPr>
            <w:r>
              <w:rPr>
                <w:rFonts w:ascii="Times New Roman"/>
                <w:sz w:val="18"/>
              </w:rPr>
              <w:t>733,530,</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982.38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5" w:right="0"/>
              <w:jc w:val="left"/>
              <w:rPr>
                <w:rFonts w:ascii="Times New Roman" w:hAnsi="Times New Roman" w:cs="Times New Roman" w:eastAsia="Times New Roman" w:hint="default"/>
                <w:sz w:val="18"/>
                <w:szCs w:val="18"/>
              </w:rPr>
            </w:pPr>
            <w:r>
              <w:rPr>
                <w:rFonts w:ascii="Times New Roman"/>
                <w:sz w:val="18"/>
              </w:rPr>
              <w:t>103,037,25</w:t>
            </w:r>
          </w:p>
          <w:p>
            <w:pPr>
              <w:pStyle w:val="TableParagraph"/>
              <w:spacing w:line="207" w:lineRule="exact"/>
              <w:ind w:left="652" w:right="0"/>
              <w:jc w:val="left"/>
              <w:rPr>
                <w:rFonts w:ascii="Times New Roman" w:hAnsi="Times New Roman" w:cs="Times New Roman" w:eastAsia="Times New Roman" w:hint="default"/>
                <w:sz w:val="18"/>
                <w:szCs w:val="18"/>
              </w:rPr>
            </w:pPr>
            <w:r>
              <w:rPr>
                <w:rFonts w:ascii="Times New Roman"/>
                <w:sz w:val="18"/>
              </w:rPr>
              <w:t>3.97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2,403,593,4</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72.27</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488,040,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1,003,81</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-2,969,7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2,417,60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75,726,3</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733,530,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5" w:right="0"/>
              <w:jc w:val="left"/>
              <w:rPr>
                <w:rFonts w:ascii="Times New Roman" w:hAnsi="Times New Roman" w:cs="Times New Roman" w:eastAsia="Times New Roman" w:hint="default"/>
                <w:sz w:val="18"/>
                <w:szCs w:val="18"/>
              </w:rPr>
            </w:pPr>
            <w:r>
              <w:rPr>
                <w:rFonts w:ascii="Times New Roman"/>
                <w:sz w:val="18"/>
              </w:rPr>
              <w:t>103,037,25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2,403,593,4</w:t>
            </w:r>
          </w:p>
        </w:tc>
      </w:tr>
    </w:tbl>
    <w:p>
      <w:pPr>
        <w:spacing w:after="0" w:line="202" w:lineRule="exact"/>
        <w:jc w:val="left"/>
        <w:rPr>
          <w:rFonts w:ascii="Times New Roman" w:hAnsi="Times New Roman" w:cs="Times New Roman" w:eastAsia="Times New Roman" w:hint="default"/>
          <w:sz w:val="18"/>
          <w:szCs w:val="18"/>
        </w:rPr>
        <w:sectPr>
          <w:pgSz w:w="16840" w:h="11910" w:orient="landscape"/>
          <w:pgMar w:header="882" w:footer="1195"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16"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1" w:right="0"/>
              <w:jc w:val="left"/>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1,014.05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67" w:right="0"/>
              <w:jc w:val="left"/>
              <w:rPr>
                <w:rFonts w:ascii="Times New Roman" w:hAnsi="Times New Roman" w:cs="Times New Roman" w:eastAsia="Times New Roman" w:hint="default"/>
                <w:sz w:val="18"/>
                <w:szCs w:val="18"/>
              </w:rPr>
            </w:pPr>
            <w:r>
              <w:rPr>
                <w:rFonts w:ascii="Times New Roman"/>
                <w:sz w:val="18"/>
              </w:rPr>
              <w:t>75.13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6.73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2" w:right="0"/>
              <w:jc w:val="left"/>
              <w:rPr>
                <w:rFonts w:ascii="Times New Roman" w:hAnsi="Times New Roman" w:cs="Times New Roman" w:eastAsia="Times New Roman" w:hint="default"/>
                <w:sz w:val="18"/>
                <w:szCs w:val="18"/>
              </w:rPr>
            </w:pPr>
            <w:r>
              <w:rPr>
                <w:rFonts w:ascii="Times New Roman"/>
                <w:sz w:val="18"/>
              </w:rPr>
              <w:t>90.27</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3" w:right="0"/>
              <w:jc w:val="left"/>
              <w:rPr>
                <w:rFonts w:ascii="Times New Roman" w:hAnsi="Times New Roman" w:cs="Times New Roman" w:eastAsia="Times New Roman" w:hint="default"/>
                <w:sz w:val="18"/>
                <w:szCs w:val="18"/>
              </w:rPr>
            </w:pPr>
            <w:r>
              <w:rPr>
                <w:rFonts w:ascii="Times New Roman"/>
                <w:sz w:val="18"/>
              </w:rPr>
              <w:t>982.38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52" w:right="0"/>
              <w:jc w:val="left"/>
              <w:rPr>
                <w:rFonts w:ascii="Times New Roman" w:hAnsi="Times New Roman" w:cs="Times New Roman" w:eastAsia="Times New Roman" w:hint="default"/>
                <w:sz w:val="18"/>
                <w:szCs w:val="18"/>
              </w:rPr>
            </w:pPr>
            <w:r>
              <w:rPr>
                <w:rFonts w:ascii="Times New Roman"/>
                <w:sz w:val="18"/>
              </w:rPr>
              <w:t>3.97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90" w:right="0"/>
              <w:jc w:val="left"/>
              <w:rPr>
                <w:rFonts w:ascii="Times New Roman" w:hAnsi="Times New Roman" w:cs="Times New Roman" w:eastAsia="Times New Roman" w:hint="default"/>
                <w:sz w:val="18"/>
                <w:szCs w:val="18"/>
              </w:rPr>
            </w:pPr>
            <w:r>
              <w:rPr>
                <w:rFonts w:ascii="Times New Roman"/>
                <w:sz w:val="18"/>
              </w:rPr>
              <w:t>72.27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40" w:lineRule="auto" w:before="2"/>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40" w:lineRule="auto" w:before="2"/>
              <w:ind w:left="110" w:right="0"/>
              <w:jc w:val="center"/>
              <w:rPr>
                <w:rFonts w:ascii="Times New Roman" w:hAnsi="Times New Roman" w:cs="Times New Roman" w:eastAsia="Times New Roman" w:hint="default"/>
                <w:sz w:val="18"/>
                <w:szCs w:val="18"/>
              </w:rPr>
            </w:pPr>
            <w:r>
              <w:rPr>
                <w:rFonts w:ascii="Times New Roman"/>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2,612,06</w:t>
            </w:r>
          </w:p>
          <w:p>
            <w:pPr>
              <w:pStyle w:val="TableParagraph"/>
              <w:spacing w:line="240" w:lineRule="auto" w:before="2"/>
              <w:ind w:left="458" w:right="0"/>
              <w:jc w:val="left"/>
              <w:rPr>
                <w:rFonts w:ascii="Times New Roman" w:hAnsi="Times New Roman" w:cs="Times New Roman" w:eastAsia="Times New Roman" w:hint="default"/>
                <w:sz w:val="18"/>
                <w:szCs w:val="18"/>
              </w:rPr>
            </w:pPr>
            <w:r>
              <w:rPr>
                <w:rFonts w:ascii="Times New Roman"/>
                <w:sz w:val="18"/>
              </w:rPr>
              <w:t>8.78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1,829,37</w:t>
            </w:r>
          </w:p>
          <w:p>
            <w:pPr>
              <w:pStyle w:val="TableParagraph"/>
              <w:spacing w:line="240" w:lineRule="auto" w:before="2"/>
              <w:ind w:left="429" w:right="0"/>
              <w:jc w:val="left"/>
              <w:rPr>
                <w:rFonts w:ascii="Times New Roman" w:hAnsi="Times New Roman" w:cs="Times New Roman" w:eastAsia="Times New Roman" w:hint="default"/>
                <w:sz w:val="18"/>
                <w:szCs w:val="18"/>
              </w:rPr>
            </w:pPr>
            <w:r>
              <w:rPr>
                <w:rFonts w:ascii="Times New Roman"/>
                <w:sz w:val="18"/>
              </w:rPr>
              <w:t>6.08</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center"/>
              <w:rPr>
                <w:rFonts w:ascii="Times New Roman" w:hAnsi="Times New Roman" w:cs="Times New Roman" w:eastAsia="Times New Roman" w:hint="default"/>
                <w:sz w:val="18"/>
                <w:szCs w:val="18"/>
              </w:rPr>
            </w:pPr>
            <w:r>
              <w:rPr>
                <w:rFonts w:ascii="Times New Roman"/>
                <w:sz w:val="18"/>
              </w:rPr>
              <w:t>136,821,</w:t>
            </w:r>
          </w:p>
          <w:p>
            <w:pPr>
              <w:pStyle w:val="TableParagraph"/>
              <w:spacing w:line="240" w:lineRule="auto" w:before="2"/>
              <w:ind w:left="161" w:right="0"/>
              <w:jc w:val="center"/>
              <w:rPr>
                <w:rFonts w:ascii="Times New Roman" w:hAnsi="Times New Roman" w:cs="Times New Roman" w:eastAsia="Times New Roman" w:hint="default"/>
                <w:sz w:val="18"/>
                <w:szCs w:val="18"/>
              </w:rPr>
            </w:pPr>
            <w:r>
              <w:rPr>
                <w:rFonts w:ascii="Times New Roman"/>
                <w:sz w:val="18"/>
              </w:rPr>
              <w:t>731.53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6,827,080.2</w:t>
            </w:r>
          </w:p>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z w:val="18"/>
              </w:rPr>
              <w:t>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148,090,25</w:t>
            </w:r>
          </w:p>
          <w:p>
            <w:pPr>
              <w:pStyle w:val="TableParagraph"/>
              <w:spacing w:line="240" w:lineRule="auto" w:before="2"/>
              <w:ind w:left="682" w:right="0"/>
              <w:jc w:val="left"/>
              <w:rPr>
                <w:rFonts w:ascii="Times New Roman" w:hAnsi="Times New Roman" w:cs="Times New Roman" w:eastAsia="Times New Roman" w:hint="default"/>
                <w:sz w:val="18"/>
                <w:szCs w:val="18"/>
              </w:rPr>
            </w:pPr>
            <w:r>
              <w:rPr>
                <w:rFonts w:ascii="Times New Roman"/>
                <w:sz w:val="18"/>
              </w:rPr>
              <w:t>6.60</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2,612,06</w:t>
            </w:r>
          </w:p>
          <w:p>
            <w:pPr>
              <w:pStyle w:val="TableParagraph"/>
              <w:spacing w:line="207" w:lineRule="exact"/>
              <w:ind w:left="458" w:right="0"/>
              <w:jc w:val="left"/>
              <w:rPr>
                <w:rFonts w:ascii="Times New Roman" w:hAnsi="Times New Roman" w:cs="Times New Roman" w:eastAsia="Times New Roman" w:hint="default"/>
                <w:sz w:val="18"/>
                <w:szCs w:val="18"/>
              </w:rPr>
            </w:pPr>
            <w:r>
              <w:rPr>
                <w:rFonts w:ascii="Times New Roman"/>
                <w:sz w:val="18"/>
              </w:rPr>
              <w:t>8.78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center"/>
              <w:rPr>
                <w:rFonts w:ascii="Times New Roman" w:hAnsi="Times New Roman" w:cs="Times New Roman" w:eastAsia="Times New Roman" w:hint="default"/>
                <w:sz w:val="18"/>
                <w:szCs w:val="18"/>
              </w:rPr>
            </w:pPr>
            <w:r>
              <w:rPr>
                <w:rFonts w:ascii="Times New Roman"/>
                <w:sz w:val="18"/>
              </w:rPr>
              <w:t>195,386,</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531.53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10,248,280.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208,246,88</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1.22</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 w:right="0"/>
              <w:jc w:val="center"/>
              <w:rPr>
                <w:rFonts w:ascii="Times New Roman" w:hAnsi="Times New Roman" w:cs="Times New Roman" w:eastAsia="Times New Roman" w:hint="default"/>
                <w:sz w:val="18"/>
                <w:szCs w:val="18"/>
              </w:rPr>
            </w:pPr>
            <w:r>
              <w:rPr>
                <w:rFonts w:ascii="Times New Roman"/>
                <w:sz w:val="18"/>
              </w:rPr>
              <w:t>-58,564,</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800.00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Times New Roman" w:hAnsi="Times New Roman" w:cs="Times New Roman" w:eastAsia="Times New Roman" w:hint="default"/>
                <w:sz w:val="18"/>
                <w:szCs w:val="18"/>
              </w:rPr>
            </w:pPr>
            <w:r>
              <w:rPr>
                <w:rFonts w:ascii="Times New Roman"/>
                <w:spacing w:val="-1"/>
                <w:sz w:val="18"/>
              </w:rPr>
              <w:t>-3,421,200.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70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w w:val="95"/>
                <w:sz w:val="18"/>
              </w:rPr>
              <w:t>-61,986,000</w:t>
            </w:r>
            <w:r>
              <w:rPr>
                <w:rFonts w:ascii="Times New Roman"/>
                <w:sz w:val="18"/>
              </w:rPr>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.70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0"/>
              <w:jc w:val="center"/>
              <w:rPr>
                <w:rFonts w:ascii="Times New Roman" w:hAnsi="Times New Roman" w:cs="Times New Roman" w:eastAsia="Times New Roman" w:hint="default"/>
                <w:sz w:val="18"/>
                <w:szCs w:val="18"/>
              </w:rPr>
            </w:pPr>
            <w:r>
              <w:rPr>
                <w:rFonts w:ascii="Times New Roman"/>
                <w:sz w:val="18"/>
              </w:rPr>
              <w:t>-58,564,</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800.00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-3,421,200.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70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-61,986,000</w:t>
            </w:r>
            <w:r>
              <w:rPr>
                <w:rFonts w:ascii="Times New Roman"/>
                <w:sz w:val="18"/>
              </w:rPr>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.70</w:t>
            </w: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40" w:lineRule="auto" w:before="2"/>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40" w:lineRule="auto" w:before="2"/>
              <w:ind w:left="110" w:right="0"/>
              <w:jc w:val="center"/>
              <w:rPr>
                <w:rFonts w:ascii="Times New Roman" w:hAnsi="Times New Roman" w:cs="Times New Roman" w:eastAsia="Times New Roman" w:hint="default"/>
                <w:sz w:val="18"/>
                <w:szCs w:val="18"/>
              </w:rPr>
            </w:pPr>
            <w:r>
              <w:rPr>
                <w:rFonts w:ascii="Times New Roman"/>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-488,040</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,000.00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1,829,37</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6.08</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1,829,376.0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8</w:t>
            </w:r>
          </w:p>
        </w:tc>
      </w:tr>
      <w:tr>
        <w:trPr>
          <w:trHeight w:val="42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286,629,</w:t>
            </w:r>
          </w:p>
          <w:p>
            <w:pPr>
              <w:pStyle w:val="TableParagraph"/>
              <w:spacing w:line="207" w:lineRule="exact"/>
              <w:ind w:left="146" w:right="0"/>
              <w:jc w:val="center"/>
              <w:rPr>
                <w:rFonts w:ascii="Times New Roman" w:hAnsi="Times New Roman" w:cs="Times New Roman" w:eastAsia="Times New Roman" w:hint="default"/>
                <w:sz w:val="18"/>
                <w:szCs w:val="18"/>
              </w:rPr>
            </w:pPr>
            <w:r>
              <w:rPr>
                <w:rFonts w:ascii="Times New Roman"/>
                <w:sz w:val="18"/>
              </w:rPr>
              <w:t>880.52</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286,629,88</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0.52</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 w:right="0"/>
              <w:jc w:val="center"/>
              <w:rPr>
                <w:rFonts w:ascii="Times New Roman" w:hAnsi="Times New Roman" w:cs="Times New Roman" w:eastAsia="Times New Roman" w:hint="default"/>
                <w:sz w:val="18"/>
                <w:szCs w:val="18"/>
              </w:rPr>
            </w:pPr>
            <w:r>
              <w:rPr>
                <w:rFonts w:ascii="Times New Roman"/>
                <w:sz w:val="18"/>
              </w:rPr>
              <w:t>284,800,</w:t>
            </w:r>
          </w:p>
          <w:p>
            <w:pPr>
              <w:pStyle w:val="TableParagraph"/>
              <w:spacing w:line="207" w:lineRule="exact"/>
              <w:ind w:left="146" w:right="0"/>
              <w:jc w:val="center"/>
              <w:rPr>
                <w:rFonts w:ascii="Times New Roman" w:hAnsi="Times New Roman" w:cs="Times New Roman" w:eastAsia="Times New Roman" w:hint="default"/>
                <w:sz w:val="18"/>
                <w:szCs w:val="18"/>
              </w:rPr>
            </w:pPr>
            <w:r>
              <w:rPr>
                <w:rFonts w:ascii="Times New Roman"/>
                <w:sz w:val="18"/>
              </w:rPr>
              <w:t>504.44</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Times New Roman" w:hAnsi="Times New Roman" w:cs="Times New Roman" w:eastAsia="Times New Roman" w:hint="default"/>
                <w:sz w:val="18"/>
                <w:szCs w:val="18"/>
              </w:rPr>
            </w:pPr>
            <w:r>
              <w:rPr>
                <w:rFonts w:ascii="Times New Roman"/>
                <w:sz w:val="18"/>
              </w:rPr>
              <w:t>284,800,50</w:t>
            </w:r>
          </w:p>
          <w:p>
            <w:pPr>
              <w:pStyle w:val="TableParagraph"/>
              <w:spacing w:line="207" w:lineRule="exact"/>
              <w:ind w:left="682" w:right="0"/>
              <w:jc w:val="left"/>
              <w:rPr>
                <w:rFonts w:ascii="Times New Roman" w:hAnsi="Times New Roman" w:cs="Times New Roman" w:eastAsia="Times New Roman" w:hint="default"/>
                <w:sz w:val="18"/>
                <w:szCs w:val="18"/>
              </w:rPr>
            </w:pPr>
            <w:r>
              <w:rPr>
                <w:rFonts w:ascii="Times New Roman"/>
                <w:sz w:val="18"/>
              </w:rPr>
              <w:t>4.44</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Times New Roman" w:hAnsi="Times New Roman" w:cs="Times New Roman" w:eastAsia="Times New Roman" w:hint="default"/>
                <w:sz w:val="18"/>
                <w:szCs w:val="18"/>
              </w:rPr>
            </w:pPr>
            <w:r>
              <w:rPr>
                <w:rFonts w:ascii="Times New Roman"/>
                <w:sz w:val="18"/>
              </w:rPr>
              <w:t>976,080,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 w:right="0"/>
              <w:jc w:val="center"/>
              <w:rPr>
                <w:rFonts w:ascii="Times New Roman" w:hAnsi="Times New Roman" w:cs="Times New Roman" w:eastAsia="Times New Roman" w:hint="default"/>
                <w:sz w:val="18"/>
                <w:szCs w:val="18"/>
              </w:rPr>
            </w:pPr>
            <w:r>
              <w:rPr>
                <w:rFonts w:ascii="Times New Roman"/>
                <w:sz w:val="18"/>
              </w:rPr>
              <w:t>515,771,</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014.05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-357,706</w:t>
            </w:r>
          </w:p>
          <w:p>
            <w:pPr>
              <w:pStyle w:val="TableParagraph"/>
              <w:spacing w:line="207" w:lineRule="exact"/>
              <w:ind w:left="547" w:right="0"/>
              <w:jc w:val="left"/>
              <w:rPr>
                <w:rFonts w:ascii="Times New Roman" w:hAnsi="Times New Roman" w:cs="Times New Roman" w:eastAsia="Times New Roman" w:hint="default"/>
                <w:sz w:val="18"/>
                <w:szCs w:val="18"/>
              </w:rPr>
            </w:pPr>
            <w:r>
              <w:rPr>
                <w:rFonts w:ascii="Times New Roman"/>
                <w:sz w:val="18"/>
              </w:rPr>
              <w:t>.35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Times New Roman" w:hAnsi="Times New Roman" w:cs="Times New Roman" w:eastAsia="Times New Roman" w:hint="default"/>
                <w:sz w:val="18"/>
                <w:szCs w:val="18"/>
              </w:rPr>
            </w:pPr>
            <w:r>
              <w:rPr>
                <w:rFonts w:ascii="Times New Roman"/>
                <w:sz w:val="18"/>
              </w:rPr>
              <w:t>4,246,98</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2.81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75,726,3</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90.27</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Times New Roman" w:hAnsi="Times New Roman" w:cs="Times New Roman" w:eastAsia="Times New Roman" w:hint="default"/>
                <w:sz w:val="18"/>
                <w:szCs w:val="18"/>
              </w:rPr>
            </w:pPr>
            <w:r>
              <w:rPr>
                <w:rFonts w:ascii="Times New Roman"/>
                <w:sz w:val="18"/>
              </w:rPr>
              <w:t>870,352,</w:t>
            </w:r>
          </w:p>
          <w:p>
            <w:pPr>
              <w:pStyle w:val="TableParagraph"/>
              <w:spacing w:line="207" w:lineRule="exact"/>
              <w:ind w:left="161" w:right="0"/>
              <w:jc w:val="center"/>
              <w:rPr>
                <w:rFonts w:ascii="Times New Roman" w:hAnsi="Times New Roman" w:cs="Times New Roman" w:eastAsia="Times New Roman" w:hint="default"/>
                <w:sz w:val="18"/>
                <w:szCs w:val="18"/>
              </w:rPr>
            </w:pPr>
            <w:r>
              <w:rPr>
                <w:rFonts w:ascii="Times New Roman"/>
                <w:sz w:val="18"/>
              </w:rPr>
              <w:t>713.91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Times New Roman" w:hAnsi="Times New Roman" w:cs="Times New Roman" w:eastAsia="Times New Roman" w:hint="default"/>
                <w:sz w:val="18"/>
                <w:szCs w:val="18"/>
              </w:rPr>
            </w:pPr>
            <w:r>
              <w:rPr>
                <w:rFonts w:ascii="Times New Roman"/>
                <w:sz w:val="18"/>
              </w:rPr>
              <w:t>109,864,33</w:t>
            </w:r>
          </w:p>
          <w:p>
            <w:pPr>
              <w:pStyle w:val="TableParagraph"/>
              <w:spacing w:line="207" w:lineRule="exact"/>
              <w:ind w:left="652" w:right="0"/>
              <w:jc w:val="left"/>
              <w:rPr>
                <w:rFonts w:ascii="Times New Roman" w:hAnsi="Times New Roman" w:cs="Times New Roman" w:eastAsia="Times New Roman" w:hint="default"/>
                <w:sz w:val="18"/>
                <w:szCs w:val="18"/>
              </w:rPr>
            </w:pPr>
            <w:r>
              <w:rPr>
                <w:rFonts w:ascii="Times New Roman"/>
                <w:sz w:val="18"/>
              </w:rPr>
              <w:t>4.18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Times New Roman" w:hAnsi="Times New Roman" w:cs="Times New Roman" w:eastAsia="Times New Roman" w:hint="default"/>
                <w:sz w:val="18"/>
                <w:szCs w:val="18"/>
              </w:rPr>
            </w:pPr>
            <w:r>
              <w:rPr>
                <w:rFonts w:ascii="Times New Roman"/>
                <w:sz w:val="18"/>
              </w:rPr>
              <w:t>2,551,683,7</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28.87</w:t>
            </w:r>
          </w:p>
        </w:tc>
      </w:tr>
    </w:tbl>
    <w:p>
      <w:pPr>
        <w:spacing w:after="0" w:line="207" w:lineRule="exact"/>
        <w:jc w:val="left"/>
        <w:rPr>
          <w:rFonts w:ascii="Times New Roman" w:hAnsi="Times New Roman" w:cs="Times New Roman" w:eastAsia="Times New Roman" w:hint="default"/>
          <w:sz w:val="18"/>
          <w:szCs w:val="18"/>
        </w:rPr>
        <w:sectPr>
          <w:footerReference w:type="default" r:id="rId38"/>
          <w:pgSz w:w="16840" w:h="11910" w:orient="landscape"/>
          <w:pgMar w:footer="1195" w:header="882"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180" w:right="0"/>
        <w:jc w:val="left"/>
      </w:pPr>
      <w:r>
        <w:rPr/>
        <w:t>法定代表人：徐文卫 主管会计工作负责人：李长春</w:t>
      </w:r>
      <w:r>
        <w:rPr>
          <w:spacing w:val="-7"/>
        </w:rPr>
        <w:t> </w:t>
      </w:r>
      <w:r>
        <w:rPr/>
        <w:t>会计机构负责人：王菊侠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9"/>
          <w:pgSz w:w="16840" w:h="11910" w:orient="landscape"/>
          <w:pgMar w:footer="1195" w:header="882" w:top="1120" w:bottom="1380" w:left="1260" w:right="1360"/>
          <w:pgNumType w:start="81"/>
        </w:sectPr>
      </w:pPr>
    </w:p>
    <w:p>
      <w:pPr>
        <w:pStyle w:val="Heading3"/>
        <w:spacing w:line="274" w:lineRule="exact"/>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260" w:right="1360"/>
          <w:cols w:num="2" w:equalWidth="0">
            <w:col w:w="8267" w:space="40"/>
            <w:col w:w="5913"/>
          </w:cols>
        </w:sectPr>
      </w:pPr>
    </w:p>
    <w:tbl>
      <w:tblPr>
        <w:tblW w:w="0" w:type="auto"/>
        <w:jc w:val="left"/>
        <w:tblInd w:w="117"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9"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4"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0"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Times New Roman" w:hAnsi="Times New Roman" w:cs="Times New Roman" w:eastAsia="Times New Roman" w:hint="default"/>
                <w:sz w:val="18"/>
                <w:szCs w:val="18"/>
              </w:rPr>
            </w:pPr>
            <w:r>
              <w:rPr>
                <w:rFonts w:ascii="Times New Roman"/>
                <w:sz w:val="18"/>
              </w:rPr>
              <w:t>976,080,00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3" w:right="0"/>
              <w:jc w:val="left"/>
              <w:rPr>
                <w:rFonts w:ascii="Times New Roman" w:hAnsi="Times New Roman" w:cs="Times New Roman" w:eastAsia="Times New Roman" w:hint="default"/>
                <w:sz w:val="18"/>
                <w:szCs w:val="18"/>
              </w:rPr>
            </w:pPr>
            <w:r>
              <w:rPr>
                <w:rFonts w:ascii="Times New Roman"/>
                <w:sz w:val="18"/>
              </w:rPr>
              <w:t>521,267,65</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4" w:right="0"/>
              <w:jc w:val="left"/>
              <w:rPr>
                <w:rFonts w:ascii="Times New Roman" w:hAnsi="Times New Roman" w:cs="Times New Roman" w:eastAsia="Times New Roman" w:hint="default"/>
                <w:sz w:val="18"/>
                <w:szCs w:val="18"/>
              </w:rPr>
            </w:pPr>
            <w:r>
              <w:rPr>
                <w:rFonts w:ascii="Times New Roman"/>
                <w:sz w:val="18"/>
              </w:rPr>
              <w:t>75,726,39</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Times New Roman" w:hAnsi="Times New Roman" w:cs="Times New Roman" w:eastAsia="Times New Roman" w:hint="default"/>
                <w:sz w:val="18"/>
                <w:szCs w:val="18"/>
              </w:rPr>
            </w:pPr>
            <w:r>
              <w:rPr>
                <w:rFonts w:ascii="Times New Roman"/>
                <w:sz w:val="18"/>
              </w:rPr>
              <w:t>304,476,6</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92.67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left"/>
              <w:rPr>
                <w:rFonts w:ascii="Times New Roman" w:hAnsi="Times New Roman" w:cs="Times New Roman" w:eastAsia="Times New Roman" w:hint="default"/>
                <w:sz w:val="18"/>
                <w:szCs w:val="18"/>
              </w:rPr>
            </w:pPr>
            <w:r>
              <w:rPr>
                <w:rFonts w:ascii="Times New Roman"/>
                <w:sz w:val="18"/>
              </w:rPr>
              <w:t>1,877,550,</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738.17</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976,080,00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13" w:right="0"/>
              <w:jc w:val="left"/>
              <w:rPr>
                <w:rFonts w:ascii="Times New Roman" w:hAnsi="Times New Roman" w:cs="Times New Roman" w:eastAsia="Times New Roman" w:hint="default"/>
                <w:sz w:val="18"/>
                <w:szCs w:val="18"/>
              </w:rPr>
            </w:pPr>
            <w:r>
              <w:rPr>
                <w:rFonts w:ascii="Times New Roman"/>
                <w:sz w:val="18"/>
              </w:rPr>
              <w:t>521,267,65</w:t>
            </w:r>
          </w:p>
          <w:p>
            <w:pPr>
              <w:pStyle w:val="TableParagraph"/>
              <w:spacing w:line="207" w:lineRule="exact"/>
              <w:ind w:left="610" w:right="0"/>
              <w:jc w:val="left"/>
              <w:rPr>
                <w:rFonts w:ascii="Times New Roman" w:hAnsi="Times New Roman" w:cs="Times New Roman" w:eastAsia="Times New Roman" w:hint="default"/>
                <w:sz w:val="18"/>
                <w:szCs w:val="18"/>
              </w:rPr>
            </w:pPr>
            <w:r>
              <w:rPr>
                <w:rFonts w:ascii="Times New Roman"/>
                <w:sz w:val="18"/>
              </w:rPr>
              <w:t>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75,726,39</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304,476,6</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92.67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1,877,550,</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738.17</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4" w:right="0"/>
              <w:jc w:val="left"/>
              <w:rPr>
                <w:rFonts w:ascii="Times New Roman" w:hAnsi="Times New Roman" w:cs="Times New Roman" w:eastAsia="Times New Roman" w:hint="default"/>
                <w:sz w:val="18"/>
                <w:szCs w:val="18"/>
              </w:rPr>
            </w:pPr>
            <w:r>
              <w:rPr>
                <w:rFonts w:ascii="Times New Roman"/>
                <w:sz w:val="18"/>
              </w:rPr>
              <w:t>20,809,92</w:t>
            </w: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1.78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9" w:right="0"/>
              <w:jc w:val="left"/>
              <w:rPr>
                <w:rFonts w:ascii="Times New Roman" w:hAnsi="Times New Roman" w:cs="Times New Roman" w:eastAsia="Times New Roman" w:hint="default"/>
                <w:sz w:val="18"/>
                <w:szCs w:val="18"/>
              </w:rPr>
            </w:pPr>
            <w:r>
              <w:rPr>
                <w:rFonts w:ascii="Times New Roman"/>
                <w:sz w:val="18"/>
              </w:rPr>
              <w:t>118,963,6</w:t>
            </w: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96.02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Times New Roman" w:hAnsi="Times New Roman" w:cs="Times New Roman" w:eastAsia="Times New Roman" w:hint="default"/>
                <w:sz w:val="18"/>
                <w:szCs w:val="18"/>
              </w:rPr>
            </w:pPr>
            <w:r>
              <w:rPr>
                <w:rFonts w:ascii="Times New Roman"/>
                <w:spacing w:val="-1"/>
                <w:sz w:val="18"/>
              </w:rPr>
              <w:t>139,773,61</w:t>
            </w: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7.8</w:t>
            </w: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208,099,2</w:t>
            </w:r>
          </w:p>
          <w:p>
            <w:pPr>
              <w:pStyle w:val="TableParagraph"/>
              <w:spacing w:line="240" w:lineRule="auto" w:before="2"/>
              <w:ind w:left="487" w:right="0"/>
              <w:jc w:val="left"/>
              <w:rPr>
                <w:rFonts w:ascii="Times New Roman" w:hAnsi="Times New Roman" w:cs="Times New Roman" w:eastAsia="Times New Roman" w:hint="default"/>
                <w:sz w:val="18"/>
                <w:szCs w:val="18"/>
              </w:rPr>
            </w:pPr>
            <w:r>
              <w:rPr>
                <w:rFonts w:ascii="Times New Roman"/>
                <w:sz w:val="18"/>
              </w:rPr>
              <w:t>17.80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208,099,21</w:t>
            </w:r>
          </w:p>
          <w:p>
            <w:pPr>
              <w:pStyle w:val="TableParagraph"/>
              <w:spacing w:line="240" w:lineRule="auto" w:before="2"/>
              <w:ind w:right="95"/>
              <w:jc w:val="right"/>
              <w:rPr>
                <w:rFonts w:ascii="Times New Roman" w:hAnsi="Times New Roman" w:cs="Times New Roman" w:eastAsia="Times New Roman" w:hint="default"/>
                <w:sz w:val="18"/>
                <w:szCs w:val="18"/>
              </w:rPr>
            </w:pPr>
            <w:r>
              <w:rPr>
                <w:rFonts w:ascii="Times New Roman"/>
                <w:sz w:val="18"/>
              </w:rPr>
              <w:t>7.8</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20,809,92</w:t>
            </w:r>
          </w:p>
          <w:p>
            <w:pPr>
              <w:pStyle w:val="TableParagraph"/>
              <w:spacing w:line="240" w:lineRule="auto" w:before="2"/>
              <w:ind w:left="590" w:right="0"/>
              <w:jc w:val="left"/>
              <w:rPr>
                <w:rFonts w:ascii="Times New Roman" w:hAnsi="Times New Roman" w:cs="Times New Roman" w:eastAsia="Times New Roman" w:hint="default"/>
                <w:sz w:val="18"/>
                <w:szCs w:val="18"/>
              </w:rPr>
            </w:pPr>
            <w:r>
              <w:rPr>
                <w:rFonts w:ascii="Times New Roman"/>
                <w:sz w:val="18"/>
              </w:rPr>
              <w:t>1.78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-89,135,52</w:t>
            </w:r>
          </w:p>
          <w:p>
            <w:pPr>
              <w:pStyle w:val="TableParagraph"/>
              <w:spacing w:line="240" w:lineRule="auto" w:before="2"/>
              <w:ind w:left="578" w:right="0"/>
              <w:jc w:val="left"/>
              <w:rPr>
                <w:rFonts w:ascii="Times New Roman" w:hAnsi="Times New Roman" w:cs="Times New Roman" w:eastAsia="Times New Roman" w:hint="default"/>
                <w:sz w:val="18"/>
                <w:szCs w:val="18"/>
              </w:rPr>
            </w:pPr>
            <w:r>
              <w:rPr>
                <w:rFonts w:ascii="Times New Roman"/>
                <w:sz w:val="18"/>
              </w:rPr>
              <w:t>1.78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-68,325,60</w:t>
            </w:r>
          </w:p>
          <w:p>
            <w:pPr>
              <w:pStyle w:val="TableParagraph"/>
              <w:spacing w:line="240" w:lineRule="auto" w:before="2"/>
              <w:ind w:left="598" w:right="0"/>
              <w:jc w:val="left"/>
              <w:rPr>
                <w:rFonts w:ascii="Times New Roman" w:hAnsi="Times New Roman" w:cs="Times New Roman" w:eastAsia="Times New Roman" w:hint="default"/>
                <w:sz w:val="18"/>
                <w:szCs w:val="18"/>
              </w:rPr>
            </w:pPr>
            <w:r>
              <w:rPr>
                <w:rFonts w:ascii="Times New Roman"/>
                <w:sz w:val="18"/>
              </w:rPr>
              <w:t>0.00</w:t>
            </w: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20,809,92</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1.78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-20,809,92</w:t>
            </w:r>
          </w:p>
          <w:p>
            <w:pPr>
              <w:pStyle w:val="TableParagraph"/>
              <w:spacing w:line="207" w:lineRule="exact"/>
              <w:ind w:left="578" w:right="0"/>
              <w:jc w:val="left"/>
              <w:rPr>
                <w:rFonts w:ascii="Times New Roman" w:hAnsi="Times New Roman" w:cs="Times New Roman" w:eastAsia="Times New Roman" w:hint="default"/>
                <w:sz w:val="18"/>
                <w:szCs w:val="18"/>
              </w:rPr>
            </w:pPr>
            <w:r>
              <w:rPr>
                <w:rFonts w:ascii="Times New Roman"/>
                <w:sz w:val="18"/>
              </w:rPr>
              <w:t>1.78</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-68,325,60</w:t>
            </w:r>
          </w:p>
          <w:p>
            <w:pPr>
              <w:pStyle w:val="TableParagraph"/>
              <w:spacing w:line="207" w:lineRule="exact"/>
              <w:ind w:left="578" w:right="0"/>
              <w:jc w:val="left"/>
              <w:rPr>
                <w:rFonts w:ascii="Times New Roman" w:hAnsi="Times New Roman" w:cs="Times New Roman" w:eastAsia="Times New Roman" w:hint="default"/>
                <w:sz w:val="18"/>
                <w:szCs w:val="18"/>
              </w:rPr>
            </w:pPr>
            <w:r>
              <w:rPr>
                <w:rFonts w:ascii="Times New Roman"/>
                <w:sz w:val="18"/>
              </w:rPr>
              <w:t>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-68,325,60</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07" w:lineRule="exact"/>
        <w:jc w:val="left"/>
        <w:rPr>
          <w:rFonts w:ascii="Times New Roman" w:hAnsi="Times New Roman" w:cs="Times New Roman" w:eastAsia="Times New Roman" w:hint="default"/>
          <w:sz w:val="18"/>
          <w:szCs w:val="18"/>
        </w:rPr>
        <w:sectPr>
          <w:type w:val="continuous"/>
          <w:pgSz w:w="16840" w:h="11910" w:orient="landscape"/>
          <w:pgMar w:top="112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3,551,648.</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42</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3,551,648.</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42</w:t>
            </w:r>
          </w:p>
        </w:tc>
      </w:tr>
      <w:tr>
        <w:trPr>
          <w:trHeight w:val="42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3,551,648.</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42</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3,551,648.</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42</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976,080,00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521,267,65</w:t>
            </w:r>
          </w:p>
          <w:p>
            <w:pPr>
              <w:pStyle w:val="TableParagraph"/>
              <w:spacing w:line="207" w:lineRule="exact"/>
              <w:ind w:left="607" w:right="0"/>
              <w:jc w:val="left"/>
              <w:rPr>
                <w:rFonts w:ascii="Times New Roman" w:hAnsi="Times New Roman" w:cs="Times New Roman" w:eastAsia="Times New Roman" w:hint="default"/>
                <w:sz w:val="18"/>
                <w:szCs w:val="18"/>
              </w:rPr>
            </w:pPr>
            <w:r>
              <w:rPr>
                <w:rFonts w:ascii="Times New Roman"/>
                <w:sz w:val="18"/>
              </w:rPr>
              <w:t>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96,536,31</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2.05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423,440,3</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88.69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2,017,324,</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355.97</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7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7"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4"/>
              <w:ind w:left="324"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4"/>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4"/>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488,040,00</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1,009,307,</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75,726,39</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370,514,3</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40.69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1,943,588,</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386.19</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488,040,00</w:t>
            </w:r>
          </w:p>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1,009,307,</w:t>
            </w:r>
          </w:p>
          <w:p>
            <w:pPr>
              <w:pStyle w:val="TableParagraph"/>
              <w:spacing w:line="240" w:lineRule="auto" w:before="2"/>
              <w:ind w:left="430" w:right="0"/>
              <w:jc w:val="left"/>
              <w:rPr>
                <w:rFonts w:ascii="Times New Roman" w:hAnsi="Times New Roman" w:cs="Times New Roman" w:eastAsia="Times New Roman" w:hint="default"/>
                <w:sz w:val="18"/>
                <w:szCs w:val="18"/>
              </w:rPr>
            </w:pPr>
            <w:r>
              <w:rPr>
                <w:rFonts w:ascii="Times New Roman"/>
                <w:sz w:val="18"/>
              </w:rPr>
              <w:t>655.23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75,726,39</w:t>
            </w:r>
          </w:p>
          <w:p>
            <w:pPr>
              <w:pStyle w:val="TableParagraph"/>
              <w:spacing w:line="240" w:lineRule="auto" w:before="2"/>
              <w:ind w:left="590" w:right="0"/>
              <w:jc w:val="left"/>
              <w:rPr>
                <w:rFonts w:ascii="Times New Roman" w:hAnsi="Times New Roman" w:cs="Times New Roman" w:eastAsia="Times New Roman" w:hint="default"/>
                <w:sz w:val="18"/>
                <w:szCs w:val="18"/>
              </w:rPr>
            </w:pPr>
            <w:r>
              <w:rPr>
                <w:rFonts w:ascii="Times New Roman"/>
                <w:sz w:val="18"/>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370,514,3</w:t>
            </w:r>
          </w:p>
          <w:p>
            <w:pPr>
              <w:pStyle w:val="TableParagraph"/>
              <w:spacing w:line="240" w:lineRule="auto" w:before="2"/>
              <w:ind w:left="487" w:right="0"/>
              <w:jc w:val="left"/>
              <w:rPr>
                <w:rFonts w:ascii="Times New Roman" w:hAnsi="Times New Roman" w:cs="Times New Roman" w:eastAsia="Times New Roman" w:hint="default"/>
                <w:sz w:val="18"/>
                <w:szCs w:val="18"/>
              </w:rPr>
            </w:pPr>
            <w:r>
              <w:rPr>
                <w:rFonts w:ascii="Times New Roman"/>
                <w:sz w:val="18"/>
              </w:rPr>
              <w:t>40.69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1,943,588,</w:t>
            </w:r>
          </w:p>
          <w:p>
            <w:pPr>
              <w:pStyle w:val="TableParagraph"/>
              <w:spacing w:line="240" w:lineRule="auto" w:before="2"/>
              <w:ind w:left="418" w:right="0"/>
              <w:jc w:val="left"/>
              <w:rPr>
                <w:rFonts w:ascii="Times New Roman" w:hAnsi="Times New Roman" w:cs="Times New Roman" w:eastAsia="Times New Roman" w:hint="default"/>
                <w:sz w:val="18"/>
                <w:szCs w:val="18"/>
              </w:rPr>
            </w:pPr>
            <w:r>
              <w:rPr>
                <w:rFonts w:ascii="Times New Roman"/>
                <w:sz w:val="18"/>
              </w:rPr>
              <w:t>386.19</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488,040,00</w:t>
            </w: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-488,040,0</w:t>
            </w: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-66,037,64</w:t>
            </w: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8.02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-66,037,64</w:t>
            </w: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8.02</w:t>
            </w: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-7,472,848</w:t>
            </w:r>
          </w:p>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.02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-7,472,848</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.02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-58,564,80</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-58,564,80</w:t>
            </w:r>
          </w:p>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-58,564,80</w:t>
            </w: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-58,564,80</w:t>
            </w: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488,040,00</w:t>
            </w:r>
          </w:p>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-488,040,0</w:t>
            </w:r>
          </w:p>
          <w:p>
            <w:pPr>
              <w:pStyle w:val="TableParagraph"/>
              <w:spacing w:line="240" w:lineRule="auto" w:before="2"/>
              <w:ind w:left="516" w:right="0"/>
              <w:jc w:val="left"/>
              <w:rPr>
                <w:rFonts w:ascii="Times New Roman" w:hAnsi="Times New Roman" w:cs="Times New Roman" w:eastAsia="Times New Roman" w:hint="default"/>
                <w:sz w:val="18"/>
                <w:szCs w:val="18"/>
              </w:rPr>
            </w:pPr>
            <w:r>
              <w:rPr>
                <w:rFonts w:ascii="Times New Roman"/>
                <w:sz w:val="18"/>
              </w:rPr>
              <w:t>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488,040,00</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-488,040,0</w:t>
            </w:r>
          </w:p>
          <w:p>
            <w:pPr>
              <w:pStyle w:val="TableParagraph"/>
              <w:spacing w:line="207" w:lineRule="exact"/>
              <w:ind w:left="516" w:right="0"/>
              <w:jc w:val="left"/>
              <w:rPr>
                <w:rFonts w:ascii="Times New Roman" w:hAnsi="Times New Roman" w:cs="Times New Roman" w:eastAsia="Times New Roman" w:hint="default"/>
                <w:sz w:val="18"/>
                <w:szCs w:val="18"/>
              </w:rPr>
            </w:pPr>
            <w:r>
              <w:rPr>
                <w:rFonts w:ascii="Times New Roman"/>
                <w:sz w:val="18"/>
              </w:rPr>
              <w:t>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3,235,850.</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48</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3,235,850.</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48</w:t>
            </w: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3,235,850.</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48</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3,235,850.</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48</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976,080,00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521,267,65</w:t>
            </w:r>
          </w:p>
          <w:p>
            <w:pPr>
              <w:pStyle w:val="TableParagraph"/>
              <w:spacing w:line="207" w:lineRule="exact"/>
              <w:ind w:left="607" w:right="0"/>
              <w:jc w:val="left"/>
              <w:rPr>
                <w:rFonts w:ascii="Times New Roman" w:hAnsi="Times New Roman" w:cs="Times New Roman" w:eastAsia="Times New Roman" w:hint="default"/>
                <w:sz w:val="18"/>
                <w:szCs w:val="18"/>
              </w:rPr>
            </w:pPr>
            <w:r>
              <w:rPr>
                <w:rFonts w:ascii="Times New Roman"/>
                <w:sz w:val="18"/>
              </w:rPr>
              <w:t>5.23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75,726,39</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304,476,6</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92.67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1,877,550,</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738.17</w:t>
            </w:r>
          </w:p>
        </w:tc>
      </w:tr>
    </w:tbl>
    <w:p>
      <w:pPr>
        <w:pStyle w:val="BodyText"/>
        <w:spacing w:line="241" w:lineRule="exact"/>
        <w:ind w:left="140" w:right="0"/>
        <w:jc w:val="left"/>
      </w:pPr>
      <w:r>
        <w:rPr/>
        <w:t>法定代表人：徐文卫 主管会计工作负责人：李长春</w:t>
      </w:r>
      <w:r>
        <w:rPr>
          <w:spacing w:val="-7"/>
        </w:rPr>
        <w:t> </w:t>
      </w:r>
      <w:r>
        <w:rPr/>
        <w:t>会计机构负责人：王菊侠</w:t>
      </w:r>
    </w:p>
    <w:p>
      <w:pPr>
        <w:spacing w:after="0" w:line="241" w:lineRule="exact"/>
        <w:jc w:val="left"/>
        <w:sectPr>
          <w:pgSz w:w="16840" w:h="11910" w:orient="landscape"/>
          <w:pgMar w:header="882" w:footer="1195" w:top="1120" w:bottom="1380" w:left="1300" w:right="13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tabs>
          <w:tab w:pos="557" w:val="left" w:leader="none"/>
        </w:tabs>
        <w:spacing w:line="290" w:lineRule="auto"/>
        <w:ind w:left="137" w:right="73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3" w:lineRule="exact" w:before="14"/>
        <w:ind w:left="137" w:right="0"/>
        <w:jc w:val="both"/>
      </w:pPr>
      <w:r>
        <w:rPr/>
        <w:t>√适用  □不适用</w:t>
      </w:r>
    </w:p>
    <w:p>
      <w:pPr>
        <w:pStyle w:val="BodyText"/>
        <w:spacing w:line="289" w:lineRule="exact"/>
        <w:ind w:left="557" w:right="105"/>
        <w:jc w:val="left"/>
      </w:pPr>
      <w:r>
        <w:rPr/>
        <w:t>宁波建工股份有限公司系</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19</w:t>
      </w:r>
      <w:r>
        <w:rPr>
          <w:rFonts w:ascii="Times New Roman" w:hAnsi="Times New Roman" w:cs="Times New Roman" w:eastAsia="Times New Roman" w:hint="default"/>
          <w:spacing w:val="-17"/>
        </w:rPr>
        <w:t> </w:t>
      </w:r>
      <w:r>
        <w:rPr/>
        <w:t>日经宁波市工商行政管理局批准由宁波建工集团有</w:t>
      </w:r>
    </w:p>
    <w:p>
      <w:pPr>
        <w:pStyle w:val="BodyText"/>
        <w:spacing w:line="336" w:lineRule="auto" w:before="117"/>
        <w:ind w:left="137" w:right="105"/>
        <w:jc w:val="left"/>
      </w:pPr>
      <w:r>
        <w:rPr/>
        <w:t>限公司整体变更设立的股份有限公司，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日在上海证券交易所上市。证券简称：</w:t>
      </w:r>
      <w:r>
        <w:rPr>
          <w:rFonts w:ascii="Times New Roman" w:hAnsi="Times New Roman" w:cs="Times New Roman" w:eastAsia="Times New Roman" w:hint="default"/>
          <w:spacing w:val="-3"/>
        </w:rPr>
        <w:t>“</w:t>
      </w:r>
      <w:r>
        <w:rPr>
          <w:spacing w:val="-3"/>
        </w:rPr>
        <w:t>宁</w:t>
      </w:r>
      <w:r>
        <w:rPr>
          <w:spacing w:val="-103"/>
        </w:rPr>
        <w:t> </w:t>
      </w:r>
      <w:r>
        <w:rPr/>
        <w:t>波建工</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601789</w:t>
      </w:r>
      <w:r>
        <w:rPr/>
        <w:t>。</w:t>
      </w:r>
    </w:p>
    <w:p>
      <w:pPr>
        <w:pStyle w:val="BodyText"/>
        <w:spacing w:line="357" w:lineRule="auto" w:before="26"/>
        <w:ind w:left="557" w:right="2320"/>
        <w:jc w:val="left"/>
      </w:pPr>
      <w:r>
        <w:rPr>
          <w:spacing w:val="-2"/>
        </w:rPr>
        <w:t>（一）企业注册地、组织形式和总部地址</w:t>
      </w:r>
      <w:r>
        <w:rPr>
          <w:rFonts w:ascii="宋体" w:hAnsi="宋体" w:cs="宋体" w:eastAsia="宋体" w:hint="default"/>
          <w:spacing w:val="-2"/>
        </w:rPr>
        <w:t>:</w:t>
      </w:r>
      <w:r>
        <w:rPr>
          <w:rFonts w:ascii="宋体" w:hAnsi="宋体" w:cs="宋体" w:eastAsia="宋体" w:hint="default"/>
          <w:spacing w:val="-69"/>
        </w:rPr>
        <w:t> </w:t>
      </w:r>
      <w:r>
        <w:rPr/>
        <w:t>注册地：宁波市鄞州区兴宁路</w:t>
      </w:r>
      <w:r>
        <w:rPr>
          <w:spacing w:val="-53"/>
        </w:rPr>
        <w:t> </w:t>
      </w:r>
      <w:r>
        <w:rPr>
          <w:rFonts w:ascii="宋体" w:hAnsi="宋体" w:cs="宋体" w:eastAsia="宋体" w:hint="default"/>
        </w:rPr>
        <w:t>46</w:t>
      </w:r>
      <w:r>
        <w:rPr>
          <w:rFonts w:ascii="宋体" w:hAnsi="宋体" w:cs="宋体" w:eastAsia="宋体" w:hint="default"/>
          <w:spacing w:val="-54"/>
        </w:rPr>
        <w:t> </w:t>
      </w:r>
      <w:r>
        <w:rPr/>
        <w:t>号</w:t>
      </w:r>
      <w:r>
        <w:rPr>
          <w:w w:val="100"/>
        </w:rPr>
        <w:t> </w:t>
      </w:r>
      <w:r>
        <w:rPr/>
        <w:t>组织形式：其他股份有限公司（上市）</w:t>
      </w:r>
      <w:r>
        <w:rPr>
          <w:w w:val="100"/>
        </w:rPr>
        <w:t> </w:t>
      </w:r>
      <w:r>
        <w:rPr/>
        <w:t>总部地址：宁波市鄞州区宁穿路</w:t>
      </w:r>
      <w:r>
        <w:rPr>
          <w:spacing w:val="-53"/>
        </w:rPr>
        <w:t> </w:t>
      </w:r>
      <w:r>
        <w:rPr>
          <w:rFonts w:ascii="宋体" w:hAnsi="宋体" w:cs="宋体" w:eastAsia="宋体" w:hint="default"/>
        </w:rPr>
        <w:t>538</w:t>
      </w:r>
      <w:r>
        <w:rPr>
          <w:rFonts w:ascii="宋体" w:hAnsi="宋体" w:cs="宋体" w:eastAsia="宋体" w:hint="default"/>
          <w:spacing w:val="-55"/>
        </w:rPr>
        <w:t> </w:t>
      </w:r>
      <w:r>
        <w:rPr/>
        <w:t>号</w:t>
      </w:r>
    </w:p>
    <w:p>
      <w:pPr>
        <w:pStyle w:val="BodyText"/>
        <w:spacing w:line="355" w:lineRule="auto" w:before="32"/>
        <w:ind w:left="557" w:right="2320"/>
        <w:jc w:val="left"/>
      </w:pPr>
      <w:r>
        <w:rPr>
          <w:spacing w:val="-2"/>
        </w:rPr>
        <w:t>（二）企业的业务性质和主要经营活动</w:t>
      </w:r>
      <w:r>
        <w:rPr>
          <w:rFonts w:ascii="宋体" w:hAnsi="宋体" w:cs="宋体" w:eastAsia="宋体" w:hint="default"/>
          <w:spacing w:val="-2"/>
        </w:rPr>
        <w:t>:</w:t>
      </w:r>
      <w:r>
        <w:rPr>
          <w:rFonts w:ascii="宋体" w:hAnsi="宋体" w:cs="宋体" w:eastAsia="宋体" w:hint="default"/>
          <w:spacing w:val="-69"/>
        </w:rPr>
        <w:t> </w:t>
      </w:r>
      <w:r>
        <w:rPr/>
        <w:t>企业所处行业：土木工程建筑业。</w:t>
      </w:r>
    </w:p>
    <w:p>
      <w:pPr>
        <w:pStyle w:val="BodyText"/>
        <w:spacing w:line="355" w:lineRule="auto" w:before="32"/>
        <w:ind w:left="137" w:right="209" w:firstLine="420"/>
        <w:jc w:val="both"/>
      </w:pPr>
      <w:r>
        <w:rPr>
          <w:spacing w:val="-2"/>
        </w:rPr>
        <w:t>企业主营业务：房屋和土木工程建筑业；建筑安装业；建筑装饰业；其他建筑业；建筑智能</w:t>
      </w:r>
      <w:r>
        <w:rPr>
          <w:w w:val="100"/>
        </w:rPr>
        <w:t> </w:t>
      </w:r>
      <w:r>
        <w:rPr>
          <w:spacing w:val="-1"/>
        </w:rPr>
        <w:t>化工程施工；园林绿化工程；钢结构件制作安装；物业管理；建筑机械设备租赁；建筑构件、机</w:t>
      </w:r>
      <w:r>
        <w:rPr>
          <w:spacing w:val="-55"/>
        </w:rPr>
        <w:t> </w:t>
      </w:r>
      <w:r>
        <w:rPr>
          <w:spacing w:val="-55"/>
        </w:rPr>
      </w:r>
      <w:r>
        <w:rPr/>
        <w:t>械设备及配件的制造、加工、管道安装等建筑施工业务，以及相关的建材物资销售业务。</w:t>
      </w:r>
    </w:p>
    <w:p>
      <w:pPr>
        <w:pStyle w:val="BodyText"/>
        <w:spacing w:line="240" w:lineRule="auto" w:before="34"/>
        <w:ind w:left="557" w:right="105"/>
        <w:jc w:val="left"/>
      </w:pPr>
      <w:r>
        <w:rPr/>
        <w:t>（三）财务报告的批准报出者和财务报告批准报出日。</w:t>
      </w:r>
    </w:p>
    <w:p>
      <w:pPr>
        <w:pStyle w:val="BodyText"/>
        <w:spacing w:line="336" w:lineRule="auto" w:before="133"/>
        <w:ind w:left="137" w:right="209" w:firstLine="420"/>
        <w:jc w:val="both"/>
      </w:pPr>
      <w:r>
        <w:rPr/>
        <w:t>本财务报告经本公司董事会于</w:t>
      </w:r>
      <w:r>
        <w:rPr>
          <w:spacing w:val="-50"/>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18 </w:t>
      </w:r>
      <w:r>
        <w:rPr/>
        <w:t>日决议批准。根据本公司章程，本财务报告将</w:t>
      </w:r>
      <w:r>
        <w:rPr>
          <w:w w:val="100"/>
        </w:rPr>
        <w:t> </w:t>
      </w:r>
      <w:r>
        <w:rPr/>
        <w:t>提交股东大会审议。</w:t>
      </w:r>
    </w:p>
    <w:p>
      <w:pPr>
        <w:spacing w:line="240" w:lineRule="auto" w:before="11"/>
        <w:rPr>
          <w:rFonts w:ascii="宋体" w:hAnsi="宋体" w:cs="宋体" w:eastAsia="宋体" w:hint="default"/>
          <w:sz w:val="26"/>
          <w:szCs w:val="26"/>
        </w:rPr>
      </w:pPr>
    </w:p>
    <w:p>
      <w:pPr>
        <w:pStyle w:val="Heading3"/>
        <w:spacing w:line="240" w:lineRule="auto" w:before="0"/>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tabs>
          <w:tab w:pos="979" w:val="left" w:leader="none"/>
        </w:tabs>
        <w:spacing w:line="240" w:lineRule="auto" w:before="56"/>
        <w:ind w:left="557" w:right="103" w:hanging="420"/>
        <w:jc w:val="left"/>
      </w:pPr>
      <w:r>
        <w:rPr/>
        <w:t>√适用</w:t>
        <w:tab/>
        <w:t>□不适用</w:t>
      </w:r>
      <w:r>
        <w:rPr>
          <w:w w:val="100"/>
        </w:rPr>
        <w:t> </w:t>
      </w:r>
      <w:r>
        <w:rPr>
          <w:spacing w:val="-9"/>
          <w:w w:val="100"/>
        </w:rPr>
        <w:t>公司将实际控制的所有分、子公司纳入合并财务报表范围。合并范围具体情况参见本附注“八、</w:t>
      </w:r>
    </w:p>
    <w:p>
      <w:pPr>
        <w:pStyle w:val="BodyText"/>
        <w:spacing w:line="271" w:lineRule="exact"/>
        <w:ind w:left="137" w:right="0"/>
        <w:jc w:val="both"/>
      </w:pPr>
      <w:r>
        <w:rPr>
          <w:w w:val="100"/>
        </w:rPr>
        <w:t>合并</w:t>
      </w:r>
      <w:r>
        <w:rPr>
          <w:spacing w:val="-3"/>
          <w:w w:val="100"/>
        </w:rPr>
        <w:t>范</w:t>
      </w:r>
      <w:r>
        <w:rPr>
          <w:w w:val="100"/>
        </w:rPr>
        <w:t>围</w:t>
      </w:r>
      <w:r>
        <w:rPr>
          <w:spacing w:val="-3"/>
          <w:w w:val="100"/>
        </w:rPr>
        <w:t>的</w:t>
      </w:r>
      <w:r>
        <w:rPr>
          <w:w w:val="100"/>
        </w:rPr>
        <w:t>变</w:t>
      </w:r>
      <w:r>
        <w:rPr>
          <w:spacing w:val="-3"/>
          <w:w w:val="100"/>
        </w:rPr>
        <w:t>更</w:t>
      </w:r>
      <w:r>
        <w:rPr>
          <w:spacing w:val="-106"/>
          <w:w w:val="100"/>
        </w:rPr>
        <w:t>”</w:t>
      </w:r>
      <w:r>
        <w:rPr>
          <w:spacing w:val="-3"/>
          <w:w w:val="100"/>
        </w:rPr>
        <w:t>、</w:t>
      </w:r>
      <w:r>
        <w:rPr>
          <w:w w:val="100"/>
        </w:rPr>
        <w:t>本</w:t>
      </w:r>
      <w:r>
        <w:rPr>
          <w:spacing w:val="-3"/>
          <w:w w:val="100"/>
        </w:rPr>
        <w:t>附注</w:t>
      </w:r>
      <w:r>
        <w:rPr>
          <w:w w:val="100"/>
        </w:rPr>
        <w:t>“九</w:t>
      </w:r>
      <w:r>
        <w:rPr>
          <w:spacing w:val="-3"/>
          <w:w w:val="100"/>
        </w:rPr>
        <w:t>、</w:t>
      </w:r>
      <w:r>
        <w:rPr>
          <w:w w:val="100"/>
        </w:rPr>
        <w:t>在</w:t>
      </w:r>
      <w:r>
        <w:rPr>
          <w:spacing w:val="-3"/>
          <w:w w:val="100"/>
        </w:rPr>
        <w:t>其</w:t>
      </w:r>
      <w:r>
        <w:rPr>
          <w:w w:val="100"/>
        </w:rPr>
        <w:t>他</w:t>
      </w:r>
      <w:r>
        <w:rPr>
          <w:spacing w:val="-3"/>
          <w:w w:val="100"/>
        </w:rPr>
        <w:t>主</w:t>
      </w:r>
      <w:r>
        <w:rPr>
          <w:w w:val="100"/>
        </w:rPr>
        <w:t>体</w:t>
      </w:r>
      <w:r>
        <w:rPr>
          <w:spacing w:val="-3"/>
          <w:w w:val="100"/>
        </w:rPr>
        <w:t>中</w:t>
      </w:r>
      <w:r>
        <w:rPr>
          <w:w w:val="100"/>
        </w:rPr>
        <w:t>的</w:t>
      </w:r>
      <w:r>
        <w:rPr>
          <w:spacing w:val="-3"/>
          <w:w w:val="100"/>
        </w:rPr>
        <w:t>权</w:t>
      </w:r>
      <w:r>
        <w:rPr>
          <w:w w:val="100"/>
        </w:rPr>
        <w:t>益”</w:t>
      </w:r>
      <w:r>
        <w:rPr>
          <w:spacing w:val="-3"/>
          <w:w w:val="100"/>
        </w:rPr>
        <w:t>披</w:t>
      </w:r>
      <w:r>
        <w:rPr>
          <w:w w:val="100"/>
        </w:rPr>
        <w:t>露。</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tabs>
          <w:tab w:pos="562" w:val="left" w:leader="none"/>
        </w:tabs>
        <w:spacing w:line="290" w:lineRule="auto" w:before="0"/>
        <w:ind w:left="137" w:right="67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0" w:lineRule="auto" w:before="22"/>
        <w:ind w:left="137" w:right="209"/>
        <w:jc w:val="both"/>
      </w:pPr>
      <w:r>
        <w:rPr>
          <w:spacing w:val="-1"/>
        </w:rPr>
        <w:t>本公司财务报表以持续经营为编制基础。根据实际发生的交易和事项，按照财政部颁布的《企业</w:t>
      </w:r>
      <w:r>
        <w:rPr>
          <w:spacing w:val="-55"/>
        </w:rPr>
        <w:t> </w:t>
      </w:r>
      <w:r>
        <w:rPr>
          <w:spacing w:val="-55"/>
        </w:rPr>
      </w:r>
      <w:r>
        <w:rPr>
          <w:spacing w:val="-2"/>
          <w:w w:val="100"/>
        </w:rPr>
        <w:t>会计准则</w:t>
      </w:r>
      <w:r>
        <w:rPr>
          <w:rFonts w:ascii="Times New Roman" w:hAnsi="Times New Roman" w:cs="Times New Roman" w:eastAsia="Times New Roman" w:hint="default"/>
          <w:spacing w:val="-2"/>
          <w:w w:val="100"/>
        </w:rPr>
        <w:t>-</w:t>
      </w:r>
      <w:r>
        <w:rPr>
          <w:spacing w:val="-2"/>
          <w:w w:val="100"/>
        </w:rPr>
        <w:t>基本准则》和具体会计准则等规定（以下合称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），并基于以下所述重要</w:t>
      </w:r>
      <w:r>
        <w:rPr>
          <w:spacing w:val="-103"/>
          <w:w w:val="100"/>
        </w:rPr>
        <w:t> </w:t>
      </w:r>
      <w:r>
        <w:rPr>
          <w:spacing w:val="-103"/>
          <w:w w:val="100"/>
        </w:rPr>
      </w:r>
      <w:r>
        <w:rPr/>
        <w:t>会计政策、会计估计进行编制。</w:t>
      </w:r>
    </w:p>
    <w:p>
      <w:pPr>
        <w:spacing w:line="240" w:lineRule="auto" w:before="12"/>
        <w:rPr>
          <w:rFonts w:ascii="宋体" w:hAnsi="宋体" w:cs="宋体" w:eastAsia="宋体" w:hint="default"/>
          <w:sz w:val="22"/>
          <w:szCs w:val="22"/>
        </w:rPr>
      </w:pPr>
    </w:p>
    <w:p>
      <w:pPr>
        <w:pStyle w:val="Heading3"/>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137" w:right="0"/>
        <w:jc w:val="both"/>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个月内的持续经营假设产生重大疑虑的事项或情况。</w:t>
      </w:r>
    </w:p>
    <w:p>
      <w:pPr>
        <w:spacing w:line="240" w:lineRule="auto" w:before="8"/>
        <w:rPr>
          <w:rFonts w:ascii="宋体" w:hAnsi="宋体" w:cs="宋体" w:eastAsia="宋体" w:hint="default"/>
          <w:sz w:val="21"/>
          <w:szCs w:val="21"/>
        </w:rPr>
      </w:pPr>
    </w:p>
    <w:p>
      <w:pPr>
        <w:spacing w:line="290" w:lineRule="auto" w:before="0"/>
        <w:ind w:left="137" w:right="524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5" w:lineRule="exact"/>
        <w:ind w:left="137" w:right="0"/>
        <w:jc w:val="both"/>
      </w:pPr>
      <w:r>
        <w:rPr/>
        <w:t>√适用 □不适用</w:t>
      </w:r>
    </w:p>
    <w:p>
      <w:pPr>
        <w:pStyle w:val="BodyText"/>
        <w:spacing w:line="273" w:lineRule="exact"/>
        <w:ind w:left="137" w:right="0"/>
        <w:jc w:val="both"/>
      </w:pPr>
      <w:r>
        <w:rPr/>
        <w:t>以下披露内容已涵盖了本公司根据实际生产经营特点制定的具体会计政策和会计估计。</w:t>
      </w:r>
    </w:p>
    <w:p>
      <w:pPr>
        <w:spacing w:after="0" w:line="273" w:lineRule="exact"/>
        <w:jc w:val="both"/>
        <w:sectPr>
          <w:headerReference w:type="default" r:id="rId40"/>
          <w:footerReference w:type="default" r:id="rId41"/>
          <w:pgSz w:w="11910" w:h="16840"/>
          <w:pgMar w:header="882" w:footer="1195" w:top="1120" w:bottom="1380" w:left="1140" w:right="1580"/>
          <w:pgNumType w:start="84"/>
        </w:sectPr>
      </w:pPr>
    </w:p>
    <w:p>
      <w:pPr>
        <w:spacing w:line="240" w:lineRule="auto" w:before="9"/>
        <w:rPr>
          <w:rFonts w:ascii="宋体" w:hAnsi="宋体" w:cs="宋体" w:eastAsia="宋体" w:hint="default"/>
          <w:sz w:val="18"/>
          <w:szCs w:val="18"/>
        </w:rPr>
      </w:pPr>
    </w:p>
    <w:p>
      <w:pPr>
        <w:pStyle w:val="Heading3"/>
        <w:tabs>
          <w:tab w:pos="562" w:val="left" w:leader="none"/>
        </w:tabs>
        <w:spacing w:line="240" w:lineRule="auto"/>
        <w:ind w:left="137" w:right="105"/>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82" w:lineRule="exact" w:before="56"/>
        <w:ind w:left="137" w:right="105"/>
        <w:jc w:val="left"/>
        <w:rPr>
          <w:rFonts w:ascii="Times New Roman" w:hAnsi="Times New Roman" w:cs="Times New Roman" w:eastAsia="Times New Roman" w:hint="default"/>
        </w:rPr>
      </w:pPr>
      <w:r>
        <w:rPr/>
        <w:t>本公司所编制的财务报表符合《企业会计准则》的要求，真实、完整地反映了本公司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82" w:lineRule="exact"/>
        <w:ind w:left="137" w:right="105"/>
        <w:jc w:val="left"/>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日的财务状况、</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年度的经营成果和现金流量等有关信息。</w:t>
      </w:r>
    </w:p>
    <w:p>
      <w:pPr>
        <w:spacing w:line="240" w:lineRule="auto" w:before="8"/>
        <w:rPr>
          <w:rFonts w:ascii="宋体" w:hAnsi="宋体" w:cs="宋体" w:eastAsia="宋体" w:hint="default"/>
          <w:sz w:val="21"/>
          <w:szCs w:val="21"/>
        </w:rPr>
      </w:pPr>
    </w:p>
    <w:p>
      <w:pPr>
        <w:pStyle w:val="Heading3"/>
        <w:tabs>
          <w:tab w:pos="562" w:val="left" w:leader="none"/>
        </w:tabs>
        <w:spacing w:line="240" w:lineRule="auto" w:before="0"/>
        <w:ind w:left="137" w:right="10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137" w:right="105"/>
        <w:jc w:val="left"/>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8"/>
        <w:rPr>
          <w:rFonts w:ascii="宋体" w:hAnsi="宋体" w:cs="宋体" w:eastAsia="宋体" w:hint="default"/>
          <w:sz w:val="21"/>
          <w:szCs w:val="21"/>
        </w:rPr>
      </w:pPr>
    </w:p>
    <w:p>
      <w:pPr>
        <w:pStyle w:val="Heading3"/>
        <w:tabs>
          <w:tab w:pos="562" w:val="left" w:leader="none"/>
        </w:tabs>
        <w:spacing w:line="240" w:lineRule="auto" w:before="0"/>
        <w:ind w:left="137" w:right="105"/>
        <w:jc w:val="left"/>
        <w:rPr>
          <w:b w:val="0"/>
          <w:bCs w:val="0"/>
        </w:rPr>
      </w:pPr>
      <w:r>
        <w:rPr>
          <w:rFonts w:ascii="宋体" w:hAnsi="宋体" w:cs="宋体" w:eastAsia="宋体" w:hint="default"/>
          <w:w w:val="95"/>
        </w:rPr>
        <w:t>3.</w:t>
        <w:tab/>
      </w:r>
      <w:r>
        <w:rPr/>
        <w:t>营业周期</w:t>
      </w:r>
      <w:r>
        <w:rPr>
          <w:b w:val="0"/>
          <w:bCs w:val="0"/>
        </w:rPr>
      </w:r>
    </w:p>
    <w:p>
      <w:pPr>
        <w:pStyle w:val="BodyText"/>
        <w:tabs>
          <w:tab w:pos="883" w:val="left" w:leader="none"/>
        </w:tabs>
        <w:spacing w:line="274" w:lineRule="exact" w:before="82"/>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对于建筑工程施工业务，一个正常营业周期自工程项目施工成本发生开始，至工程项目竣工</w:t>
      </w:r>
    </w:p>
    <w:p>
      <w:pPr>
        <w:pStyle w:val="BodyText"/>
        <w:spacing w:line="254" w:lineRule="exact"/>
        <w:ind w:left="137" w:right="105"/>
        <w:jc w:val="left"/>
      </w:pPr>
      <w:r>
        <w:rPr>
          <w:spacing w:val="-4"/>
        </w:rPr>
        <w:t>决算并收回工程款项为止，其一般在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4"/>
        </w:rPr>
        <w:t>个月以上，具体周期根据工程项目施工情况确定。公司其</w:t>
      </w:r>
    </w:p>
    <w:p>
      <w:pPr>
        <w:pStyle w:val="BodyText"/>
        <w:spacing w:line="272" w:lineRule="exact" w:before="19"/>
        <w:ind w:left="137" w:right="105"/>
        <w:jc w:val="left"/>
      </w:pPr>
      <w:r>
        <w:rPr>
          <w:spacing w:val="-4"/>
        </w:rPr>
        <w:t>余的经营业务的一般营业周期较短，以 </w:t>
      </w:r>
      <w:r>
        <w:rPr>
          <w:rFonts w:ascii="Times New Roman" w:hAnsi="Times New Roman" w:cs="Times New Roman" w:eastAsia="Times New Roman" w:hint="default"/>
        </w:rPr>
        <w:t>12 </w:t>
      </w:r>
      <w:r>
        <w:rPr>
          <w:spacing w:val="-4"/>
        </w:rPr>
        <w:t>个月作为资产和负债的流动性划分标准。本公司以营业</w:t>
      </w:r>
      <w:r>
        <w:rPr>
          <w:spacing w:val="-92"/>
        </w:rPr>
        <w:t> </w:t>
      </w:r>
      <w:r>
        <w:rPr>
          <w:spacing w:val="-92"/>
        </w:rPr>
      </w:r>
      <w:r>
        <w:rPr/>
        <w:t>周期作为资产和负债的流动性划分标准。</w:t>
      </w:r>
    </w:p>
    <w:p>
      <w:pPr>
        <w:spacing w:line="240" w:lineRule="auto" w:before="12"/>
        <w:rPr>
          <w:rFonts w:ascii="宋体" w:hAnsi="宋体" w:cs="宋体" w:eastAsia="宋体" w:hint="default"/>
          <w:sz w:val="20"/>
          <w:szCs w:val="20"/>
        </w:rPr>
      </w:pPr>
    </w:p>
    <w:p>
      <w:pPr>
        <w:tabs>
          <w:tab w:pos="562" w:val="left" w:leader="none"/>
        </w:tabs>
        <w:spacing w:line="290" w:lineRule="auto" w:before="0"/>
        <w:ind w:left="137"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19"/>
          <w:szCs w:val="19"/>
        </w:rPr>
      </w:pPr>
    </w:p>
    <w:p>
      <w:pPr>
        <w:pStyle w:val="Heading3"/>
        <w:tabs>
          <w:tab w:pos="562" w:val="left" w:leader="none"/>
        </w:tabs>
        <w:spacing w:line="240" w:lineRule="auto" w:before="0"/>
        <w:ind w:left="137" w:right="10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83" w:val="left" w:leader="none"/>
        </w:tabs>
        <w:spacing w:line="381" w:lineRule="auto" w:before="56"/>
        <w:ind w:left="557" w:right="620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宋体" w:hAnsi="宋体" w:cs="宋体" w:eastAsia="宋体" w:hint="default"/>
          <w:spacing w:val="-2"/>
        </w:rPr>
        <w:t>1</w:t>
      </w:r>
      <w:r>
        <w:rPr>
          <w:spacing w:val="-2"/>
        </w:rPr>
        <w:t>、同一控制下的企业合并</w:t>
      </w:r>
    </w:p>
    <w:p>
      <w:pPr>
        <w:pStyle w:val="BodyText"/>
        <w:spacing w:line="403" w:lineRule="auto" w:before="59"/>
        <w:ind w:left="137" w:right="218" w:firstLine="420"/>
        <w:jc w:val="both"/>
      </w:pPr>
      <w:r>
        <w:rPr>
          <w:spacing w:val="-2"/>
        </w:rPr>
        <w:t>同一控制下企业合并形成的长期股权投资合并方以支付现金、转让非现金资产或承担债务方</w:t>
      </w:r>
      <w:r>
        <w:rPr>
          <w:w w:val="100"/>
        </w:rPr>
        <w:t> </w:t>
      </w:r>
      <w:r>
        <w:rPr>
          <w:spacing w:val="-2"/>
        </w:rPr>
        <w:t>式作为合并对价的，本公司在合并日按照所取得的被合并方在最终控制方合并财务报表中的净资</w:t>
      </w:r>
      <w:r>
        <w:rPr>
          <w:spacing w:val="-25"/>
        </w:rPr>
        <w:t> </w:t>
      </w:r>
      <w:r>
        <w:rPr>
          <w:spacing w:val="-25"/>
        </w:rPr>
      </w:r>
      <w:r>
        <w:rPr>
          <w:spacing w:val="-2"/>
        </w:rPr>
        <w:t>产的账面价值的份额作为长期股权投资的初始投资成本。合并方以发行权益性工具作为合并对价</w:t>
      </w:r>
      <w:r>
        <w:rPr>
          <w:spacing w:val="-25"/>
        </w:rPr>
        <w:t> </w:t>
      </w:r>
      <w:r>
        <w:rPr>
          <w:spacing w:val="-25"/>
        </w:rPr>
      </w:r>
      <w:r>
        <w:rPr>
          <w:spacing w:val="-2"/>
        </w:rPr>
        <w:t>的，按发行股份的面值总额作为股本。长期股权投资的初始投资成本与合并对价账面价值（或发</w:t>
      </w:r>
      <w:r>
        <w:rPr>
          <w:spacing w:val="-25"/>
        </w:rPr>
        <w:t> </w:t>
      </w:r>
      <w:r>
        <w:rPr>
          <w:spacing w:val="-25"/>
        </w:rPr>
      </w:r>
      <w:r>
        <w:rPr/>
        <w:t>行股份面值总额）的差额，应当调整资本公积；资本公积不足冲减的，调整留存收益。</w:t>
      </w:r>
    </w:p>
    <w:p>
      <w:pPr>
        <w:pStyle w:val="BodyText"/>
        <w:spacing w:line="400" w:lineRule="auto" w:before="43"/>
        <w:ind w:left="557" w:right="105"/>
        <w:jc w:val="left"/>
      </w:pPr>
      <w:r>
        <w:rPr>
          <w:rFonts w:ascii="宋体" w:hAnsi="宋体" w:cs="宋体" w:eastAsia="宋体" w:hint="default"/>
        </w:rPr>
        <w:t>2</w:t>
      </w:r>
      <w:r>
        <w:rPr/>
        <w:t>、非同一控制下的企业合并</w:t>
      </w:r>
      <w:r>
        <w:rPr>
          <w:w w:val="100"/>
        </w:rPr>
        <w:t> </w:t>
      </w:r>
      <w:r>
        <w:rPr>
          <w:spacing w:val="-2"/>
        </w:rPr>
        <w:t>对于非同一控制下的企业合并，合并成本为购买方在购买日为取得对被购买方的控制权而付</w:t>
      </w:r>
    </w:p>
    <w:p>
      <w:pPr>
        <w:pStyle w:val="BodyText"/>
        <w:spacing w:line="403" w:lineRule="auto" w:before="45"/>
        <w:ind w:left="137" w:right="97"/>
        <w:jc w:val="left"/>
      </w:pPr>
      <w:r>
        <w:rPr/>
        <w:t>出的资产、发生或承担的负债以及发行的权益性证券的公允价值之和。非同一控制下企业合并中</w:t>
      </w:r>
      <w:r>
        <w:rPr>
          <w:w w:val="100"/>
        </w:rPr>
        <w:t> </w:t>
      </w:r>
      <w:r>
        <w:rPr/>
        <w:t>所取得的被购买方符合确认条件的可辨认资产、负债及或有负债，在购买日以公允价值计量。购</w:t>
      </w:r>
      <w:r>
        <w:rPr>
          <w:w w:val="100"/>
        </w:rPr>
        <w:t> </w:t>
      </w:r>
      <w:r>
        <w:rPr>
          <w:spacing w:val="-4"/>
          <w:w w:val="100"/>
        </w:rPr>
        <w:t>买方对合并成本大于合并中取得的被购买方可辨认净资产公允价值份额的差额，体现为商誉价值。</w:t>
      </w:r>
      <w:r>
        <w:rPr>
          <w:spacing w:val="-85"/>
          <w:w w:val="100"/>
        </w:rPr>
        <w:t> </w:t>
      </w:r>
      <w:r>
        <w:rPr>
          <w:spacing w:val="-85"/>
          <w:w w:val="100"/>
        </w:rPr>
      </w:r>
      <w:r>
        <w:rPr/>
        <w:t>购买方对合并成本小于合并中取得的被购买方可辨认净资产公允价值份额的，经复核后合并成本</w:t>
      </w:r>
      <w:r>
        <w:rPr>
          <w:w w:val="100"/>
        </w:rPr>
        <w:t> </w:t>
      </w:r>
      <w:r>
        <w:rPr/>
        <w:t>仍小于合并中取得的被购买方可辨认净资产公允价值份额的差额，计入当期营业外收入。</w:t>
      </w:r>
    </w:p>
    <w:p>
      <w:pPr>
        <w:pStyle w:val="Heading3"/>
        <w:tabs>
          <w:tab w:pos="562" w:val="left" w:leader="none"/>
        </w:tabs>
        <w:spacing w:line="240" w:lineRule="auto" w:before="156"/>
        <w:ind w:left="137" w:right="105"/>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83" w:val="left" w:leader="none"/>
        </w:tabs>
        <w:spacing w:line="274" w:lineRule="exact" w:before="82"/>
        <w:ind w:left="557" w:right="66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、合并财务报表范围</w:t>
      </w:r>
    </w:p>
    <w:p>
      <w:pPr>
        <w:pStyle w:val="BodyText"/>
        <w:spacing w:line="357" w:lineRule="auto" w:before="108"/>
        <w:ind w:left="137" w:right="211" w:firstLine="420"/>
        <w:jc w:val="both"/>
      </w:pPr>
      <w:r>
        <w:rPr>
          <w:spacing w:val="-2"/>
        </w:rPr>
        <w:t>本公司将全部子公司（包括本公司所控制的单独主体）纳入合并财务报表范围，包括被本公</w:t>
      </w:r>
      <w:r>
        <w:rPr>
          <w:w w:val="100"/>
        </w:rPr>
        <w:t> </w:t>
      </w:r>
      <w:r>
        <w:rPr/>
        <w:t>司控制的企业、被投资单位中可分割的部分以及结构化主体。</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36" w:lineRule="auto" w:before="36"/>
        <w:ind w:left="557" w:right="0"/>
        <w:jc w:val="left"/>
      </w:pPr>
      <w:r>
        <w:rPr>
          <w:rFonts w:ascii="Times New Roman" w:hAnsi="Times New Roman" w:cs="Times New Roman" w:eastAsia="Times New Roman" w:hint="default"/>
        </w:rPr>
        <w:t>2</w:t>
      </w:r>
      <w:r>
        <w:rPr/>
        <w:t>、统一母子公司的会计政策、统一母子公司的资产负债表日及会计期间</w:t>
      </w:r>
      <w:r>
        <w:rPr>
          <w:w w:val="100"/>
        </w:rPr>
        <w:t> </w:t>
      </w:r>
      <w:r>
        <w:rPr>
          <w:spacing w:val="-2"/>
        </w:rPr>
        <w:t>子公司与本公司采用的会计政策或会计期间不一致的，在编制合并财务报表时，按照本公司</w:t>
      </w:r>
    </w:p>
    <w:p>
      <w:pPr>
        <w:pStyle w:val="BodyText"/>
        <w:spacing w:line="240" w:lineRule="auto" w:before="49"/>
        <w:ind w:left="137" w:right="0"/>
        <w:jc w:val="both"/>
      </w:pPr>
      <w:r>
        <w:rPr/>
        <w:t>的会计政策或会计期间对子公司财务报表进行必要的调整。</w:t>
      </w:r>
    </w:p>
    <w:p>
      <w:pPr>
        <w:pStyle w:val="BodyText"/>
        <w:spacing w:line="336" w:lineRule="auto" w:before="135"/>
        <w:ind w:left="557" w:right="0"/>
        <w:jc w:val="left"/>
      </w:pPr>
      <w:r>
        <w:rPr>
          <w:rFonts w:ascii="Times New Roman" w:hAnsi="Times New Roman" w:cs="Times New Roman" w:eastAsia="Times New Roman" w:hint="default"/>
        </w:rPr>
        <w:t>3</w:t>
      </w:r>
      <w:r>
        <w:rPr/>
        <w:t>、合并财务报表抵销事项</w:t>
      </w:r>
      <w:r>
        <w:rPr>
          <w:w w:val="100"/>
        </w:rPr>
        <w:t> </w:t>
      </w:r>
      <w:r>
        <w:rPr>
          <w:spacing w:val="-2"/>
        </w:rPr>
        <w:t>合并财务报表以母公司和子公司的资产负债表为基础，已抵销了母公司与子公司、子公司相</w:t>
      </w:r>
    </w:p>
    <w:p>
      <w:pPr>
        <w:pStyle w:val="BodyText"/>
        <w:spacing w:line="357" w:lineRule="auto" w:before="49"/>
        <w:ind w:left="137" w:right="129"/>
        <w:jc w:val="both"/>
      </w:pPr>
      <w:r>
        <w:rPr>
          <w:spacing w:val="-1"/>
        </w:rPr>
        <w:t>互之间发生的内部交易。子公司所有者权益中不属于母公司的份额，作为少数股东权益，在合并</w:t>
      </w:r>
      <w:r>
        <w:rPr>
          <w:spacing w:val="-55"/>
        </w:rPr>
        <w:t> </w:t>
      </w:r>
      <w:r>
        <w:rPr>
          <w:spacing w:val="-55"/>
        </w:rPr>
      </w:r>
      <w:r>
        <w:rPr>
          <w:spacing w:val="-1"/>
        </w:rPr>
        <w:t>资产负债表中所有者权益项目下以“少数股东权益”项目列示。子公司持有母公司的长期股权投</w:t>
      </w:r>
      <w:r>
        <w:rPr>
          <w:spacing w:val="-55"/>
        </w:rPr>
        <w:t> </w:t>
      </w:r>
      <w:r>
        <w:rPr>
          <w:spacing w:val="-55"/>
        </w:rPr>
      </w:r>
      <w:r>
        <w:rPr>
          <w:spacing w:val="-1"/>
        </w:rPr>
        <w:t>资，视为企业集团的库存股，作为所有者权益的减项，在合并资产负债表中所有者权益项目下以</w:t>
      </w:r>
      <w:r>
        <w:rPr>
          <w:spacing w:val="-55"/>
        </w:rPr>
        <w:t> </w:t>
      </w:r>
      <w:r>
        <w:rPr>
          <w:spacing w:val="-55"/>
        </w:rPr>
      </w:r>
      <w:r>
        <w:rPr/>
        <w:t>“减：库存股”项目列示。</w:t>
      </w:r>
    </w:p>
    <w:p>
      <w:pPr>
        <w:pStyle w:val="BodyText"/>
        <w:spacing w:line="336" w:lineRule="auto" w:before="30"/>
        <w:ind w:left="557" w:right="0"/>
        <w:jc w:val="left"/>
      </w:pPr>
      <w:r>
        <w:rPr>
          <w:rFonts w:ascii="Times New Roman" w:hAnsi="Times New Roman" w:cs="Times New Roman" w:eastAsia="Times New Roman" w:hint="default"/>
        </w:rPr>
        <w:t>4</w:t>
      </w:r>
      <w:r>
        <w:rPr/>
        <w:t>、合并取得子公司会计处理</w:t>
      </w:r>
      <w:r>
        <w:rPr>
          <w:w w:val="100"/>
        </w:rPr>
        <w:t> </w:t>
      </w:r>
      <w:r>
        <w:rPr>
          <w:spacing w:val="-2"/>
        </w:rPr>
        <w:t>对于同一控制下企业合并取得的子公司，视同该企业合并于自最终控制方开始实时控制时已</w:t>
      </w:r>
    </w:p>
    <w:p>
      <w:pPr>
        <w:pStyle w:val="BodyText"/>
        <w:spacing w:line="357" w:lineRule="auto" w:before="49"/>
        <w:ind w:left="137" w:right="129"/>
        <w:jc w:val="both"/>
      </w:pPr>
      <w:r>
        <w:rPr>
          <w:spacing w:val="-1"/>
        </w:rPr>
        <w:t>经发生，从合并当期的期初起将其资产、负债、经营成果和现金流量纳入合并财务报表；对于非</w:t>
      </w:r>
      <w:r>
        <w:rPr>
          <w:spacing w:val="-55"/>
        </w:rPr>
        <w:t> </w:t>
      </w:r>
      <w:r>
        <w:rPr>
          <w:spacing w:val="-55"/>
        </w:rPr>
      </w:r>
      <w:r>
        <w:rPr>
          <w:spacing w:val="-1"/>
        </w:rPr>
        <w:t>同一控制下企业合并取得的子公司，在编制合并财务报表时，以购买日可辨认净资产公允价值为</w:t>
      </w:r>
      <w:r>
        <w:rPr>
          <w:spacing w:val="-55"/>
        </w:rPr>
        <w:t> </w:t>
      </w:r>
      <w:r>
        <w:rPr>
          <w:spacing w:val="-55"/>
        </w:rPr>
      </w:r>
      <w:r>
        <w:rPr/>
        <w:t>基础对其个别财务报表进行调整。</w:t>
      </w:r>
    </w:p>
    <w:p>
      <w:pPr>
        <w:spacing w:line="240" w:lineRule="auto" w:before="6"/>
        <w:rPr>
          <w:rFonts w:ascii="宋体" w:hAnsi="宋体" w:cs="宋体" w:eastAsia="宋体" w:hint="default"/>
          <w:sz w:val="25"/>
          <w:szCs w:val="25"/>
        </w:rPr>
      </w:pPr>
    </w:p>
    <w:p>
      <w:pPr>
        <w:tabs>
          <w:tab w:pos="562" w:val="left" w:leader="none"/>
        </w:tabs>
        <w:spacing w:line="290" w:lineRule="auto" w:before="0"/>
        <w:ind w:left="557" w:right="140" w:hanging="420"/>
        <w:jc w:val="left"/>
        <w:rPr>
          <w:rFonts w:ascii="宋体" w:hAnsi="宋体" w:cs="宋体" w:eastAsia="宋体" w:hint="default"/>
          <w:sz w:val="21"/>
          <w:szCs w:val="21"/>
        </w:rPr>
      </w:pPr>
      <w:r>
        <w:rPr>
          <w:rFonts w:ascii="宋体" w:hAnsi="宋体" w:cs="宋体" w:eastAsia="宋体" w:hint="default"/>
          <w:b/>
          <w:bCs/>
          <w:w w:val="95"/>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w:t>
      </w:r>
    </w:p>
    <w:p>
      <w:pPr>
        <w:pStyle w:val="BodyText"/>
        <w:spacing w:line="357" w:lineRule="auto" w:before="89"/>
        <w:ind w:left="137" w:right="129"/>
        <w:jc w:val="both"/>
      </w:pPr>
      <w:r>
        <w:rPr>
          <w:spacing w:val="-1"/>
        </w:rPr>
        <w:t>款。在编制现金流量表时所确定的现金等价物，是指持有的期限短、流动性强、易于转换为已知</w:t>
      </w:r>
      <w:r>
        <w:rPr>
          <w:spacing w:val="-55"/>
        </w:rPr>
        <w:t> </w:t>
      </w:r>
      <w:r>
        <w:rPr>
          <w:spacing w:val="-55"/>
        </w:rPr>
      </w:r>
      <w:r>
        <w:rPr/>
        <w:t>金额现金、价值变动风险很小的投资。</w:t>
      </w:r>
    </w:p>
    <w:p>
      <w:pPr>
        <w:spacing w:line="240" w:lineRule="auto" w:before="3"/>
        <w:rPr>
          <w:rFonts w:ascii="宋体" w:hAnsi="宋体" w:cs="宋体" w:eastAsia="宋体" w:hint="default"/>
          <w:sz w:val="25"/>
          <w:szCs w:val="25"/>
        </w:rPr>
      </w:pPr>
    </w:p>
    <w:p>
      <w:pPr>
        <w:pStyle w:val="Heading3"/>
        <w:spacing w:line="240" w:lineRule="auto" w:before="0"/>
        <w:ind w:left="137" w:right="0"/>
        <w:jc w:val="both"/>
        <w:rPr>
          <w:b w:val="0"/>
          <w:bCs w:val="0"/>
        </w:rPr>
      </w:pPr>
      <w:r>
        <w:rPr>
          <w:rFonts w:ascii="宋体" w:hAnsi="宋体" w:cs="宋体" w:eastAsia="宋体" w:hint="default"/>
        </w:rPr>
        <w:t>8. </w:t>
      </w:r>
      <w:r>
        <w:rPr>
          <w:rFonts w:ascii="宋体" w:hAnsi="宋体" w:cs="宋体" w:eastAsia="宋体" w:hint="default"/>
          <w:spacing w:val="1"/>
        </w:rPr>
        <w:t> </w:t>
      </w:r>
      <w:r>
        <w:rPr/>
        <w:t>外币业务和外币报表折算</w:t>
      </w:r>
      <w:r>
        <w:rPr>
          <w:b w:val="0"/>
          <w:bCs w:val="0"/>
        </w:rPr>
      </w:r>
    </w:p>
    <w:p>
      <w:pPr>
        <w:pStyle w:val="BodyText"/>
        <w:tabs>
          <w:tab w:pos="883" w:val="left" w:leader="none"/>
        </w:tabs>
        <w:spacing w:line="379" w:lineRule="auto" w:before="58"/>
        <w:ind w:left="557" w:right="697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、外币业务折算</w:t>
      </w:r>
    </w:p>
    <w:p>
      <w:pPr>
        <w:pStyle w:val="BodyText"/>
        <w:spacing w:line="400" w:lineRule="auto" w:before="35"/>
        <w:ind w:left="137" w:right="128" w:firstLine="420"/>
        <w:jc w:val="both"/>
      </w:pPr>
      <w:r>
        <w:rPr>
          <w:spacing w:val="-2"/>
        </w:rPr>
        <w:t>本公司对发生的外币交易，采用与交易发生日即期汇率折合本位币入账。资产负债表日外币</w:t>
      </w:r>
      <w:r>
        <w:rPr>
          <w:w w:val="100"/>
        </w:rPr>
        <w:t> </w:t>
      </w:r>
      <w:r>
        <w:rPr>
          <w:spacing w:val="-1"/>
        </w:rPr>
        <w:t>货币性项目按资产负债表日即期汇率折算，因该日的即期汇率与初始确认时或者前一资产负债表</w:t>
      </w:r>
      <w:r>
        <w:rPr>
          <w:spacing w:val="-55"/>
        </w:rPr>
        <w:t> </w:t>
      </w:r>
      <w:r>
        <w:rPr>
          <w:spacing w:val="-55"/>
        </w:rPr>
      </w:r>
      <w:r>
        <w:rPr>
          <w:spacing w:val="-1"/>
        </w:rPr>
        <w:t>日即期汇率不同而产生的汇兑差额，除符合资本化条件的外币专门借款的汇兑差额在资本化期间</w:t>
      </w:r>
      <w:r>
        <w:rPr>
          <w:spacing w:val="-55"/>
        </w:rPr>
        <w:t> </w:t>
      </w:r>
      <w:r>
        <w:rPr>
          <w:spacing w:val="-55"/>
        </w:rPr>
      </w:r>
      <w:r>
        <w:rPr>
          <w:spacing w:val="-1"/>
        </w:rPr>
        <w:t>予以资本化计入相关资产的成本外，均计入当期损益。以历史成本计量的外币非货币性项目，仍</w:t>
      </w:r>
      <w:r>
        <w:rPr>
          <w:spacing w:val="-55"/>
        </w:rPr>
        <w:t> </w:t>
      </w:r>
      <w:r>
        <w:rPr>
          <w:spacing w:val="-55"/>
        </w:rPr>
      </w:r>
      <w:r>
        <w:rPr>
          <w:spacing w:val="-1"/>
        </w:rPr>
        <w:t>采用交易发生日的即期汇率折算，不改变其记账本位币金额。以公允价值计量的外币非货币性项</w:t>
      </w:r>
      <w:r>
        <w:rPr>
          <w:spacing w:val="-55"/>
        </w:rPr>
        <w:t> </w:t>
      </w:r>
      <w:r>
        <w:rPr>
          <w:spacing w:val="-55"/>
        </w:rPr>
      </w:r>
      <w:r>
        <w:rPr>
          <w:spacing w:val="-6"/>
          <w:w w:val="100"/>
        </w:rPr>
        <w:t>目，采用公允价值确定日的即期汇率折算，折算后的记账本位币金额与原记账本位币金额的差额，</w:t>
      </w:r>
      <w:r>
        <w:rPr>
          <w:spacing w:val="-104"/>
          <w:w w:val="100"/>
        </w:rPr>
        <w:t> </w:t>
      </w:r>
      <w:r>
        <w:rPr>
          <w:spacing w:val="-104"/>
          <w:w w:val="100"/>
        </w:rPr>
      </w:r>
      <w:r>
        <w:rPr/>
        <w:t>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pStyle w:val="BodyText"/>
        <w:spacing w:line="379" w:lineRule="auto" w:before="14"/>
        <w:ind w:left="557" w:right="0"/>
        <w:jc w:val="left"/>
      </w:pPr>
      <w:r>
        <w:rPr>
          <w:rFonts w:ascii="Times New Roman" w:hAnsi="Times New Roman" w:cs="Times New Roman" w:eastAsia="Times New Roman" w:hint="default"/>
        </w:rPr>
        <w:t>2</w:t>
      </w:r>
      <w:r>
        <w:rPr/>
        <w:t>、外币财务报表折算</w:t>
      </w:r>
      <w:r>
        <w:rPr>
          <w:w w:val="100"/>
        </w:rPr>
        <w:t> </w:t>
      </w:r>
      <w:r>
        <w:rPr>
          <w:spacing w:val="-2"/>
        </w:rPr>
        <w:t>本公司的控股子公司、合营企业、联营企业等，若采用与本公司不同的记账本位币，需对其</w:t>
      </w:r>
    </w:p>
    <w:p>
      <w:pPr>
        <w:pStyle w:val="BodyText"/>
        <w:spacing w:line="240" w:lineRule="auto" w:before="64"/>
        <w:ind w:left="137" w:right="0"/>
        <w:jc w:val="both"/>
      </w:pPr>
      <w:r>
        <w:rPr>
          <w:w w:val="100"/>
        </w:rPr>
        <w:t>外币</w:t>
      </w:r>
      <w:r>
        <w:rPr>
          <w:spacing w:val="-3"/>
          <w:w w:val="100"/>
        </w:rPr>
        <w:t>财</w:t>
      </w:r>
      <w:r>
        <w:rPr>
          <w:w w:val="100"/>
        </w:rPr>
        <w:t>务</w:t>
      </w:r>
      <w:r>
        <w:rPr>
          <w:spacing w:val="-3"/>
          <w:w w:val="100"/>
        </w:rPr>
        <w:t>报</w:t>
      </w:r>
      <w:r>
        <w:rPr>
          <w:w w:val="100"/>
        </w:rPr>
        <w:t>表</w:t>
      </w:r>
      <w:r>
        <w:rPr>
          <w:spacing w:val="-3"/>
          <w:w w:val="100"/>
        </w:rPr>
        <w:t>折</w:t>
      </w:r>
      <w:r>
        <w:rPr>
          <w:w w:val="100"/>
        </w:rPr>
        <w:t>算</w:t>
      </w:r>
      <w:r>
        <w:rPr>
          <w:spacing w:val="-3"/>
          <w:w w:val="100"/>
        </w:rPr>
        <w:t>后</w:t>
      </w:r>
      <w:r>
        <w:rPr>
          <w:spacing w:val="-99"/>
          <w:w w:val="100"/>
        </w:rPr>
        <w:t>，</w:t>
      </w:r>
      <w:r>
        <w:rPr>
          <w:spacing w:val="-3"/>
          <w:w w:val="100"/>
        </w:rPr>
        <w:t>再进</w:t>
      </w:r>
      <w:r>
        <w:rPr>
          <w:w w:val="100"/>
        </w:rPr>
        <w:t>行会</w:t>
      </w:r>
      <w:r>
        <w:rPr>
          <w:spacing w:val="-3"/>
          <w:w w:val="100"/>
        </w:rPr>
        <w:t>计</w:t>
      </w:r>
      <w:r>
        <w:rPr>
          <w:w w:val="100"/>
        </w:rPr>
        <w:t>核</w:t>
      </w:r>
      <w:r>
        <w:rPr>
          <w:spacing w:val="-3"/>
          <w:w w:val="100"/>
        </w:rPr>
        <w:t>算</w:t>
      </w:r>
      <w:r>
        <w:rPr>
          <w:w w:val="100"/>
        </w:rPr>
        <w:t>及</w:t>
      </w:r>
      <w:r>
        <w:rPr>
          <w:spacing w:val="-3"/>
          <w:w w:val="100"/>
        </w:rPr>
        <w:t>合</w:t>
      </w:r>
      <w:r>
        <w:rPr>
          <w:w w:val="100"/>
        </w:rPr>
        <w:t>并</w:t>
      </w:r>
      <w:r>
        <w:rPr>
          <w:spacing w:val="-3"/>
          <w:w w:val="100"/>
        </w:rPr>
        <w:t>财</w:t>
      </w:r>
      <w:r>
        <w:rPr>
          <w:w w:val="100"/>
        </w:rPr>
        <w:t>务</w:t>
      </w:r>
      <w:r>
        <w:rPr>
          <w:spacing w:val="-3"/>
          <w:w w:val="100"/>
        </w:rPr>
        <w:t>报</w:t>
      </w:r>
      <w:r>
        <w:rPr>
          <w:w w:val="100"/>
        </w:rPr>
        <w:t>表的</w:t>
      </w:r>
      <w:r>
        <w:rPr>
          <w:spacing w:val="-3"/>
          <w:w w:val="100"/>
        </w:rPr>
        <w:t>编报</w:t>
      </w:r>
      <w:r>
        <w:rPr>
          <w:spacing w:val="-99"/>
          <w:w w:val="100"/>
        </w:rPr>
        <w:t>。</w:t>
      </w:r>
      <w:r>
        <w:rPr>
          <w:w w:val="100"/>
        </w:rPr>
        <w:t>资</w:t>
      </w:r>
      <w:r>
        <w:rPr>
          <w:spacing w:val="-3"/>
          <w:w w:val="100"/>
        </w:rPr>
        <w:t>产</w:t>
      </w:r>
      <w:r>
        <w:rPr>
          <w:w w:val="100"/>
        </w:rPr>
        <w:t>负</w:t>
      </w:r>
      <w:r>
        <w:rPr>
          <w:spacing w:val="-3"/>
          <w:w w:val="100"/>
        </w:rPr>
        <w:t>债</w:t>
      </w:r>
      <w:r>
        <w:rPr>
          <w:w w:val="100"/>
        </w:rPr>
        <w:t>表</w:t>
      </w:r>
      <w:r>
        <w:rPr>
          <w:spacing w:val="-3"/>
          <w:w w:val="100"/>
        </w:rPr>
        <w:t>中的</w:t>
      </w:r>
      <w:r>
        <w:rPr>
          <w:w w:val="100"/>
        </w:rPr>
        <w:t>资产</w:t>
      </w:r>
      <w:r>
        <w:rPr>
          <w:spacing w:val="-3"/>
          <w:w w:val="100"/>
        </w:rPr>
        <w:t>和</w:t>
      </w:r>
      <w:r>
        <w:rPr>
          <w:w w:val="100"/>
        </w:rPr>
        <w:t>负</w:t>
      </w:r>
      <w:r>
        <w:rPr>
          <w:spacing w:val="-3"/>
          <w:w w:val="100"/>
        </w:rPr>
        <w:t>债</w:t>
      </w:r>
      <w:r>
        <w:rPr>
          <w:w w:val="100"/>
        </w:rPr>
        <w:t>项</w:t>
      </w:r>
      <w:r>
        <w:rPr>
          <w:spacing w:val="-3"/>
          <w:w w:val="100"/>
        </w:rPr>
        <w:t>目</w:t>
      </w:r>
      <w:r>
        <w:rPr>
          <w:w w:val="100"/>
        </w:rPr>
        <w:t>，</w:t>
      </w:r>
    </w:p>
    <w:p>
      <w:pPr>
        <w:spacing w:after="0" w:line="240" w:lineRule="auto"/>
        <w:jc w:val="both"/>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00" w:lineRule="auto"/>
        <w:ind w:left="137" w:right="129"/>
        <w:jc w:val="both"/>
      </w:pPr>
      <w:r>
        <w:rPr>
          <w:spacing w:val="-1"/>
        </w:rPr>
        <w:t>采用资产负债表日的即期汇率折算，所有者权益项目除“未分配利润”项目外，其他项目采用发</w:t>
      </w:r>
      <w:r>
        <w:rPr>
          <w:spacing w:val="-55"/>
        </w:rPr>
        <w:t> </w:t>
      </w:r>
      <w:r>
        <w:rPr>
          <w:spacing w:val="-55"/>
        </w:rPr>
      </w:r>
      <w:r>
        <w:rPr>
          <w:spacing w:val="-1"/>
        </w:rPr>
        <w:t>生时的即期汇率折算。利润表中的收入和费用项目，采用交易发生日的即期汇率折算。折算产生</w:t>
      </w:r>
      <w:r>
        <w:rPr>
          <w:spacing w:val="-55"/>
        </w:rPr>
        <w:t> </w:t>
      </w:r>
      <w:r>
        <w:rPr>
          <w:spacing w:val="-55"/>
        </w:rPr>
      </w:r>
      <w:r>
        <w:rPr>
          <w:spacing w:val="-1"/>
        </w:rPr>
        <w:t>的外币财务报表折算差额，在资产负债表中所有者权益项目其他综合收益下列示。外币现金流量</w:t>
      </w:r>
      <w:r>
        <w:rPr>
          <w:spacing w:val="-55"/>
        </w:rPr>
        <w:t> </w:t>
      </w:r>
      <w:r>
        <w:rPr>
          <w:spacing w:val="-55"/>
        </w:rPr>
      </w:r>
      <w:r>
        <w:rPr>
          <w:spacing w:val="-1"/>
        </w:rPr>
        <w:t>按照系统合理方法确定的，采用交易发生日的即期汇率折算。汇率变动对现金的影响额，在现金</w:t>
      </w:r>
      <w:r>
        <w:rPr>
          <w:spacing w:val="-56"/>
        </w:rPr>
        <w:t> </w:t>
      </w:r>
      <w:r>
        <w:rPr>
          <w:spacing w:val="-56"/>
        </w:rPr>
      </w:r>
      <w:r>
        <w:rPr>
          <w:spacing w:val="-1"/>
        </w:rPr>
        <w:t>流量表中单独列示。处置境外经营时，与该境外经营有关的外币报表折算差额，全部或按处置该</w:t>
      </w:r>
      <w:r>
        <w:rPr>
          <w:spacing w:val="-55"/>
        </w:rPr>
        <w:t> </w:t>
      </w:r>
      <w:r>
        <w:rPr>
          <w:spacing w:val="-55"/>
        </w:rPr>
      </w:r>
      <w:r>
        <w:rPr/>
        <w:t>境外经营的比例转入处置当期损益。</w:t>
      </w:r>
    </w:p>
    <w:p>
      <w:pPr>
        <w:pStyle w:val="Heading3"/>
        <w:spacing w:line="240" w:lineRule="auto" w:before="160"/>
        <w:ind w:left="137" w:right="0"/>
        <w:jc w:val="both"/>
        <w:rPr>
          <w:b w:val="0"/>
          <w:bCs w:val="0"/>
        </w:rPr>
      </w:pPr>
      <w:r>
        <w:rPr>
          <w:rFonts w:ascii="宋体" w:hAnsi="宋体" w:cs="宋体" w:eastAsia="宋体" w:hint="default"/>
        </w:rPr>
        <w:t>9. </w:t>
      </w:r>
      <w:r>
        <w:rPr>
          <w:rFonts w:ascii="宋体" w:hAnsi="宋体" w:cs="宋体" w:eastAsia="宋体" w:hint="default"/>
          <w:spacing w:val="2"/>
        </w:rPr>
        <w:t> </w:t>
      </w:r>
      <w:r>
        <w:rPr/>
        <w:t>金融工具</w:t>
      </w:r>
      <w:r>
        <w:rPr>
          <w:b w:val="0"/>
          <w:bCs w:val="0"/>
        </w:rPr>
      </w:r>
    </w:p>
    <w:p>
      <w:pPr>
        <w:pStyle w:val="BodyText"/>
        <w:tabs>
          <w:tab w:pos="883" w:val="left" w:leader="none"/>
        </w:tabs>
        <w:spacing w:line="381" w:lineRule="auto" w:before="57"/>
        <w:ind w:left="557" w:right="612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、金融工具的分类及确认</w:t>
      </w:r>
    </w:p>
    <w:p>
      <w:pPr>
        <w:pStyle w:val="BodyText"/>
        <w:spacing w:line="403" w:lineRule="auto" w:before="30"/>
        <w:ind w:left="137" w:right="138" w:firstLine="420"/>
        <w:jc w:val="both"/>
      </w:pPr>
      <w:r>
        <w:rPr>
          <w:spacing w:val="-2"/>
        </w:rPr>
        <w:t>金融工具划分为金融资产或金融负债和权益工具。本公司成为金融工具合同的一方时，确认</w:t>
      </w:r>
      <w:r>
        <w:rPr>
          <w:w w:val="100"/>
        </w:rPr>
        <w:t> </w:t>
      </w:r>
      <w:r>
        <w:rPr/>
        <w:t>为一项金融资产或金融负债，或权益工具。</w:t>
      </w:r>
    </w:p>
    <w:p>
      <w:pPr>
        <w:pStyle w:val="BodyText"/>
        <w:spacing w:line="400" w:lineRule="auto" w:before="43"/>
        <w:ind w:left="137" w:right="138" w:firstLine="420"/>
        <w:jc w:val="both"/>
      </w:pPr>
      <w:r>
        <w:rPr>
          <w:spacing w:val="-2"/>
        </w:rPr>
        <w:t>金融资产于初始确认时分类为：以公允价值计量且其变动计入当期损益的金融资产、持有至</w:t>
      </w:r>
      <w:r>
        <w:rPr>
          <w:w w:val="100"/>
        </w:rPr>
        <w:t> </w:t>
      </w:r>
      <w:r>
        <w:rPr>
          <w:spacing w:val="-2"/>
        </w:rPr>
        <w:t>到期投资、应收款项、可供出售金融资产。除应收款项以外的金融资产的分类取决于本公司及其</w:t>
      </w:r>
      <w:r>
        <w:rPr>
          <w:spacing w:val="-25"/>
        </w:rPr>
        <w:t> </w:t>
      </w:r>
      <w:r>
        <w:rPr>
          <w:spacing w:val="-25"/>
        </w:rPr>
      </w:r>
      <w:r>
        <w:rPr>
          <w:spacing w:val="-2"/>
        </w:rPr>
        <w:t>子公司对金融资产的持有意图和持有能力等。金融负债于初始确认时分类为：以公允价值计量且</w:t>
      </w:r>
      <w:r>
        <w:rPr>
          <w:spacing w:val="-25"/>
        </w:rPr>
        <w:t> </w:t>
      </w:r>
      <w:r>
        <w:rPr>
          <w:spacing w:val="-25"/>
        </w:rPr>
      </w:r>
      <w:r>
        <w:rPr/>
        <w:t>其变动计入当期损益的金融负债以及其他金融负债。</w:t>
      </w:r>
    </w:p>
    <w:p>
      <w:pPr>
        <w:pStyle w:val="BodyText"/>
        <w:spacing w:line="400" w:lineRule="auto" w:before="43"/>
        <w:ind w:left="137" w:right="131" w:firstLine="420"/>
        <w:jc w:val="both"/>
      </w:pPr>
      <w:r>
        <w:rPr>
          <w:spacing w:val="-2"/>
        </w:rPr>
        <w:t>以公允价值计量且其变动计入当期损益的金融资产包括持有目的为短期内出售的交易性金融</w:t>
      </w:r>
      <w:r>
        <w:rPr>
          <w:w w:val="100"/>
        </w:rPr>
        <w:t> </w:t>
      </w:r>
      <w:r>
        <w:rPr>
          <w:spacing w:val="-2"/>
        </w:rPr>
        <w:t>资产和初始确认时指定为以公允价值计量且其变动计入当期损益的金融资产；应收款项是指在活</w:t>
      </w:r>
      <w:r>
        <w:rPr>
          <w:spacing w:val="-25"/>
        </w:rPr>
        <w:t> </w:t>
      </w:r>
      <w:r>
        <w:rPr>
          <w:spacing w:val="-25"/>
        </w:rPr>
      </w:r>
      <w:r>
        <w:rPr>
          <w:spacing w:val="-2"/>
        </w:rPr>
        <w:t>跃市场中没有报价、回收金额固定或可确定的非衍生金融资产；可供出售金融资产包括初始确认</w:t>
      </w:r>
      <w:r>
        <w:rPr>
          <w:spacing w:val="-25"/>
        </w:rPr>
        <w:t> </w:t>
      </w:r>
      <w:r>
        <w:rPr>
          <w:spacing w:val="-25"/>
        </w:rPr>
      </w:r>
      <w:r>
        <w:rPr>
          <w:spacing w:val="-2"/>
        </w:rPr>
        <w:t>时即被指定为可供出售的非衍生金融资产及未被划分为其他类的金融资产；持有至到期投资是指</w:t>
      </w:r>
      <w:r>
        <w:rPr>
          <w:spacing w:val="-25"/>
        </w:rPr>
        <w:t> </w:t>
      </w:r>
      <w:r>
        <w:rPr>
          <w:spacing w:val="-25"/>
        </w:rPr>
      </w:r>
      <w:r>
        <w:rPr>
          <w:spacing w:val="-7"/>
          <w:w w:val="100"/>
        </w:rPr>
        <w:t>到期日固定、回收金额固定或可确定，且管理层有明确意图和能力持有至到期的非衍生金融资产。</w:t>
      </w:r>
    </w:p>
    <w:p>
      <w:pPr>
        <w:pStyle w:val="BodyText"/>
        <w:spacing w:line="379" w:lineRule="auto" w:before="45"/>
        <w:ind w:left="557" w:right="0"/>
        <w:jc w:val="left"/>
      </w:pPr>
      <w:r>
        <w:rPr>
          <w:rFonts w:ascii="Times New Roman" w:hAnsi="Times New Roman" w:cs="Times New Roman" w:eastAsia="Times New Roman" w:hint="default"/>
        </w:rPr>
        <w:t>2</w:t>
      </w:r>
      <w:r>
        <w:rPr/>
        <w:t>、金融工具的计量</w:t>
      </w:r>
      <w:r>
        <w:rPr>
          <w:w w:val="100"/>
        </w:rPr>
        <w:t> </w:t>
      </w:r>
      <w:r>
        <w:rPr>
          <w:spacing w:val="-2"/>
        </w:rPr>
        <w:t>本公司金融工具始确认按公允价值计量。后续计量分类为：以公允价值计量且其变动计入当</w:t>
      </w:r>
    </w:p>
    <w:p>
      <w:pPr>
        <w:pStyle w:val="BodyText"/>
        <w:spacing w:line="400" w:lineRule="auto" w:before="64"/>
        <w:ind w:left="137" w:right="138"/>
        <w:jc w:val="both"/>
      </w:pPr>
      <w:r>
        <w:rPr>
          <w:spacing w:val="-2"/>
        </w:rPr>
        <w:t>期损益的金融资产、可供出售金融资产及以公允价值计量且其变动计入当期损益的金融负债按公</w:t>
      </w:r>
      <w:r>
        <w:rPr>
          <w:spacing w:val="-25"/>
        </w:rPr>
        <w:t> </w:t>
      </w:r>
      <w:r>
        <w:rPr>
          <w:spacing w:val="-25"/>
        </w:rPr>
      </w:r>
      <w:r>
        <w:rPr>
          <w:spacing w:val="-2"/>
        </w:rPr>
        <w:t>允价值计量；持有到期投资、贷款和应收款项以及其他金融负债按摊余成本计量；在活跃市场中</w:t>
      </w:r>
      <w:r>
        <w:rPr>
          <w:spacing w:val="-25"/>
        </w:rPr>
        <w:t> </w:t>
      </w:r>
      <w:r>
        <w:rPr>
          <w:spacing w:val="-25"/>
        </w:rPr>
      </w:r>
      <w:r>
        <w:rPr>
          <w:spacing w:val="-2"/>
        </w:rPr>
        <w:t>没有报价且其公允价值不能可靠计量的权益工具投资，以及与该权益工具挂钩并须通过交付该权</w:t>
      </w:r>
      <w:r>
        <w:rPr>
          <w:spacing w:val="-25"/>
        </w:rPr>
        <w:t> </w:t>
      </w:r>
      <w:r>
        <w:rPr>
          <w:spacing w:val="-25"/>
        </w:rPr>
      </w:r>
      <w:r>
        <w:rPr>
          <w:spacing w:val="-2"/>
        </w:rPr>
        <w:t>益工具结算的衍生金融资产或者衍生金融负债，按照成本计量。本公司金融资产或金融负债后续</w:t>
      </w:r>
      <w:r>
        <w:rPr>
          <w:spacing w:val="-25"/>
        </w:rPr>
        <w:t> </w:t>
      </w:r>
      <w:r>
        <w:rPr>
          <w:spacing w:val="-25"/>
        </w:rPr>
      </w:r>
      <w:r>
        <w:rPr>
          <w:spacing w:val="-2"/>
        </w:rPr>
        <w:t>计量中公允价值变动形成的利得或损失，除与套期保值有关外，按照如下方法处理：①以公允价</w:t>
      </w:r>
      <w:r>
        <w:rPr>
          <w:spacing w:val="-25"/>
        </w:rPr>
        <w:t> </w:t>
      </w:r>
      <w:r>
        <w:rPr>
          <w:spacing w:val="-25"/>
        </w:rPr>
      </w:r>
      <w:r>
        <w:rPr>
          <w:spacing w:val="-2"/>
        </w:rPr>
        <w:t>值计量且其变动计入当期损益的金融资产或金融负债公允价值变动形成的利得或损失，计入公允</w:t>
      </w:r>
      <w:r>
        <w:rPr>
          <w:spacing w:val="-25"/>
        </w:rPr>
        <w:t> </w:t>
      </w:r>
      <w:r>
        <w:rPr>
          <w:spacing w:val="-25"/>
        </w:rPr>
      </w:r>
      <w:r>
        <w:rPr/>
        <w:t>价值变动损益。②可供出售金融资产的公允价值变动计入其他综合收益。</w:t>
      </w:r>
    </w:p>
    <w:p>
      <w:pPr>
        <w:pStyle w:val="BodyText"/>
        <w:spacing w:line="240" w:lineRule="auto" w:before="45"/>
        <w:ind w:left="557" w:right="0"/>
        <w:jc w:val="left"/>
      </w:pPr>
      <w:r>
        <w:rPr>
          <w:rFonts w:ascii="宋体" w:hAnsi="宋体" w:cs="宋体" w:eastAsia="宋体" w:hint="default"/>
        </w:rPr>
        <w:t>3</w:t>
      </w:r>
      <w:r>
        <w:rPr/>
        <w:t>、本公司对金融工具的公允价值的确认方法</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03" w:lineRule="auto"/>
        <w:ind w:left="237" w:right="138" w:firstLine="420"/>
        <w:jc w:val="both"/>
      </w:pPr>
      <w:r>
        <w:rPr>
          <w:spacing w:val="-2"/>
        </w:rPr>
        <w:t>如存在活跃市场的金融工具，以活跃市场中的报价确定其公允价值；如不存在活跃市场的金</w:t>
      </w:r>
      <w:r>
        <w:rPr>
          <w:w w:val="100"/>
        </w:rPr>
        <w:t> </w:t>
      </w:r>
      <w:r>
        <w:rPr/>
        <w:t>融工具，采用估值技术确定其公允价值。估值技术主要包括市场法、收益法和成本法。</w:t>
      </w:r>
    </w:p>
    <w:p>
      <w:pPr>
        <w:pStyle w:val="BodyText"/>
        <w:spacing w:line="403" w:lineRule="auto" w:before="40"/>
        <w:ind w:left="657" w:right="0"/>
        <w:jc w:val="left"/>
      </w:pPr>
      <w:r>
        <w:rPr>
          <w:rFonts w:ascii="宋体" w:hAnsi="宋体" w:cs="宋体" w:eastAsia="宋体" w:hint="default"/>
        </w:rPr>
        <w:t>4</w:t>
      </w:r>
      <w:r>
        <w:rPr/>
        <w:t>、金融资产负债转移的确认依据和计量方法</w:t>
      </w:r>
      <w:r>
        <w:rPr>
          <w:w w:val="100"/>
        </w:rPr>
        <w:t> </w:t>
      </w:r>
      <w:r>
        <w:rPr>
          <w:spacing w:val="-2"/>
        </w:rPr>
        <w:t>金融资产所有权上几乎所有的风险和报酬转移时，或既没有转移也没有保留金融资产所有权</w:t>
      </w:r>
    </w:p>
    <w:p>
      <w:pPr>
        <w:pStyle w:val="BodyText"/>
        <w:spacing w:line="400" w:lineRule="auto" w:before="43"/>
        <w:ind w:left="237" w:right="128"/>
        <w:jc w:val="both"/>
      </w:pPr>
      <w:r>
        <w:rPr>
          <w:spacing w:val="-2"/>
        </w:rPr>
        <w:t>上几乎所有的风险和报酬，但放弃了对该金融资产控制的，应当终止确认该项金融资产。金融资</w:t>
      </w:r>
      <w:r>
        <w:rPr>
          <w:spacing w:val="-25"/>
        </w:rPr>
        <w:t> </w:t>
      </w:r>
      <w:r>
        <w:rPr>
          <w:spacing w:val="-25"/>
        </w:rPr>
      </w:r>
      <w:r>
        <w:rPr>
          <w:spacing w:val="-2"/>
        </w:rPr>
        <w:t>产满足终止确认条件的，将所转移金融资产的账面价值与因转移而收到的对价和原直接计入其他</w:t>
      </w:r>
      <w:r>
        <w:rPr>
          <w:spacing w:val="-25"/>
        </w:rPr>
        <w:t> </w:t>
      </w:r>
      <w:r>
        <w:rPr>
          <w:spacing w:val="-25"/>
        </w:rPr>
      </w:r>
      <w:r>
        <w:rPr>
          <w:spacing w:val="-6"/>
          <w:w w:val="100"/>
        </w:rPr>
        <w:t>综合收益的公允价值变动累计额之和的差额部分，计入当期损益。部分转移满足终止确认条件的，</w:t>
      </w:r>
      <w:r>
        <w:rPr>
          <w:w w:val="100"/>
        </w:rPr>
        <w:t> </w:t>
      </w:r>
      <w:r>
        <w:rPr>
          <w:spacing w:val="-2"/>
        </w:rPr>
        <w:t>将所转移金融资产整体的账面价值，在终止确认部分和未终止确认部分之间，按照各自的相对公</w:t>
      </w:r>
      <w:r>
        <w:rPr>
          <w:spacing w:val="-25"/>
        </w:rPr>
        <w:t> </w:t>
      </w:r>
      <w:r>
        <w:rPr>
          <w:spacing w:val="-25"/>
        </w:rPr>
      </w:r>
      <w:r>
        <w:rPr/>
        <w:t>允价值进行分摊。</w:t>
      </w:r>
    </w:p>
    <w:p>
      <w:pPr>
        <w:pStyle w:val="BodyText"/>
        <w:spacing w:line="400" w:lineRule="auto" w:before="45"/>
        <w:ind w:left="657" w:right="0"/>
        <w:jc w:val="left"/>
      </w:pPr>
      <w:r>
        <w:rPr/>
        <w:t>金融负债的现时义务全部或部分已经解除的，则应终止确认该金融负债或其一部分。</w:t>
      </w:r>
      <w:r>
        <w:rPr>
          <w:w w:val="100"/>
        </w:rPr>
        <w:t> </w:t>
      </w:r>
      <w:r>
        <w:rPr>
          <w:rFonts w:ascii="宋体" w:hAnsi="宋体" w:cs="宋体" w:eastAsia="宋体" w:hint="default"/>
        </w:rPr>
        <w:t>5</w:t>
      </w:r>
      <w:r>
        <w:rPr/>
        <w:t>、金融资产减值</w:t>
      </w:r>
      <w:r>
        <w:rPr>
          <w:w w:val="100"/>
        </w:rPr>
        <w:t> </w:t>
      </w:r>
      <w:r>
        <w:rPr>
          <w:spacing w:val="-4"/>
          <w:w w:val="100"/>
        </w:rPr>
        <w:t>以摊余成本计量的金融资产发生减值时，按预计未来现金流量</w:t>
      </w:r>
      <w:r>
        <w:rPr>
          <w:rFonts w:ascii="宋体" w:hAnsi="宋体" w:cs="宋体" w:eastAsia="宋体" w:hint="default"/>
          <w:spacing w:val="-4"/>
          <w:w w:val="100"/>
        </w:rPr>
        <w:t>(</w:t>
      </w:r>
      <w:r>
        <w:rPr>
          <w:spacing w:val="-4"/>
          <w:w w:val="100"/>
        </w:rPr>
        <w:t>不包括尚未发生的未来信用损</w:t>
      </w:r>
    </w:p>
    <w:p>
      <w:pPr>
        <w:pStyle w:val="BodyText"/>
        <w:spacing w:line="403" w:lineRule="auto" w:before="45"/>
        <w:ind w:left="237" w:right="129"/>
        <w:jc w:val="both"/>
      </w:pPr>
      <w:r>
        <w:rPr>
          <w:spacing w:val="-4"/>
        </w:rPr>
        <w:t>失</w:t>
      </w:r>
      <w:r>
        <w:rPr>
          <w:rFonts w:ascii="宋体" w:hAnsi="宋体" w:cs="宋体" w:eastAsia="宋体" w:hint="default"/>
          <w:spacing w:val="-4"/>
        </w:rPr>
        <w:t>)</w:t>
      </w:r>
      <w:r>
        <w:rPr>
          <w:spacing w:val="-4"/>
        </w:rPr>
        <w:t>现值低于账面价值的差额，计提减值准备。如果有客观证据表明该金融资产价值已恢复，且客</w:t>
      </w:r>
      <w:r>
        <w:rPr>
          <w:spacing w:val="-34"/>
        </w:rPr>
        <w:t> </w:t>
      </w:r>
      <w:r>
        <w:rPr>
          <w:spacing w:val="-34"/>
        </w:rPr>
      </w:r>
      <w:r>
        <w:rPr/>
        <w:t>观上与确认该损失后发生的事项有关，原确认的减值损失予以转回，计入当期损益。</w:t>
      </w:r>
    </w:p>
    <w:p>
      <w:pPr>
        <w:pStyle w:val="BodyText"/>
        <w:spacing w:line="403" w:lineRule="auto" w:before="161"/>
        <w:ind w:left="237" w:right="138" w:firstLine="420"/>
        <w:jc w:val="both"/>
      </w:pPr>
      <w:r>
        <w:rPr>
          <w:spacing w:val="-2"/>
        </w:rPr>
        <w:t>以成本计量的金融资产发生减值时，按资产的账面价值与按照类似金融资产当时市场收益率</w:t>
      </w:r>
      <w:r>
        <w:rPr>
          <w:w w:val="100"/>
        </w:rPr>
        <w:t> </w:t>
      </w:r>
      <w:r>
        <w:rPr>
          <w:spacing w:val="-2"/>
        </w:rPr>
        <w:t>对未来现金流量折现确定的现值之间的差额，计提减值准备。发生的减值损失，一经确认，不再</w:t>
      </w:r>
      <w:r>
        <w:rPr>
          <w:spacing w:val="-25"/>
        </w:rPr>
        <w:t> </w:t>
      </w:r>
      <w:r>
        <w:rPr>
          <w:spacing w:val="-25"/>
        </w:rPr>
      </w:r>
      <w:r>
        <w:rPr/>
        <w:t>转回。</w:t>
      </w:r>
    </w:p>
    <w:p>
      <w:pPr>
        <w:pStyle w:val="BodyText"/>
        <w:spacing w:line="400" w:lineRule="auto" w:before="160"/>
        <w:ind w:left="237" w:right="138" w:firstLine="420"/>
        <w:jc w:val="right"/>
      </w:pPr>
      <w:r>
        <w:rPr>
          <w:spacing w:val="-2"/>
        </w:rPr>
        <w:t>当有客观证据表明可供出售金融资产发生减值时，原直接计入股东权益的因公允价值下降形</w:t>
      </w:r>
      <w:r>
        <w:rPr>
          <w:w w:val="100"/>
        </w:rPr>
        <w:t> </w:t>
      </w:r>
      <w:r>
        <w:rPr>
          <w:spacing w:val="-2"/>
        </w:rPr>
        <w:t>成的累计损失予以转出并计入减值损失。对已确认减值损失的可供出售债务工具投资，在期后公</w:t>
      </w:r>
      <w:r>
        <w:rPr>
          <w:spacing w:val="-43"/>
        </w:rPr>
        <w:t> </w:t>
      </w:r>
      <w:r>
        <w:rPr>
          <w:spacing w:val="-43"/>
        </w:rPr>
      </w:r>
      <w:r>
        <w:rPr>
          <w:spacing w:val="-2"/>
        </w:rPr>
        <w:t>允价值上升且客观上与确认原减值损失后发生的事项有关的，原确认的减值损失予以转回并计入</w:t>
      </w:r>
      <w:r>
        <w:rPr>
          <w:spacing w:val="-43"/>
        </w:rPr>
        <w:t> </w:t>
      </w:r>
      <w:r>
        <w:rPr>
          <w:spacing w:val="-43"/>
        </w:rPr>
      </w:r>
      <w:r>
        <w:rPr>
          <w:spacing w:val="-2"/>
        </w:rPr>
        <w:t>当期损益。对已确认减值损失的可供出售权益工具投资，期后公允价值上升直接计入股东权益。</w:t>
      </w:r>
    </w:p>
    <w:p>
      <w:pPr>
        <w:pStyle w:val="BodyText"/>
        <w:spacing w:line="403" w:lineRule="auto" w:before="166"/>
        <w:ind w:left="237" w:right="138" w:firstLine="420"/>
        <w:jc w:val="both"/>
      </w:pPr>
      <w:r>
        <w:rPr>
          <w:spacing w:val="-2"/>
        </w:rPr>
        <w:t>对于权益工具投资，本公司判断其公允价值发生“严重”或“非暂时性”下跌的具体量化标</w:t>
      </w:r>
      <w:r>
        <w:rPr>
          <w:w w:val="100"/>
        </w:rPr>
        <w:t> </w:t>
      </w:r>
      <w:r>
        <w:rPr/>
        <w:t>准、成本的计算方法、期末公允价值的确定方法，以及持续下跌期间的确定依据为：</w:t>
      </w:r>
    </w:p>
    <w:tbl>
      <w:tblPr>
        <w:tblW w:w="0" w:type="auto"/>
        <w:jc w:val="left"/>
        <w:tblInd w:w="100" w:type="dxa"/>
        <w:tblLayout w:type="fixed"/>
        <w:tblCellMar>
          <w:top w:w="0" w:type="dxa"/>
          <w:left w:w="0" w:type="dxa"/>
          <w:bottom w:w="0" w:type="dxa"/>
          <w:right w:w="0" w:type="dxa"/>
        </w:tblCellMar>
        <w:tblLook w:val="01E0"/>
      </w:tblPr>
      <w:tblGrid>
        <w:gridCol w:w="4093"/>
        <w:gridCol w:w="4643"/>
      </w:tblGrid>
      <w:tr>
        <w:trPr>
          <w:trHeight w:val="362" w:hRule="exact"/>
        </w:trPr>
        <w:tc>
          <w:tcPr>
            <w:tcW w:w="409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公允价值发生“严重”下跌的具体量化标准</w:t>
            </w:r>
          </w:p>
        </w:tc>
        <w:tc>
          <w:tcPr>
            <w:tcW w:w="4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w:t>
            </w:r>
          </w:p>
        </w:tc>
      </w:tr>
      <w:tr>
        <w:trPr>
          <w:trHeight w:val="348"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公允价值发生“非暂时性”下跌的具体量化标准</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个月出现下跌。</w:t>
            </w:r>
          </w:p>
        </w:tc>
      </w:tr>
      <w:tr>
        <w:trPr>
          <w:trHeight w:val="710"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取得时按支付对价（扣除已宣告但尚未发放的现金股利或</w:t>
            </w:r>
          </w:p>
          <w:p>
            <w:pPr>
              <w:pStyle w:val="TableParagraph"/>
              <w:spacing w:line="232" w:lineRule="exact" w:before="23"/>
              <w:ind w:left="100" w:right="108"/>
              <w:jc w:val="left"/>
              <w:rPr>
                <w:rFonts w:ascii="宋体" w:hAnsi="宋体" w:cs="宋体" w:eastAsia="宋体" w:hint="default"/>
                <w:sz w:val="18"/>
                <w:szCs w:val="18"/>
              </w:rPr>
            </w:pPr>
            <w:r>
              <w:rPr>
                <w:rFonts w:ascii="宋体" w:hAnsi="宋体" w:cs="宋体" w:eastAsia="宋体" w:hint="default"/>
                <w:spacing w:val="-3"/>
                <w:sz w:val="18"/>
                <w:szCs w:val="18"/>
              </w:rPr>
              <w:t>已到付息期但尚未领取的债券利息）和相关交易费用之和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作为投资成本。</w:t>
            </w:r>
          </w:p>
        </w:tc>
      </w:tr>
      <w:tr>
        <w:trPr>
          <w:trHeight w:val="710" w:hRule="exact"/>
        </w:trPr>
        <w:tc>
          <w:tcPr>
            <w:tcW w:w="4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64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w:t>
            </w:r>
          </w:p>
          <w:p>
            <w:pPr>
              <w:pStyle w:val="TableParagraph"/>
              <w:spacing w:line="232" w:lineRule="exact" w:before="24"/>
              <w:ind w:left="100" w:right="108"/>
              <w:jc w:val="left"/>
              <w:rPr>
                <w:rFonts w:ascii="宋体" w:hAnsi="宋体" w:cs="宋体" w:eastAsia="宋体" w:hint="default"/>
                <w:sz w:val="18"/>
                <w:szCs w:val="18"/>
              </w:rPr>
            </w:pPr>
            <w:r>
              <w:rPr>
                <w:rFonts w:ascii="宋体" w:hAnsi="宋体" w:cs="宋体" w:eastAsia="宋体" w:hint="default"/>
                <w:spacing w:val="-3"/>
                <w:sz w:val="18"/>
                <w:szCs w:val="18"/>
              </w:rPr>
              <w:t>允价值；如不存在活跃市场的金融工具，采用估值技术确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定其公允价值。</w:t>
            </w:r>
          </w:p>
        </w:tc>
      </w:tr>
      <w:tr>
        <w:trPr>
          <w:trHeight w:val="488" w:hRule="exact"/>
        </w:trPr>
        <w:tc>
          <w:tcPr>
            <w:tcW w:w="40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643" w:type="dxa"/>
            <w:tcBorders>
              <w:top w:val="single" w:sz="4" w:space="0" w:color="000000"/>
              <w:left w:val="single" w:sz="4" w:space="0" w:color="000000"/>
              <w:bottom w:val="single" w:sz="12"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反弹持续时间未超过</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个月的均作为持续下跌期间。</w:t>
            </w:r>
          </w:p>
        </w:tc>
      </w:tr>
    </w:tbl>
    <w:p>
      <w:pPr>
        <w:spacing w:after="0" w:line="240" w:lineRule="auto"/>
        <w:jc w:val="left"/>
        <w:rPr>
          <w:rFonts w:ascii="宋体" w:hAnsi="宋体" w:cs="宋体" w:eastAsia="宋体" w:hint="default"/>
          <w:sz w:val="18"/>
          <w:szCs w:val="18"/>
        </w:rPr>
        <w:sectPr>
          <w:pgSz w:w="11910" w:h="16840"/>
          <w:pgMar w:header="882" w:footer="1195" w:top="1120" w:bottom="1380" w:left="10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10.</w:t>
      </w:r>
      <w:r>
        <w:rPr>
          <w:rFonts w:ascii="宋体" w:hAnsi="宋体" w:cs="宋体" w:eastAsia="宋体" w:hint="default"/>
          <w:spacing w:val="2"/>
        </w:rPr>
        <w:t> </w:t>
      </w:r>
      <w:r>
        <w:rPr/>
        <w:t>应收款项</w:t>
      </w:r>
      <w:r>
        <w:rPr>
          <w:b w:val="0"/>
          <w:bCs w:val="0"/>
        </w:rPr>
      </w:r>
    </w:p>
    <w:p>
      <w:pPr>
        <w:pStyle w:val="BodyText"/>
        <w:spacing w:line="272" w:lineRule="exact" w:before="86"/>
        <w:ind w:left="217" w:right="227" w:firstLine="420"/>
        <w:jc w:val="left"/>
      </w:pPr>
      <w:r>
        <w:rPr>
          <w:spacing w:val="-2"/>
        </w:rPr>
        <w:t>本公司应收款项主要包括应收账款、长期应收款和其他应收款。在资产负债表日有客观证据</w:t>
      </w:r>
      <w:r>
        <w:rPr>
          <w:w w:val="100"/>
        </w:rPr>
        <w:t> </w:t>
      </w:r>
      <w:r>
        <w:rPr>
          <w:spacing w:val="-2"/>
        </w:rPr>
        <w:t>表明其发生了减值的，本公司根据其账面价值与预计未来现金流量现值之间差额确认减值损失。</w:t>
      </w:r>
    </w:p>
    <w:p>
      <w:pPr>
        <w:pStyle w:val="Heading3"/>
        <w:spacing w:line="240" w:lineRule="auto" w:before="34"/>
        <w:ind w:right="2465"/>
        <w:jc w:val="left"/>
        <w:rPr>
          <w:b w:val="0"/>
          <w:bCs w:val="0"/>
        </w:rPr>
      </w:pP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3937"/>
        <w:gridCol w:w="5113"/>
      </w:tblGrid>
      <w:tr>
        <w:trPr>
          <w:trHeight w:val="82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本公司将期末余额达到 </w:t>
            </w:r>
            <w:r>
              <w:rPr>
                <w:rFonts w:ascii="Times New Roman" w:hAnsi="Times New Roman" w:cs="Times New Roman" w:eastAsia="Times New Roman" w:hint="default"/>
                <w:sz w:val="21"/>
                <w:szCs w:val="21"/>
              </w:rPr>
              <w:t>1000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万元及以上的应收款项</w:t>
            </w:r>
          </w:p>
          <w:p>
            <w:pPr>
              <w:pStyle w:val="TableParagraph"/>
              <w:spacing w:line="274" w:lineRule="exact" w:before="16"/>
              <w:ind w:left="103" w:right="104"/>
              <w:jc w:val="left"/>
              <w:rPr>
                <w:rFonts w:ascii="宋体" w:hAnsi="宋体" w:cs="宋体" w:eastAsia="宋体" w:hint="default"/>
                <w:sz w:val="21"/>
                <w:szCs w:val="21"/>
              </w:rPr>
            </w:pPr>
            <w:r>
              <w:rPr>
                <w:rFonts w:ascii="宋体" w:hAnsi="宋体" w:cs="宋体" w:eastAsia="宋体" w:hint="default"/>
                <w:sz w:val="21"/>
                <w:szCs w:val="21"/>
              </w:rPr>
              <w:t>（包括应收账款和其他应收款）分类为单项金额重大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的款项。</w:t>
            </w:r>
          </w:p>
        </w:tc>
      </w:tr>
      <w:tr>
        <w:trPr>
          <w:trHeight w:val="164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单项金额重大并单项计提坏账准备的计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对单项金额重大且有客观证据表明发生的减值的应收</w:t>
            </w:r>
          </w:p>
          <w:p>
            <w:pPr>
              <w:pStyle w:val="TableParagraph"/>
              <w:spacing w:line="237" w:lineRule="auto" w:before="2"/>
              <w:ind w:left="103" w:right="104"/>
              <w:jc w:val="both"/>
              <w:rPr>
                <w:rFonts w:ascii="宋体" w:hAnsi="宋体" w:cs="宋体" w:eastAsia="宋体" w:hint="default"/>
                <w:sz w:val="21"/>
                <w:szCs w:val="21"/>
              </w:rPr>
            </w:pPr>
            <w:r>
              <w:rPr>
                <w:rFonts w:ascii="宋体" w:hAnsi="宋体" w:cs="宋体" w:eastAsia="宋体" w:hint="default"/>
                <w:sz w:val="21"/>
                <w:szCs w:val="21"/>
              </w:rPr>
              <w:t>款项，根据其未来现金流量现值低于其账面价值的差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额计提坏账准备；对经单独测试后未减值的单项金额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重大的应收款项，根据相同账龄应收款项组合的实际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损失率为基础，结合现时情况确定报告期各项组合计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提坏账准备的比例。</w:t>
            </w:r>
          </w:p>
        </w:tc>
      </w:tr>
    </w:tbl>
    <w:p>
      <w:pPr>
        <w:spacing w:line="240" w:lineRule="auto" w:before="0"/>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940"/>
        <w:gridCol w:w="3983"/>
        <w:gridCol w:w="3128"/>
      </w:tblGrid>
      <w:tr>
        <w:trPr>
          <w:trHeight w:val="52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69"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确定组合类别</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569"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组合</w:t>
            </w:r>
            <w:r>
              <w:rPr>
                <w:rFonts w:ascii="宋体" w:hAnsi="宋体" w:cs="宋体" w:eastAsia="宋体" w:hint="default"/>
                <w:spacing w:val="22"/>
                <w:sz w:val="21"/>
                <w:szCs w:val="21"/>
              </w:rPr>
              <w:t> </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：按账龄组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按账龄状态</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采用账龄分析法</w:t>
            </w:r>
          </w:p>
        </w:tc>
      </w:tr>
      <w:tr>
        <w:trPr>
          <w:trHeight w:val="1099"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组合</w:t>
            </w:r>
            <w:r>
              <w:rPr>
                <w:rFonts w:ascii="宋体" w:hAnsi="宋体" w:cs="宋体" w:eastAsia="宋体" w:hint="default"/>
                <w:spacing w:val="22"/>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：按其他组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tc>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①对纳入合并报表范围的子公司的应收</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款项及投标押金和备用金；②根据财政部</w:t>
            </w:r>
          </w:p>
          <w:p>
            <w:pPr>
              <w:pStyle w:val="TableParagraph"/>
              <w:spacing w:line="28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1"/>
                <w:w w:val="100"/>
                <w:sz w:val="21"/>
                <w:szCs w:val="21"/>
              </w:rPr>
              <w:t>《</w:t>
            </w:r>
            <w:r>
              <w:rPr>
                <w:rFonts w:ascii="宋体" w:hAnsi="宋体" w:cs="宋体" w:eastAsia="宋体" w:hint="default"/>
                <w:spacing w:val="9"/>
                <w:w w:val="100"/>
                <w:sz w:val="21"/>
                <w:szCs w:val="21"/>
              </w:rPr>
              <w:t>增值</w:t>
            </w:r>
            <w:r>
              <w:rPr>
                <w:rFonts w:ascii="宋体" w:hAnsi="宋体" w:cs="宋体" w:eastAsia="宋体" w:hint="default"/>
                <w:spacing w:val="11"/>
                <w:w w:val="100"/>
                <w:sz w:val="21"/>
                <w:szCs w:val="21"/>
              </w:rPr>
              <w:t>税</w:t>
            </w:r>
            <w:r>
              <w:rPr>
                <w:rFonts w:ascii="宋体" w:hAnsi="宋体" w:cs="宋体" w:eastAsia="宋体" w:hint="default"/>
                <w:spacing w:val="9"/>
                <w:w w:val="100"/>
                <w:sz w:val="21"/>
                <w:szCs w:val="21"/>
              </w:rPr>
              <w:t>会计处</w:t>
            </w:r>
            <w:r>
              <w:rPr>
                <w:rFonts w:ascii="宋体" w:hAnsi="宋体" w:cs="宋体" w:eastAsia="宋体" w:hint="default"/>
                <w:spacing w:val="11"/>
                <w:w w:val="100"/>
                <w:sz w:val="21"/>
                <w:szCs w:val="21"/>
              </w:rPr>
              <w:t>理</w:t>
            </w:r>
            <w:r>
              <w:rPr>
                <w:rFonts w:ascii="宋体" w:hAnsi="宋体" w:cs="宋体" w:eastAsia="宋体" w:hint="default"/>
                <w:spacing w:val="9"/>
                <w:w w:val="100"/>
                <w:sz w:val="21"/>
                <w:szCs w:val="21"/>
              </w:rPr>
              <w:t>规</w:t>
            </w:r>
            <w:r>
              <w:rPr>
                <w:rFonts w:ascii="宋体" w:hAnsi="宋体" w:cs="宋体" w:eastAsia="宋体" w:hint="default"/>
                <w:spacing w:val="11"/>
                <w:w w:val="100"/>
                <w:sz w:val="21"/>
                <w:szCs w:val="21"/>
              </w:rPr>
              <w:t>定</w:t>
            </w:r>
            <w:r>
              <w:rPr>
                <w:rFonts w:ascii="宋体" w:hAnsi="宋体" w:cs="宋体" w:eastAsia="宋体" w:hint="default"/>
                <w:spacing w:val="-97"/>
                <w:w w:val="100"/>
                <w:sz w:val="21"/>
                <w:szCs w:val="21"/>
              </w:rPr>
              <w:t>》</w:t>
            </w:r>
            <w:r>
              <w:rPr>
                <w:rFonts w:ascii="宋体" w:hAnsi="宋体" w:cs="宋体" w:eastAsia="宋体" w:hint="default"/>
                <w:spacing w:val="11"/>
                <w:w w:val="100"/>
                <w:sz w:val="21"/>
                <w:szCs w:val="21"/>
              </w:rPr>
              <w:t>（</w:t>
            </w:r>
            <w:r>
              <w:rPr>
                <w:rFonts w:ascii="宋体" w:hAnsi="宋体" w:cs="宋体" w:eastAsia="宋体" w:hint="default"/>
                <w:spacing w:val="9"/>
                <w:w w:val="100"/>
                <w:sz w:val="21"/>
                <w:szCs w:val="21"/>
              </w:rPr>
              <w:t>财</w:t>
            </w:r>
            <w:r>
              <w:rPr>
                <w:rFonts w:ascii="宋体" w:hAnsi="宋体" w:cs="宋体" w:eastAsia="宋体" w:hint="default"/>
                <w:spacing w:val="15"/>
                <w:w w:val="100"/>
                <w:sz w:val="21"/>
                <w:szCs w:val="21"/>
              </w:rPr>
              <w:t>会</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22</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号文件）计提的待转销项税。</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经测试未发生减值，不需计提坏账准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74" w:lineRule="exact"/>
        <w:ind w:left="217" w:right="2465"/>
        <w:jc w:val="left"/>
      </w:pPr>
      <w:r>
        <w:rPr/>
        <w:t>组合中，采用账龄分析法计提坏账准备的</w:t>
      </w:r>
    </w:p>
    <w:p>
      <w:pPr>
        <w:pStyle w:val="BodyText"/>
        <w:spacing w:line="290"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7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7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Narrow" w:hAnsi="Arial Narrow" w:cs="Arial Narrow" w:eastAsia="Arial Narrow" w:hint="default"/>
                <w:sz w:val="18"/>
                <w:szCs w:val="18"/>
              </w:rPr>
            </w:pPr>
            <w:r>
              <w:rPr>
                <w:rFonts w:ascii="Arial Narrow"/>
                <w:sz w:val="18"/>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Narrow" w:hAnsi="Arial Narrow" w:cs="Arial Narrow" w:eastAsia="Arial Narrow" w:hint="default"/>
                <w:sz w:val="18"/>
                <w:szCs w:val="18"/>
              </w:rPr>
            </w:pPr>
            <w:r>
              <w:rPr>
                <w:rFonts w:ascii="Arial Narrow"/>
                <w:sz w:val="18"/>
              </w:rPr>
              <w:t>3</w:t>
            </w:r>
          </w:p>
        </w:tc>
      </w:tr>
      <w:tr>
        <w:trPr>
          <w:trHeight w:val="28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10</w:t>
            </w:r>
            <w:r>
              <w:rPr>
                <w:rFonts w:ascii="Arial Narrow"/>
                <w:w w:val="95"/>
                <w:sz w:val="18"/>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10</w:t>
            </w:r>
            <w:r>
              <w:rPr>
                <w:rFonts w:ascii="Arial Narrow"/>
                <w:w w:val="95"/>
                <w:sz w:val="18"/>
              </w:rPr>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15</w:t>
            </w:r>
            <w:r>
              <w:rPr>
                <w:rFonts w:ascii="Arial Narrow"/>
                <w:w w:val="95"/>
                <w:sz w:val="18"/>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15</w:t>
            </w:r>
            <w:r>
              <w:rPr>
                <w:rFonts w:ascii="Arial Narrow"/>
                <w:w w:val="95"/>
                <w:sz w:val="18"/>
              </w:rPr>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20</w:t>
            </w:r>
            <w:r>
              <w:rPr>
                <w:rFonts w:ascii="Arial Narrow"/>
                <w:w w:val="95"/>
                <w:sz w:val="18"/>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20</w:t>
            </w:r>
            <w:r>
              <w:rPr>
                <w:rFonts w:ascii="Arial Narrow"/>
                <w:w w:val="95"/>
                <w:sz w:val="18"/>
              </w:rPr>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Narrow" w:hAnsi="Arial Narrow" w:cs="Arial Narrow" w:eastAsia="Arial Narrow" w:hint="default"/>
                <w:sz w:val="18"/>
                <w:szCs w:val="18"/>
              </w:rPr>
            </w:pPr>
            <w:r>
              <w:rPr>
                <w:rFonts w:ascii="Arial Narrow"/>
                <w:spacing w:val="-1"/>
                <w:w w:val="95"/>
                <w:sz w:val="18"/>
              </w:rPr>
              <w:t>20</w:t>
            </w:r>
            <w:r>
              <w:rPr>
                <w:rFonts w:ascii="Arial Narrow"/>
                <w:w w:val="95"/>
                <w:sz w:val="18"/>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Narrow" w:hAnsi="Arial Narrow" w:cs="Arial Narrow" w:eastAsia="Arial Narrow" w:hint="default"/>
                <w:sz w:val="18"/>
                <w:szCs w:val="18"/>
              </w:rPr>
            </w:pPr>
            <w:r>
              <w:rPr>
                <w:rFonts w:ascii="Arial Narrow"/>
                <w:spacing w:val="-1"/>
                <w:w w:val="95"/>
                <w:sz w:val="18"/>
              </w:rPr>
              <w:t>20</w:t>
            </w:r>
            <w:r>
              <w:rPr>
                <w:rFonts w:ascii="Arial Narrow"/>
                <w:w w:val="95"/>
                <w:sz w:val="18"/>
              </w:rPr>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20</w:t>
            </w:r>
            <w:r>
              <w:rPr>
                <w:rFonts w:ascii="Arial Narrow"/>
                <w:w w:val="95"/>
                <w:sz w:val="18"/>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Narrow" w:hAnsi="Arial Narrow" w:cs="Arial Narrow" w:eastAsia="Arial Narrow" w:hint="default"/>
                <w:sz w:val="18"/>
                <w:szCs w:val="18"/>
              </w:rPr>
            </w:pPr>
            <w:r>
              <w:rPr>
                <w:rFonts w:ascii="Arial Narrow"/>
                <w:spacing w:val="-1"/>
                <w:w w:val="95"/>
                <w:sz w:val="18"/>
              </w:rPr>
              <w:t>20</w:t>
            </w:r>
            <w:r>
              <w:rPr>
                <w:rFonts w:ascii="Arial Narrow"/>
                <w:w w:val="95"/>
                <w:sz w:val="18"/>
              </w:rPr>
            </w:r>
          </w:p>
        </w:tc>
      </w:tr>
    </w:tbl>
    <w:p>
      <w:pPr>
        <w:spacing w:line="240" w:lineRule="auto" w:before="3"/>
        <w:rPr>
          <w:rFonts w:ascii="宋体" w:hAnsi="宋体" w:cs="宋体" w:eastAsia="宋体" w:hint="default"/>
          <w:sz w:val="14"/>
          <w:szCs w:val="14"/>
        </w:rPr>
      </w:pPr>
    </w:p>
    <w:p>
      <w:pPr>
        <w:pStyle w:val="BodyText"/>
        <w:spacing w:line="273" w:lineRule="exact" w:before="36"/>
        <w:ind w:left="217" w:right="2465"/>
        <w:jc w:val="left"/>
      </w:pPr>
      <w:r>
        <w:rPr/>
        <w:t>组合中，采用余额百分比法计提坏账准备的</w:t>
      </w:r>
    </w:p>
    <w:p>
      <w:pPr>
        <w:pStyle w:val="BodyText"/>
        <w:spacing w:line="274" w:lineRule="exact" w:before="24"/>
        <w:ind w:left="217" w:right="415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46" w:lineRule="exact"/>
        <w:ind w:left="217"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95"/>
        <w:gridCol w:w="3005"/>
        <w:gridCol w:w="2950"/>
      </w:tblGrid>
      <w:tr>
        <w:trPr>
          <w:trHeight w:val="284"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center"/>
              <w:rPr>
                <w:rFonts w:ascii="宋体" w:hAnsi="宋体" w:cs="宋体" w:eastAsia="宋体" w:hint="default"/>
                <w:sz w:val="21"/>
                <w:szCs w:val="21"/>
              </w:rPr>
            </w:pPr>
            <w:r>
              <w:rPr>
                <w:rFonts w:ascii="宋体" w:hAnsi="宋体" w:cs="宋体" w:eastAsia="宋体" w:hint="default"/>
                <w:sz w:val="21"/>
                <w:szCs w:val="21"/>
              </w:rPr>
              <w:t>对纳入合并报表范围的子公司</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95"/>
        <w:gridCol w:w="3005"/>
        <w:gridCol w:w="2950"/>
      </w:tblGrid>
      <w:tr>
        <w:trPr>
          <w:trHeight w:val="555"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的应收款项及投标押金和备用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根据财政部《增值税会计处理规</w:t>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pacing w:val="-10"/>
                <w:w w:val="100"/>
                <w:sz w:val="21"/>
                <w:szCs w:val="21"/>
              </w:rPr>
              <w:t>定》（财会【</w:t>
            </w:r>
            <w:r>
              <w:rPr>
                <w:rFonts w:ascii="宋体" w:hAnsi="宋体" w:cs="宋体" w:eastAsia="宋体" w:hint="default"/>
                <w:spacing w:val="-10"/>
                <w:w w:val="100"/>
                <w:sz w:val="21"/>
                <w:szCs w:val="21"/>
              </w:rPr>
              <w:t>2016</w:t>
            </w:r>
            <w:r>
              <w:rPr>
                <w:rFonts w:ascii="宋体" w:hAnsi="宋体" w:cs="宋体" w:eastAsia="宋体" w:hint="default"/>
                <w:spacing w:val="-10"/>
                <w:w w:val="100"/>
                <w:sz w:val="21"/>
                <w:szCs w:val="21"/>
              </w:rPr>
              <w:t>】</w:t>
            </w:r>
            <w:r>
              <w:rPr>
                <w:rFonts w:ascii="宋体" w:hAnsi="宋体" w:cs="宋体" w:eastAsia="宋体" w:hint="default"/>
                <w:spacing w:val="-10"/>
                <w:w w:val="100"/>
                <w:sz w:val="21"/>
                <w:szCs w:val="21"/>
              </w:rPr>
              <w:t>22</w:t>
            </w:r>
            <w:r>
              <w:rPr>
                <w:rFonts w:ascii="宋体" w:hAnsi="宋体" w:cs="宋体" w:eastAsia="宋体" w:hint="default"/>
                <w:spacing w:val="-45"/>
                <w:w w:val="100"/>
                <w:sz w:val="21"/>
                <w:szCs w:val="21"/>
              </w:rPr>
              <w:t> </w:t>
            </w:r>
            <w:r>
              <w:rPr>
                <w:rFonts w:ascii="宋体" w:hAnsi="宋体" w:cs="宋体" w:eastAsia="宋体" w:hint="default"/>
                <w:spacing w:val="-2"/>
                <w:w w:val="100"/>
                <w:sz w:val="21"/>
                <w:szCs w:val="21"/>
              </w:rPr>
              <w:t>号文件）</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计提的待转销项税。</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47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对于单项金额不重大以及账龄较长的应收款项单独进行</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减值测试，有客观证据表明发生了减值</w:t>
            </w:r>
          </w:p>
        </w:tc>
      </w:tr>
      <w:tr>
        <w:trPr>
          <w:trHeight w:val="141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对单项金额不重大且有客观证据表明发生的减值的应收</w:t>
            </w:r>
            <w:r>
              <w:rPr>
                <w:rFonts w:ascii="宋体" w:hAnsi="宋体" w:cs="宋体" w:eastAsia="宋体" w:hint="default"/>
                <w:sz w:val="18"/>
                <w:szCs w:val="18"/>
              </w:rPr>
            </w:r>
          </w:p>
          <w:p>
            <w:pPr>
              <w:pStyle w:val="TableParagraph"/>
              <w:spacing w:line="237" w:lineRule="auto" w:before="1"/>
              <w:ind w:left="100" w:right="102"/>
              <w:jc w:val="both"/>
              <w:rPr>
                <w:rFonts w:ascii="宋体" w:hAnsi="宋体" w:cs="宋体" w:eastAsia="宋体" w:hint="default"/>
                <w:sz w:val="18"/>
                <w:szCs w:val="18"/>
              </w:rPr>
            </w:pPr>
            <w:r>
              <w:rPr>
                <w:rFonts w:ascii="宋体" w:hAnsi="宋体" w:cs="宋体" w:eastAsia="宋体" w:hint="default"/>
                <w:sz w:val="18"/>
                <w:szCs w:val="18"/>
              </w:rPr>
              <w:t>款项，根据其未来现金流量现值低于其账面价值的差额计 提坏账准备；对经单独测试后未减值的单项金额不重大的 应收款项，根据相同账龄应收款项组合的实际损失率为基 础，结合现时情况确定报告期各项组合计提坏账准备的比 例</w:t>
            </w:r>
          </w:p>
        </w:tc>
      </w:tr>
    </w:tbl>
    <w:p>
      <w:pPr>
        <w:spacing w:line="240" w:lineRule="auto" w:before="1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11.</w:t>
      </w:r>
      <w:r>
        <w:rPr>
          <w:rFonts w:ascii="宋体" w:hAnsi="宋体" w:cs="宋体" w:eastAsia="宋体" w:hint="default"/>
          <w:spacing w:val="2"/>
        </w:rPr>
        <w:t> </w:t>
      </w:r>
      <w:r>
        <w:rPr/>
        <w:t>存货</w:t>
      </w:r>
      <w:r>
        <w:rPr>
          <w:b w:val="0"/>
          <w:bCs w:val="0"/>
        </w:rPr>
      </w:r>
    </w:p>
    <w:p>
      <w:pPr>
        <w:pStyle w:val="BodyText"/>
        <w:tabs>
          <w:tab w:pos="963" w:val="left" w:leader="none"/>
        </w:tabs>
        <w:spacing w:line="379" w:lineRule="auto" w:before="58"/>
        <w:ind w:left="637" w:right="727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1"/>
        </w:rPr>
        <w:t>1</w:t>
      </w:r>
      <w:r>
        <w:rPr>
          <w:spacing w:val="-1"/>
        </w:rPr>
        <w:t>、存货的分类</w:t>
      </w:r>
    </w:p>
    <w:p>
      <w:pPr>
        <w:pStyle w:val="BodyText"/>
        <w:spacing w:line="400" w:lineRule="auto" w:before="35"/>
        <w:ind w:left="217" w:right="238" w:firstLine="420"/>
        <w:jc w:val="both"/>
      </w:pPr>
      <w:r>
        <w:rPr>
          <w:spacing w:val="-2"/>
        </w:rPr>
        <w:t>存货是指本公司在日常活动中持有以备出售的产成品或商品、处在生产过程中的在产品、在</w:t>
      </w:r>
      <w:r>
        <w:rPr>
          <w:w w:val="100"/>
        </w:rPr>
        <w:t> </w:t>
      </w:r>
      <w:r>
        <w:rPr>
          <w:spacing w:val="-2"/>
        </w:rPr>
        <w:t>生产过程或提供劳务过程中耗用的材料和物料，以及与建造合同相关的已完工尚未结算款项等。</w:t>
      </w:r>
      <w:r>
        <w:rPr>
          <w:spacing w:val="-25"/>
        </w:rPr>
        <w:t> </w:t>
      </w:r>
      <w:r>
        <w:rPr>
          <w:spacing w:val="-25"/>
        </w:rPr>
      </w:r>
      <w:r>
        <w:rPr/>
        <w:t>主要包括原材料、低值易耗品、周转材料、库存商品、在产品和已完工尚未结算款项等项目。</w:t>
      </w:r>
    </w:p>
    <w:p>
      <w:pPr>
        <w:pStyle w:val="BodyText"/>
        <w:spacing w:line="379" w:lineRule="auto" w:before="45"/>
        <w:ind w:left="637" w:right="0"/>
        <w:jc w:val="left"/>
      </w:pPr>
      <w:r>
        <w:rPr>
          <w:rFonts w:ascii="Times New Roman" w:hAnsi="Times New Roman" w:cs="Times New Roman" w:eastAsia="Times New Roman" w:hint="default"/>
        </w:rPr>
        <w:t>2</w:t>
      </w:r>
      <w:r>
        <w:rPr/>
        <w:t>、发出存货的计价方法</w:t>
      </w:r>
      <w:r>
        <w:rPr>
          <w:w w:val="100"/>
        </w:rPr>
        <w:t> </w:t>
      </w:r>
      <w:r>
        <w:rPr>
          <w:spacing w:val="-4"/>
          <w:w w:val="100"/>
        </w:rPr>
        <w:t>公司存货采用实际成本法核算，一般生产性及经营性存货发出材料采用加权平均法结转成本，</w:t>
      </w:r>
    </w:p>
    <w:p>
      <w:pPr>
        <w:pStyle w:val="BodyText"/>
        <w:spacing w:line="403" w:lineRule="auto" w:before="64"/>
        <w:ind w:left="217" w:right="227"/>
        <w:jc w:val="left"/>
      </w:pPr>
      <w:r>
        <w:rPr>
          <w:spacing w:val="-2"/>
        </w:rPr>
        <w:t>与工程施工相关的存货采用个别计价法。本公司主要业务为工程建设施工活动，公司工程施工成</w:t>
      </w:r>
      <w:r>
        <w:rPr>
          <w:spacing w:val="-25"/>
        </w:rPr>
        <w:t> </w:t>
      </w:r>
      <w:r>
        <w:rPr>
          <w:spacing w:val="-25"/>
        </w:rPr>
      </w:r>
      <w:r>
        <w:rPr/>
        <w:t>本按以下要点进行确定：</w:t>
      </w:r>
    </w:p>
    <w:p>
      <w:pPr>
        <w:pStyle w:val="BodyText"/>
        <w:spacing w:line="403" w:lineRule="auto" w:before="40"/>
        <w:ind w:left="217" w:right="238" w:firstLine="420"/>
        <w:jc w:val="both"/>
      </w:pPr>
      <w:r>
        <w:rPr>
          <w:spacing w:val="-2"/>
        </w:rPr>
        <w:t>①明确工程施工成本的核算对象，一般情况下是以具有独立施工图预算的单位工程为成本核</w:t>
      </w:r>
      <w:r>
        <w:rPr>
          <w:w w:val="100"/>
        </w:rPr>
        <w:t> </w:t>
      </w:r>
      <w:r>
        <w:rPr/>
        <w:t>算对象，并结合实际状况对建造合同进行分立或合并。</w:t>
      </w:r>
    </w:p>
    <w:p>
      <w:pPr>
        <w:pStyle w:val="BodyText"/>
        <w:spacing w:line="400" w:lineRule="auto" w:before="43"/>
        <w:ind w:left="217" w:right="238" w:firstLine="420"/>
        <w:jc w:val="both"/>
      </w:pPr>
      <w:r>
        <w:rPr>
          <w:spacing w:val="-2"/>
        </w:rPr>
        <w:t>②区别工程建造施工过程中所发生费用的归集原则：凡是与一定种类或数量的建筑施工产品</w:t>
      </w:r>
      <w:r>
        <w:rPr>
          <w:w w:val="100"/>
        </w:rPr>
        <w:t> </w:t>
      </w:r>
      <w:r>
        <w:rPr>
          <w:spacing w:val="-2"/>
        </w:rPr>
        <w:t>相联系的费用，按建筑施工产品对象进行归集；与费用所发生会计期间相关费用如管理费用、销</w:t>
      </w:r>
      <w:r>
        <w:rPr>
          <w:spacing w:val="-25"/>
        </w:rPr>
        <w:t> </w:t>
      </w:r>
      <w:r>
        <w:rPr>
          <w:spacing w:val="-25"/>
        </w:rPr>
      </w:r>
      <w:r>
        <w:rPr/>
        <w:t>售费用、财务费用等作为期间费用。</w:t>
      </w:r>
    </w:p>
    <w:p>
      <w:pPr>
        <w:pStyle w:val="BodyText"/>
        <w:spacing w:line="400" w:lineRule="auto" w:before="45"/>
        <w:ind w:left="217" w:right="238" w:firstLine="420"/>
        <w:jc w:val="both"/>
      </w:pPr>
      <w:r>
        <w:rPr>
          <w:spacing w:val="-2"/>
        </w:rPr>
        <w:t>③对按建造施工产品归集的费用，按经济内容一般可分为：直接人工费、直接材料费、机械</w:t>
      </w:r>
      <w:r>
        <w:rPr>
          <w:w w:val="100"/>
        </w:rPr>
        <w:t> </w:t>
      </w:r>
      <w:r>
        <w:rPr/>
        <w:t>使用费、其他直接费、分包费、间接费。</w:t>
      </w:r>
    </w:p>
    <w:p>
      <w:pPr>
        <w:pStyle w:val="BodyText"/>
        <w:spacing w:line="403" w:lineRule="auto" w:before="45"/>
        <w:ind w:left="217" w:right="238" w:firstLine="420"/>
        <w:jc w:val="both"/>
      </w:pPr>
      <w:r>
        <w:rPr>
          <w:spacing w:val="-2"/>
        </w:rPr>
        <w:t>④在做好工程施工主体投标前应重视基础工作，如：建立健全各项工程所用实物的计量，收</w:t>
      </w:r>
      <w:r>
        <w:rPr>
          <w:w w:val="100"/>
        </w:rPr>
        <w:t> </w:t>
      </w:r>
      <w:r>
        <w:rPr/>
        <w:t>领退存制度，建立健全对施工建造过程完整记录工作制度。</w:t>
      </w:r>
    </w:p>
    <w:p>
      <w:pPr>
        <w:spacing w:after="0" w:line="403" w:lineRule="auto"/>
        <w:jc w:val="both"/>
        <w:sectPr>
          <w:footerReference w:type="default" r:id="rId42"/>
          <w:pgSz w:w="11910" w:h="16840"/>
          <w:pgMar w:footer="1195" w:header="882"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403" w:lineRule="auto"/>
        <w:ind w:left="137" w:right="138" w:firstLine="420"/>
        <w:jc w:val="both"/>
      </w:pPr>
      <w:r>
        <w:rPr>
          <w:spacing w:val="-2"/>
        </w:rPr>
        <w:t>⑤对工程施工过程中所发生的各项费用，必须设置必要的账册，以审核无误、手续齐全的原</w:t>
      </w:r>
      <w:r>
        <w:rPr>
          <w:w w:val="100"/>
        </w:rPr>
        <w:t> </w:t>
      </w:r>
      <w:r>
        <w:rPr/>
        <w:t>始凭证为依据，按照成本核算对象、成本项目进行审核。</w:t>
      </w:r>
    </w:p>
    <w:p>
      <w:pPr>
        <w:pStyle w:val="BodyText"/>
        <w:spacing w:line="400" w:lineRule="auto" w:before="40"/>
        <w:ind w:left="137" w:right="128" w:firstLine="420"/>
        <w:jc w:val="both"/>
      </w:pPr>
      <w:r>
        <w:rPr>
          <w:spacing w:val="-2"/>
        </w:rPr>
        <w:t>⑥建造合同中所涉及的存货项目：建造合同按实际成本计量，包括合同签订至合同履行完毕</w:t>
      </w:r>
      <w:r>
        <w:rPr>
          <w:w w:val="100"/>
        </w:rPr>
        <w:t> </w:t>
      </w:r>
      <w:r>
        <w:rPr>
          <w:spacing w:val="-2"/>
        </w:rPr>
        <w:t>止所发生的与执行合同有关的成本费用。在工程施工中期的某个资产负债表日，在建的工程施工</w:t>
      </w:r>
      <w:r>
        <w:rPr>
          <w:spacing w:val="-25"/>
        </w:rPr>
        <w:t> </w:t>
      </w:r>
      <w:r>
        <w:rPr>
          <w:spacing w:val="-25"/>
        </w:rPr>
      </w:r>
      <w:r>
        <w:rPr>
          <w:spacing w:val="-2"/>
        </w:rPr>
        <w:t>合同累计已发生的成本及累计已确认的毛利的和减去已结算的价款的差额为正数时作为“工程施</w:t>
      </w:r>
      <w:r>
        <w:rPr>
          <w:spacing w:val="-25"/>
        </w:rPr>
        <w:t> </w:t>
      </w:r>
      <w:r>
        <w:rPr>
          <w:spacing w:val="-25"/>
        </w:rPr>
      </w:r>
      <w:r>
        <w:rPr>
          <w:spacing w:val="-4"/>
        </w:rPr>
        <w:t>工</w:t>
      </w:r>
      <w:r>
        <w:rPr>
          <w:rFonts w:ascii="宋体" w:hAnsi="宋体" w:cs="宋体" w:eastAsia="宋体" w:hint="default"/>
          <w:spacing w:val="-4"/>
        </w:rPr>
        <w:t>-</w:t>
      </w:r>
      <w:r>
        <w:rPr>
          <w:spacing w:val="-4"/>
        </w:rPr>
        <w:t>已完工尚未结算款”在存货项目中列示，在建的工程施工合同累计已发生的成本及累计已确认</w:t>
      </w:r>
      <w:r>
        <w:rPr>
          <w:spacing w:val="-32"/>
        </w:rPr>
        <w:t> </w:t>
      </w:r>
      <w:r>
        <w:rPr>
          <w:spacing w:val="-32"/>
        </w:rPr>
      </w:r>
      <w:r>
        <w:rPr>
          <w:spacing w:val="-4"/>
        </w:rPr>
        <w:t>的毛利的和减去已结算的价款的差额为负数时作为“工程结算</w:t>
      </w:r>
      <w:r>
        <w:rPr>
          <w:rFonts w:ascii="宋体" w:hAnsi="宋体" w:cs="宋体" w:eastAsia="宋体" w:hint="default"/>
          <w:spacing w:val="-4"/>
        </w:rPr>
        <w:t>-</w:t>
      </w:r>
      <w:r>
        <w:rPr>
          <w:spacing w:val="-4"/>
        </w:rPr>
        <w:t>已结算尚未完工款”在预收款项项</w:t>
      </w:r>
      <w:r>
        <w:rPr>
          <w:spacing w:val="-33"/>
        </w:rPr>
        <w:t> </w:t>
      </w:r>
      <w:r>
        <w:rPr>
          <w:spacing w:val="-33"/>
        </w:rPr>
      </w:r>
      <w:r>
        <w:rPr>
          <w:spacing w:val="-2"/>
        </w:rPr>
        <w:t>目中列示；在工程竣工决算后，应将工程施工的借方余额与工程结算的贷方余额对冲结转，两者</w:t>
      </w:r>
      <w:r>
        <w:rPr>
          <w:spacing w:val="-25"/>
        </w:rPr>
        <w:t> </w:t>
      </w:r>
      <w:r>
        <w:rPr>
          <w:spacing w:val="-25"/>
        </w:rPr>
      </w:r>
      <w:r>
        <w:rPr/>
        <w:t>相抵后余额为零。</w:t>
      </w:r>
    </w:p>
    <w:p>
      <w:pPr>
        <w:pStyle w:val="BodyText"/>
        <w:spacing w:line="381" w:lineRule="auto" w:before="45"/>
        <w:ind w:left="557" w:right="0"/>
        <w:jc w:val="left"/>
      </w:pPr>
      <w:r>
        <w:rPr>
          <w:rFonts w:ascii="Times New Roman" w:hAnsi="Times New Roman" w:cs="Times New Roman" w:eastAsia="Times New Roman" w:hint="default"/>
        </w:rPr>
        <w:t>3</w:t>
      </w:r>
      <w:r>
        <w:rPr/>
        <w:t>、存货跌价准备的计提方法</w:t>
      </w:r>
      <w:r>
        <w:rPr>
          <w:w w:val="100"/>
        </w:rPr>
        <w:t> </w:t>
      </w:r>
      <w:r>
        <w:rPr>
          <w:spacing w:val="-7"/>
          <w:w w:val="100"/>
        </w:rPr>
        <w:t>资产负债表日，存货按照成本与可变现净值孰低计量，并按单个存货项目计提存货跌价准备，</w:t>
      </w:r>
    </w:p>
    <w:p>
      <w:pPr>
        <w:pStyle w:val="BodyText"/>
        <w:spacing w:line="403" w:lineRule="auto" w:before="59"/>
        <w:ind w:left="557" w:right="0" w:hanging="420"/>
        <w:jc w:val="left"/>
      </w:pPr>
      <w:r>
        <w:rPr/>
        <w:t>但对于数量繁多、单价较低的存货，按照存货类别计提存货跌价准备。</w:t>
      </w:r>
      <w:r>
        <w:rPr>
          <w:w w:val="100"/>
        </w:rPr>
        <w:t> </w:t>
      </w:r>
      <w:r>
        <w:rPr>
          <w:spacing w:val="-2"/>
        </w:rPr>
        <w:t>直接用于出售的存货，在正常生产经营过程中以该存货的估计售价减去估计的销售费用和相</w:t>
      </w:r>
    </w:p>
    <w:p>
      <w:pPr>
        <w:pStyle w:val="BodyText"/>
        <w:spacing w:line="400" w:lineRule="auto" w:before="43"/>
        <w:ind w:left="137" w:right="138"/>
        <w:jc w:val="both"/>
      </w:pPr>
      <w:r>
        <w:rPr>
          <w:spacing w:val="-2"/>
        </w:rPr>
        <w:t>关税费后的金额确定其可变现净值；需要经过继续加工、生产的存货，在正常生产经营过程中以</w:t>
      </w:r>
      <w:r>
        <w:rPr>
          <w:spacing w:val="-25"/>
        </w:rPr>
        <w:t> </w:t>
      </w:r>
      <w:r>
        <w:rPr>
          <w:spacing w:val="-25"/>
        </w:rPr>
      </w:r>
      <w:r>
        <w:rPr>
          <w:spacing w:val="-2"/>
        </w:rPr>
        <w:t>所生产的产成品的估计售价减去至完工时估计将要发生的成本、估计的销售费用和相关税费后的</w:t>
      </w:r>
      <w:r>
        <w:rPr>
          <w:spacing w:val="-25"/>
        </w:rPr>
        <w:t> </w:t>
      </w:r>
      <w:r>
        <w:rPr>
          <w:spacing w:val="-25"/>
        </w:rPr>
      </w:r>
      <w:r>
        <w:rPr>
          <w:spacing w:val="-2"/>
        </w:rPr>
        <w:t>金额确定其可变现净值；资产负债表日，同一项存货中一部分有合同价格约定、其他部分不存在</w:t>
      </w:r>
      <w:r>
        <w:rPr>
          <w:spacing w:val="-25"/>
        </w:rPr>
        <w:t> </w:t>
      </w:r>
      <w:r>
        <w:rPr>
          <w:spacing w:val="-25"/>
        </w:rPr>
      </w:r>
      <w:r>
        <w:rPr>
          <w:spacing w:val="-2"/>
        </w:rPr>
        <w:t>合同价格的，分别确定其可变现净值，并与其对应的成本进行比较，分别确定存货跌价准备的计</w:t>
      </w:r>
      <w:r>
        <w:rPr>
          <w:spacing w:val="-25"/>
        </w:rPr>
        <w:t> </w:t>
      </w:r>
      <w:r>
        <w:rPr>
          <w:spacing w:val="-25"/>
        </w:rPr>
      </w:r>
      <w:r>
        <w:rPr/>
        <w:t>提或转回的金额。</w:t>
      </w:r>
    </w:p>
    <w:p>
      <w:pPr>
        <w:pStyle w:val="BodyText"/>
        <w:spacing w:line="393" w:lineRule="auto" w:before="45"/>
        <w:ind w:left="137" w:right="129" w:firstLine="420"/>
        <w:jc w:val="both"/>
      </w:pPr>
      <w:r>
        <w:rPr>
          <w:spacing w:val="-2"/>
        </w:rPr>
        <w:t>建造合同形成的工程施工存货，如某工程施工过程中某个资产负债表期末，建造合同的预计</w:t>
      </w:r>
      <w:r>
        <w:rPr>
          <w:w w:val="100"/>
        </w:rPr>
        <w:t> </w:t>
      </w:r>
      <w:r>
        <w:rPr>
          <w:spacing w:val="-1"/>
        </w:rPr>
        <w:t>总成本超过合同总收入，则形成合同预计损失，应提取损失准备，借记“资产减值损失”科目，</w:t>
      </w:r>
      <w:r>
        <w:rPr>
          <w:spacing w:val="-55"/>
        </w:rPr>
        <w:t> </w:t>
      </w:r>
      <w:r>
        <w:rPr>
          <w:spacing w:val="-55"/>
        </w:rPr>
      </w:r>
      <w:r>
        <w:rPr>
          <w:spacing w:val="-3"/>
        </w:rPr>
        <w:t>贷记“存货跌价准备</w:t>
      </w:r>
      <w:r>
        <w:rPr>
          <w:rFonts w:ascii="Times New Roman" w:hAnsi="Times New Roman" w:cs="Times New Roman" w:eastAsia="Times New Roman" w:hint="default"/>
          <w:spacing w:val="-3"/>
        </w:rPr>
        <w:t>-</w:t>
      </w:r>
      <w:r>
        <w:rPr>
          <w:spacing w:val="-3"/>
        </w:rPr>
        <w:t>工程施工合同预计损失准备”科目。若工程施工完成或工程施工建造过程中</w:t>
      </w:r>
      <w:r>
        <w:rPr>
          <w:spacing w:val="-42"/>
        </w:rPr>
        <w:t> </w:t>
      </w:r>
      <w:r>
        <w:rPr>
          <w:spacing w:val="-42"/>
        </w:rPr>
      </w:r>
      <w:r>
        <w:rPr>
          <w:spacing w:val="-1"/>
        </w:rPr>
        <w:t>某个资产负债表日减记工程施工存货项目的影响因素已消失，即该时点合同预计总收入大于合同</w:t>
      </w:r>
      <w:r>
        <w:rPr>
          <w:spacing w:val="-55"/>
        </w:rPr>
        <w:t> </w:t>
      </w:r>
      <w:r>
        <w:rPr>
          <w:spacing w:val="-55"/>
        </w:rPr>
      </w:r>
      <w:r>
        <w:rPr>
          <w:spacing w:val="-1"/>
        </w:rPr>
        <w:t>预计总成本，则应将减记的跌价金额予以回复，在原计提的减值金额内转回，借记“存货跌价准</w:t>
      </w:r>
      <w:r>
        <w:rPr>
          <w:spacing w:val="-55"/>
        </w:rPr>
        <w:t> </w:t>
      </w:r>
      <w:r>
        <w:rPr>
          <w:spacing w:val="-55"/>
        </w:rPr>
      </w:r>
      <w:r>
        <w:rPr>
          <w:spacing w:val="-5"/>
          <w:w w:val="100"/>
        </w:rPr>
        <w:t>备</w:t>
      </w:r>
      <w:r>
        <w:rPr>
          <w:rFonts w:ascii="Times New Roman" w:hAnsi="Times New Roman" w:cs="Times New Roman" w:eastAsia="Times New Roman" w:hint="default"/>
          <w:spacing w:val="-5"/>
          <w:w w:val="100"/>
        </w:rPr>
        <w:t>-</w:t>
      </w:r>
      <w:r>
        <w:rPr>
          <w:spacing w:val="-5"/>
          <w:w w:val="100"/>
        </w:rPr>
        <w:t>工程施工合同预计损失准备”，贷记“主营业务成本</w:t>
      </w:r>
      <w:r>
        <w:rPr>
          <w:rFonts w:ascii="Times New Roman" w:hAnsi="Times New Roman" w:cs="Times New Roman" w:eastAsia="Times New Roman" w:hint="default"/>
          <w:spacing w:val="-5"/>
          <w:w w:val="100"/>
        </w:rPr>
        <w:t>-</w:t>
      </w:r>
      <w:r>
        <w:rPr>
          <w:spacing w:val="-5"/>
          <w:w w:val="100"/>
        </w:rPr>
        <w:t>工程施工结算成本”。合同完工时，将已</w:t>
      </w:r>
      <w:r>
        <w:rPr>
          <w:spacing w:val="-66"/>
          <w:w w:val="100"/>
        </w:rPr>
        <w:t> </w:t>
      </w:r>
      <w:r>
        <w:rPr>
          <w:spacing w:val="-66"/>
          <w:w w:val="100"/>
        </w:rPr>
      </w:r>
      <w:r>
        <w:rPr/>
        <w:t>提取的损失准备冲减合同费用。</w:t>
      </w:r>
    </w:p>
    <w:p>
      <w:pPr>
        <w:pStyle w:val="BodyText"/>
        <w:spacing w:line="379" w:lineRule="auto" w:before="51"/>
        <w:ind w:left="557" w:right="3467"/>
        <w:jc w:val="left"/>
      </w:pPr>
      <w:r>
        <w:rPr>
          <w:rFonts w:ascii="Times New Roman" w:hAnsi="Times New Roman" w:cs="Times New Roman" w:eastAsia="Times New Roman" w:hint="default"/>
        </w:rPr>
        <w:t>4</w:t>
      </w:r>
      <w:r>
        <w:rPr/>
        <w:t>、存货的盘存制度</w:t>
      </w:r>
      <w:r>
        <w:rPr>
          <w:w w:val="100"/>
        </w:rPr>
        <w:t> </w:t>
      </w:r>
      <w:r>
        <w:rPr>
          <w:spacing w:val="-2"/>
        </w:rPr>
        <w:t>本公司的存货盘存制度为永续盘存制。</w:t>
      </w:r>
    </w:p>
    <w:p>
      <w:pPr>
        <w:pStyle w:val="BodyText"/>
        <w:spacing w:line="274" w:lineRule="exact" w:before="90"/>
        <w:ind w:left="137" w:right="2323" w:firstLine="420"/>
        <w:jc w:val="left"/>
      </w:pPr>
      <w:r>
        <w:rPr>
          <w:rFonts w:ascii="Times New Roman" w:hAnsi="Times New Roman" w:cs="Times New Roman" w:eastAsia="Times New Roman" w:hint="default"/>
        </w:rPr>
        <w:t>5</w:t>
      </w:r>
      <w:r>
        <w:rPr/>
        <w:t>、低值易耗品和包装物的摊销方法</w:t>
      </w:r>
      <w:r>
        <w:rPr>
          <w:w w:val="100"/>
        </w:rPr>
        <w:t> </w:t>
      </w:r>
      <w:r>
        <w:rPr>
          <w:spacing w:val="-2"/>
        </w:rPr>
        <w:t>低值易耗品和包装物采用一次转销法摊销</w:t>
      </w:r>
      <w:r>
        <w:rPr>
          <w:color w:val="000099"/>
          <w:spacing w:val="-2"/>
        </w:rPr>
        <w:t>。</w:t>
      </w:r>
      <w:r>
        <w:rPr>
          <w:spacing w:val="-2"/>
        </w:rPr>
      </w:r>
    </w:p>
    <w:p>
      <w:pPr>
        <w:spacing w:after="0" w:line="274" w:lineRule="exact"/>
        <w:jc w:val="left"/>
        <w:sectPr>
          <w:footerReference w:type="default" r:id="rId43"/>
          <w:pgSz w:w="11910" w:h="16840"/>
          <w:pgMar w:footer="1195" w:header="882" w:top="1120" w:bottom="1380" w:left="1140" w:right="1660"/>
          <w:pgNumType w:start="91"/>
        </w:sectPr>
      </w:pPr>
    </w:p>
    <w:p>
      <w:pPr>
        <w:spacing w:line="240" w:lineRule="auto" w:before="9"/>
        <w:rPr>
          <w:rFonts w:ascii="宋体" w:hAnsi="宋体" w:cs="宋体" w:eastAsia="宋体" w:hint="default"/>
          <w:sz w:val="18"/>
          <w:szCs w:val="18"/>
        </w:rPr>
      </w:pPr>
    </w:p>
    <w:p>
      <w:pPr>
        <w:pStyle w:val="Heading3"/>
        <w:spacing w:line="240" w:lineRule="auto"/>
        <w:ind w:left="137" w:right="105"/>
        <w:jc w:val="left"/>
        <w:rPr>
          <w:b w:val="0"/>
          <w:bCs w:val="0"/>
        </w:rPr>
      </w:pPr>
      <w:r>
        <w:rPr>
          <w:rFonts w:ascii="宋体" w:hAnsi="宋体" w:cs="宋体" w:eastAsia="宋体" w:hint="default"/>
        </w:rPr>
        <w:t>12.</w:t>
      </w:r>
      <w:r>
        <w:rPr>
          <w:rFonts w:ascii="宋体" w:hAnsi="宋体" w:cs="宋体" w:eastAsia="宋体" w:hint="default"/>
          <w:spacing w:val="3"/>
        </w:rPr>
        <w:t> </w:t>
      </w:r>
      <w:r>
        <w:rPr/>
        <w:t>长期股权投资</w:t>
      </w:r>
      <w:r>
        <w:rPr>
          <w:b w:val="0"/>
          <w:bCs w:val="0"/>
        </w:rPr>
      </w:r>
    </w:p>
    <w:p>
      <w:pPr>
        <w:pStyle w:val="BodyText"/>
        <w:tabs>
          <w:tab w:pos="883" w:val="left" w:leader="none"/>
        </w:tabs>
        <w:spacing w:line="381" w:lineRule="auto" w:before="56"/>
        <w:ind w:left="557" w:right="66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、初始投资成本确定</w:t>
      </w:r>
    </w:p>
    <w:p>
      <w:pPr>
        <w:pStyle w:val="BodyText"/>
        <w:spacing w:line="400" w:lineRule="auto" w:before="33"/>
        <w:ind w:left="137" w:right="209" w:firstLine="420"/>
        <w:jc w:val="both"/>
      </w:pPr>
      <w:r>
        <w:rPr>
          <w:spacing w:val="-2"/>
        </w:rPr>
        <w:t>对于企业合并取得的长期股权投资，如为同一控制下的企业合并，应当按照取得被合并方所</w:t>
      </w:r>
      <w:r>
        <w:rPr>
          <w:w w:val="100"/>
        </w:rPr>
        <w:t> </w:t>
      </w:r>
      <w:r>
        <w:rPr>
          <w:spacing w:val="-2"/>
        </w:rPr>
        <w:t>有者权益账面价值的份额确认为初始成本；非同一控制下的企业合并，应当按购买日确定的合并</w:t>
      </w:r>
      <w:r>
        <w:rPr>
          <w:spacing w:val="-25"/>
        </w:rPr>
        <w:t> </w:t>
      </w:r>
      <w:r>
        <w:rPr>
          <w:spacing w:val="-25"/>
        </w:rPr>
      </w:r>
      <w:r>
        <w:rPr>
          <w:spacing w:val="-2"/>
        </w:rPr>
        <w:t>成本确认为初始成本；以支付现金取得的长期股权投资，初始投资成本为实际支付的购买价款；</w:t>
      </w:r>
      <w:r>
        <w:rPr>
          <w:spacing w:val="-25"/>
        </w:rPr>
        <w:t> </w:t>
      </w:r>
      <w:r>
        <w:rPr>
          <w:spacing w:val="-25"/>
        </w:rPr>
      </w:r>
      <w:r>
        <w:rPr>
          <w:spacing w:val="-2"/>
        </w:rPr>
        <w:t>以发行权益性证券取得的长期股权投资，初始投资成本为发行权益性证券的公允价值；通过债务</w:t>
      </w:r>
      <w:r>
        <w:rPr>
          <w:spacing w:val="-25"/>
        </w:rPr>
        <w:t> </w:t>
      </w:r>
      <w:r>
        <w:rPr>
          <w:spacing w:val="-25"/>
        </w:rPr>
      </w:r>
      <w:r>
        <w:rPr>
          <w:spacing w:val="-4"/>
        </w:rPr>
        <w:t>重组取得的长期股权投资，其初始投资成本应当按照《企业会计准则第</w:t>
      </w:r>
      <w:r>
        <w:rPr>
          <w:spacing w:val="-25"/>
        </w:rPr>
        <w:t> </w:t>
      </w:r>
      <w:r>
        <w:rPr>
          <w:rFonts w:ascii="宋体" w:hAnsi="宋体" w:cs="宋体" w:eastAsia="宋体" w:hint="default"/>
        </w:rPr>
        <w:t>12</w:t>
      </w:r>
      <w:r>
        <w:rPr>
          <w:rFonts w:ascii="宋体" w:hAnsi="宋体" w:cs="宋体" w:eastAsia="宋体" w:hint="default"/>
          <w:spacing w:val="-22"/>
        </w:rPr>
        <w:t> </w:t>
      </w:r>
      <w:r>
        <w:rPr>
          <w:spacing w:val="-5"/>
        </w:rPr>
        <w:t>号—债务重组》的有关</w:t>
      </w:r>
      <w:r>
        <w:rPr>
          <w:spacing w:val="-93"/>
        </w:rPr>
        <w:t> </w:t>
      </w:r>
      <w:r>
        <w:rPr>
          <w:spacing w:val="-93"/>
        </w:rPr>
      </w:r>
      <w:r>
        <w:rPr/>
        <w:t>规定确定；非货币性资产交换取得的长期股权投资，初始投资成本根据准则相关规定确定。</w:t>
      </w:r>
    </w:p>
    <w:p>
      <w:pPr>
        <w:pStyle w:val="BodyText"/>
        <w:spacing w:line="379" w:lineRule="auto" w:before="45"/>
        <w:ind w:left="557" w:right="105"/>
        <w:jc w:val="left"/>
      </w:pPr>
      <w:r>
        <w:rPr>
          <w:rFonts w:ascii="Times New Roman" w:hAnsi="Times New Roman" w:cs="Times New Roman" w:eastAsia="Times New Roman" w:hint="default"/>
        </w:rPr>
        <w:t>2</w:t>
      </w:r>
      <w:r>
        <w:rPr/>
        <w:t>、后续计量及损益确认方法</w:t>
      </w:r>
      <w:r>
        <w:rPr>
          <w:w w:val="100"/>
        </w:rPr>
        <w:t> </w:t>
      </w:r>
      <w:r>
        <w:rPr>
          <w:spacing w:val="-2"/>
        </w:rPr>
        <w:t>投资方能够对被投资单位实施控制的长期股权投资应当采用成本法核算，对联营企业和合营</w:t>
      </w:r>
    </w:p>
    <w:p>
      <w:pPr>
        <w:pStyle w:val="BodyText"/>
        <w:spacing w:line="403" w:lineRule="auto" w:before="64"/>
        <w:ind w:left="137" w:right="97"/>
        <w:jc w:val="left"/>
      </w:pPr>
      <w:r>
        <w:rPr/>
        <w:t>企业的长期股权投资采用权益法核算。投资方对联营企业的权益性投资，其中一部分通过风险投</w:t>
      </w:r>
      <w:r>
        <w:rPr>
          <w:w w:val="100"/>
        </w:rPr>
        <w:t> </w:t>
      </w:r>
      <w:r>
        <w:rPr/>
        <w:t>资机构、共同基金、信托公司或包括投连险基金在内的类似主体间接持有的，无论以上主体是否</w:t>
      </w:r>
      <w:r>
        <w:rPr>
          <w:w w:val="100"/>
        </w:rPr>
        <w:t> </w:t>
      </w:r>
      <w:r>
        <w:rPr>
          <w:spacing w:val="-9"/>
          <w:w w:val="100"/>
        </w:rPr>
        <w:t>对这部分投资具有重大影响，投资方都应当按照《企业会计准则第</w:t>
      </w:r>
      <w:r>
        <w:rPr>
          <w:spacing w:val="-39"/>
          <w:w w:val="100"/>
        </w:rPr>
        <w:t> </w:t>
      </w:r>
      <w:r>
        <w:rPr>
          <w:rFonts w:ascii="宋体" w:hAnsi="宋体" w:cs="宋体" w:eastAsia="宋体" w:hint="default"/>
          <w:spacing w:val="-2"/>
          <w:w w:val="100"/>
        </w:rPr>
        <w:t>22</w:t>
      </w:r>
      <w:r>
        <w:rPr>
          <w:rFonts w:ascii="宋体" w:hAnsi="宋体" w:cs="宋体" w:eastAsia="宋体" w:hint="default"/>
          <w:spacing w:val="-39"/>
          <w:w w:val="100"/>
        </w:rPr>
        <w:t> </w:t>
      </w:r>
      <w:r>
        <w:rPr>
          <w:spacing w:val="-2"/>
          <w:w w:val="100"/>
        </w:rPr>
        <w:t>号——金融工具确认和计量》</w:t>
      </w:r>
      <w:r>
        <w:rPr>
          <w:spacing w:val="-100"/>
          <w:w w:val="100"/>
        </w:rPr>
        <w:t> </w:t>
      </w:r>
      <w:r>
        <w:rPr>
          <w:spacing w:val="-100"/>
          <w:w w:val="100"/>
        </w:rPr>
      </w:r>
      <w:r>
        <w:rPr/>
        <w:t>的有关规定，对间接持有的该部分投资选择以公允价值计量且其变动计入损益，并对其余部分采</w:t>
      </w:r>
      <w:r>
        <w:rPr>
          <w:w w:val="100"/>
        </w:rPr>
        <w:t> </w:t>
      </w:r>
      <w:r>
        <w:rPr/>
        <w:t>用权益法核算。</w:t>
      </w:r>
    </w:p>
    <w:p>
      <w:pPr>
        <w:pStyle w:val="BodyText"/>
        <w:spacing w:line="381" w:lineRule="auto" w:before="40"/>
        <w:ind w:left="557" w:right="105"/>
        <w:jc w:val="left"/>
      </w:pPr>
      <w:r>
        <w:rPr>
          <w:rFonts w:ascii="Times New Roman" w:hAnsi="Times New Roman" w:cs="Times New Roman" w:eastAsia="Times New Roman" w:hint="default"/>
        </w:rPr>
        <w:t>3</w:t>
      </w:r>
      <w:r>
        <w:rPr/>
        <w:t>、确定对被投资单位具有共同控制、重大影响的依据</w:t>
      </w:r>
      <w:r>
        <w:rPr>
          <w:w w:val="100"/>
        </w:rPr>
        <w:t> </w:t>
      </w:r>
      <w:r>
        <w:rPr>
          <w:spacing w:val="-2"/>
        </w:rPr>
        <w:t>对被投资单位具有共同控制，是指对某项安排的回报产生重大影响的活动必须经过分享控制</w:t>
      </w:r>
    </w:p>
    <w:p>
      <w:pPr>
        <w:pStyle w:val="BodyText"/>
        <w:spacing w:line="400" w:lineRule="auto" w:before="62"/>
        <w:ind w:left="137" w:right="208"/>
        <w:jc w:val="both"/>
      </w:pPr>
      <w:r>
        <w:rPr>
          <w:spacing w:val="-2"/>
        </w:rPr>
        <w:t>权的参与方一致同意后才能决策，包括商品或劳务的销售和购买、金融资产的管理、资产的购买</w:t>
      </w:r>
      <w:r>
        <w:rPr>
          <w:spacing w:val="-25"/>
        </w:rPr>
        <w:t> </w:t>
      </w:r>
      <w:r>
        <w:rPr>
          <w:spacing w:val="-25"/>
        </w:rPr>
      </w:r>
      <w:r>
        <w:rPr>
          <w:spacing w:val="-2"/>
        </w:rPr>
        <w:t>和处置、研究与开发活动以及融资活动等；对被投资单位具有重大影响，是指当持有被投资单位</w:t>
      </w:r>
      <w:r>
        <w:rPr>
          <w:spacing w:val="-26"/>
        </w:rPr>
        <w:t> </w:t>
      </w:r>
      <w:r>
        <w:rPr>
          <w:spacing w:val="-26"/>
        </w:rPr>
      </w:r>
      <w:r>
        <w:rPr>
          <w:rFonts w:ascii="宋体" w:hAnsi="宋体" w:cs="宋体" w:eastAsia="宋体" w:hint="default"/>
        </w:rPr>
        <w:t>20%</w:t>
      </w:r>
      <w:r>
        <w:rPr/>
        <w:t>以上至</w:t>
      </w:r>
      <w:r>
        <w:rPr>
          <w:spacing w:val="-57"/>
        </w:rPr>
        <w:t> </w:t>
      </w:r>
      <w:r>
        <w:rPr>
          <w:rFonts w:ascii="宋体" w:hAnsi="宋体" w:cs="宋体" w:eastAsia="宋体" w:hint="default"/>
        </w:rPr>
        <w:t>50%</w:t>
      </w:r>
      <w:r>
        <w:rPr/>
        <w:t>的表决权资本时，具有重大影响。或虽不足</w:t>
      </w:r>
      <w:r>
        <w:rPr>
          <w:spacing w:val="-54"/>
        </w:rPr>
        <w:t> </w:t>
      </w:r>
      <w:r>
        <w:rPr>
          <w:rFonts w:ascii="宋体" w:hAnsi="宋体" w:cs="宋体" w:eastAsia="宋体" w:hint="default"/>
        </w:rPr>
        <w:t>20%</w:t>
      </w:r>
      <w:r>
        <w:rPr/>
        <w:t>，但符合下列条件之一时，具有重</w:t>
      </w:r>
      <w:r>
        <w:rPr>
          <w:w w:val="100"/>
        </w:rPr>
        <w:t> </w:t>
      </w:r>
      <w:r>
        <w:rPr>
          <w:spacing w:val="-6"/>
          <w:w w:val="100"/>
        </w:rPr>
        <w:t>大影响：在被投资单位的董事会或类似的权力机构中派有代表；参与被投资单位的政策制定过程；</w:t>
      </w:r>
      <w:r>
        <w:rPr>
          <w:w w:val="100"/>
        </w:rPr>
        <w:t> </w:t>
      </w:r>
      <w:r>
        <w:rPr>
          <w:spacing w:val="-2"/>
        </w:rPr>
        <w:t>向被投资单位派出管理人员；被投资单位依赖投资公司的技术或技术资料；与被投资单位之间发</w:t>
      </w:r>
      <w:r>
        <w:rPr>
          <w:spacing w:val="-25"/>
        </w:rPr>
        <w:t> </w:t>
      </w:r>
      <w:r>
        <w:rPr>
          <w:spacing w:val="-25"/>
        </w:rPr>
      </w:r>
      <w:r>
        <w:rPr/>
        <w:t>生重要交易。</w:t>
      </w:r>
    </w:p>
    <w:p>
      <w:pPr>
        <w:pStyle w:val="Heading3"/>
        <w:spacing w:line="290" w:lineRule="auto" w:before="158"/>
        <w:ind w:left="137" w:right="7760"/>
        <w:jc w:val="left"/>
        <w:rPr>
          <w:b w:val="0"/>
          <w:bCs w:val="0"/>
        </w:rPr>
      </w:pPr>
      <w:r>
        <w:rPr>
          <w:rFonts w:ascii="宋体" w:hAnsi="宋体" w:cs="宋体" w:eastAsia="宋体" w:hint="default"/>
        </w:rPr>
        <w:t>13.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137" w:right="10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79" w:lineRule="auto" w:before="170"/>
        <w:ind w:left="557" w:right="105"/>
        <w:jc w:val="left"/>
      </w:pPr>
      <w:r>
        <w:rPr>
          <w:rFonts w:ascii="Times New Roman" w:hAnsi="Times New Roman" w:cs="Times New Roman" w:eastAsia="Times New Roman" w:hint="default"/>
        </w:rPr>
        <w:t>1</w:t>
      </w:r>
      <w:r>
        <w:rPr/>
        <w:t>、固定资产确认条件</w:t>
      </w:r>
      <w:r>
        <w:rPr>
          <w:w w:val="100"/>
        </w:rPr>
        <w:t> </w:t>
      </w:r>
      <w:r>
        <w:rPr>
          <w:spacing w:val="-2"/>
        </w:rPr>
        <w:t>固定资产指为生产商品、提供劳务、出租或经营管理而持有的，使用寿命超过一个会计年度</w:t>
      </w:r>
    </w:p>
    <w:p>
      <w:pPr>
        <w:pStyle w:val="BodyText"/>
        <w:spacing w:line="403" w:lineRule="auto" w:before="64"/>
        <w:ind w:left="137" w:right="105"/>
        <w:jc w:val="left"/>
      </w:pPr>
      <w:r>
        <w:rPr>
          <w:spacing w:val="-2"/>
        </w:rPr>
        <w:t>的有形资产。同时满足以下条件时予以确认：与该固定资产有关的经济利益很可能流入企业；该</w:t>
      </w:r>
      <w:r>
        <w:rPr>
          <w:spacing w:val="-25"/>
        </w:rPr>
        <w:t> </w:t>
      </w:r>
      <w:r>
        <w:rPr>
          <w:spacing w:val="-25"/>
        </w:rPr>
      </w:r>
      <w:r>
        <w:rPr/>
        <w:t>固定资产的成本能够可靠地计量。</w:t>
      </w:r>
    </w:p>
    <w:p>
      <w:pPr>
        <w:spacing w:after="0" w:line="403" w:lineRule="auto"/>
        <w:jc w:val="left"/>
        <w:sectPr>
          <w:pgSz w:w="11910" w:h="16840"/>
          <w:pgMar w:header="882" w:footer="1195" w:top="1120" w:bottom="1380" w:left="1140" w:right="15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40" w:lineRule="auto"/>
        <w:ind w:right="2465"/>
        <w:jc w:val="left"/>
        <w:rPr>
          <w:b w:val="0"/>
          <w:bCs w:val="0"/>
        </w:rPr>
      </w:pPr>
      <w:r>
        <w:rPr>
          <w:rFonts w:ascii="宋体" w:hAnsi="宋体" w:cs="宋体" w:eastAsia="宋体" w:hint="default"/>
        </w:rPr>
        <w:t>(2).</w:t>
      </w:r>
      <w:r>
        <w:rPr/>
        <w:t>折旧方法</w:t>
      </w:r>
      <w:r>
        <w:rPr>
          <w:b w:val="0"/>
          <w:bCs w:val="0"/>
        </w:rPr>
      </w:r>
    </w:p>
    <w:p>
      <w:pPr>
        <w:spacing w:line="240" w:lineRule="auto" w:before="8"/>
        <w:rPr>
          <w:rFonts w:ascii="宋体" w:hAnsi="宋体" w:cs="宋体" w:eastAsia="宋体" w:hint="default"/>
          <w:b/>
          <w:bCs/>
          <w:sz w:val="18"/>
          <w:szCs w:val="18"/>
        </w:rPr>
      </w:pPr>
    </w:p>
    <w:p>
      <w:pPr>
        <w:pStyle w:val="BodyText"/>
        <w:spacing w:line="400" w:lineRule="auto"/>
        <w:ind w:left="642" w:right="233"/>
        <w:jc w:val="both"/>
      </w:pPr>
      <w:r>
        <w:rPr>
          <w:spacing w:val="-2"/>
        </w:rPr>
        <w:t>本公司固定资产主要分为：房屋建筑物、施工机械、生产设备、仪器及试验设备、运输设备</w:t>
      </w:r>
      <w:r>
        <w:rPr>
          <w:spacing w:val="-28"/>
        </w:rPr>
        <w:t> </w:t>
      </w:r>
      <w:r>
        <w:rPr>
          <w:spacing w:val="-28"/>
        </w:rPr>
      </w:r>
      <w:r>
        <w:rPr>
          <w:spacing w:val="-2"/>
        </w:rPr>
        <w:t>和电子设备及其他；折旧方法采用年限平均法。根据各类固定资产的性质和使用情况，确定</w:t>
      </w:r>
      <w:r>
        <w:rPr>
          <w:spacing w:val="-29"/>
        </w:rPr>
        <w:t> </w:t>
      </w:r>
      <w:r>
        <w:rPr>
          <w:spacing w:val="-29"/>
        </w:rPr>
      </w:r>
      <w:r>
        <w:rPr>
          <w:spacing w:val="-2"/>
        </w:rPr>
        <w:t>固定资产的使用寿命和预计净残值。并在年度终了，对固定资产的使用寿命、预计净残值和</w:t>
      </w:r>
      <w:r>
        <w:rPr>
          <w:spacing w:val="-28"/>
        </w:rPr>
        <w:t> </w:t>
      </w:r>
      <w:r>
        <w:rPr>
          <w:spacing w:val="-28"/>
        </w:rPr>
      </w:r>
      <w:r>
        <w:rPr>
          <w:spacing w:val="-2"/>
        </w:rPr>
        <w:t>折旧方法进行复核，如与原先估计数存在差异的，进行相应的调整。除已提足折旧仍继续使</w:t>
      </w:r>
      <w:r>
        <w:rPr>
          <w:spacing w:val="-28"/>
        </w:rPr>
        <w:t> </w:t>
      </w:r>
      <w:r>
        <w:rPr>
          <w:spacing w:val="-28"/>
        </w:rPr>
      </w:r>
      <w:r>
        <w:rPr/>
        <w:t>用的固定资产和单独计价入账的土地之外，本公司对所有固定资产计提折旧。</w:t>
      </w:r>
    </w:p>
    <w:p>
      <w:pPr>
        <w:spacing w:line="240" w:lineRule="auto" w:before="9"/>
        <w:rPr>
          <w:rFonts w:ascii="宋体" w:hAnsi="宋体" w:cs="宋体" w:eastAsia="宋体" w:hint="default"/>
          <w:sz w:val="16"/>
          <w:szCs w:val="16"/>
        </w:rPr>
      </w:pPr>
    </w:p>
    <w:p>
      <w:pPr>
        <w:pStyle w:val="BodyText"/>
        <w:spacing w:line="240" w:lineRule="auto"/>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2.38~4.85</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7.92~9.7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7.92~9.7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仪器及试验设备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9.5~19.4</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9.5~19.4</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11.88~32.33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ind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963" w:val="left" w:leader="none"/>
        </w:tabs>
        <w:spacing w:line="232" w:lineRule="auto" w:before="66"/>
        <w:ind w:left="217" w:right="23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融资租入固定资产为实质上转移了与资产所有权有关的全部风险和报酬的租赁。融资租入固定资</w:t>
      </w:r>
      <w:r>
        <w:rPr>
          <w:spacing w:val="-55"/>
        </w:rPr>
        <w:t> </w:t>
      </w:r>
      <w:r>
        <w:rPr>
          <w:spacing w:val="-55"/>
        </w:rPr>
      </w:r>
      <w:r>
        <w:rPr>
          <w:spacing w:val="-1"/>
        </w:rPr>
        <w:t>产初始计价为租赁期开始日租赁资产公允价值与最低租赁付款额现值较低者作为入账价值；融资</w:t>
      </w:r>
      <w:r>
        <w:rPr>
          <w:spacing w:val="-55"/>
        </w:rPr>
        <w:t> </w:t>
      </w:r>
      <w:r>
        <w:rPr>
          <w:spacing w:val="-55"/>
        </w:rPr>
      </w:r>
      <w:r>
        <w:rPr/>
        <w:t>租入固定资产后续计价采用与自有固定资产相一致的折旧政策计提折旧及减值准备。</w:t>
      </w:r>
    </w:p>
    <w:p>
      <w:pPr>
        <w:spacing w:line="240" w:lineRule="auto" w:before="12"/>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14.</w:t>
      </w:r>
      <w:r>
        <w:rPr>
          <w:rFonts w:ascii="宋体" w:hAnsi="宋体" w:cs="宋体" w:eastAsia="宋体" w:hint="default"/>
          <w:spacing w:val="2"/>
        </w:rPr>
        <w:t> </w:t>
      </w:r>
      <w:r>
        <w:rPr/>
        <w:t>在建工程</w:t>
      </w:r>
      <w:r>
        <w:rPr>
          <w:b w:val="0"/>
          <w:bCs w:val="0"/>
        </w:rPr>
      </w:r>
    </w:p>
    <w:p>
      <w:pPr>
        <w:pStyle w:val="BodyText"/>
        <w:tabs>
          <w:tab w:pos="963" w:val="left" w:leader="none"/>
        </w:tabs>
        <w:spacing w:line="272" w:lineRule="exact" w:before="86"/>
        <w:ind w:left="637" w:right="2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本公司在建工程分为自营方式建造和出包方式建造两种。在建工程在工程完工达到预定可使</w:t>
      </w:r>
    </w:p>
    <w:p>
      <w:pPr>
        <w:pStyle w:val="BodyText"/>
        <w:spacing w:line="246" w:lineRule="exact"/>
        <w:ind w:left="217" w:right="0"/>
        <w:jc w:val="left"/>
      </w:pPr>
      <w:r>
        <w:rPr/>
        <w:t>用状态时，结转固定资产。预定可使用状态的判断标准，应符合下列情况之一：固定资产的实体</w:t>
      </w:r>
    </w:p>
    <w:p>
      <w:pPr>
        <w:pStyle w:val="BodyText"/>
        <w:spacing w:line="237" w:lineRule="auto" w:before="2"/>
        <w:ind w:left="217" w:right="229"/>
        <w:jc w:val="both"/>
      </w:pPr>
      <w:r>
        <w:rPr>
          <w:spacing w:val="-1"/>
        </w:rPr>
        <w:t>建造（包括安装）工作已经全部完成或实质上已经全部完成；已经试生产或试运行，并且其结果</w:t>
      </w:r>
      <w:r>
        <w:rPr>
          <w:spacing w:val="-55"/>
        </w:rPr>
        <w:t> </w:t>
      </w:r>
      <w:r>
        <w:rPr>
          <w:spacing w:val="-55"/>
        </w:rPr>
      </w:r>
      <w:r>
        <w:rPr>
          <w:spacing w:val="-1"/>
        </w:rPr>
        <w:t>表明资产能够正常运行或能够稳定地生产出合格产品，或者试运行结果表明其能够正常运转或营</w:t>
      </w:r>
      <w:r>
        <w:rPr>
          <w:spacing w:val="-55"/>
        </w:rPr>
        <w:t> </w:t>
      </w:r>
      <w:r>
        <w:rPr>
          <w:spacing w:val="-55"/>
        </w:rPr>
      </w:r>
      <w:r>
        <w:rPr>
          <w:spacing w:val="-1"/>
        </w:rPr>
        <w:t>业；该项建造的固定资产上的支出金额很少或者几乎不再发生；所购建的固定资产已经达到设计</w:t>
      </w:r>
      <w:r>
        <w:rPr>
          <w:spacing w:val="-55"/>
        </w:rPr>
        <w:t> </w:t>
      </w:r>
      <w:r>
        <w:rPr>
          <w:spacing w:val="-55"/>
        </w:rPr>
      </w:r>
      <w:r>
        <w:rPr/>
        <w:t>或合同要求，或与设计或合同要求基本相符。</w:t>
      </w:r>
    </w:p>
    <w:p>
      <w:pPr>
        <w:pStyle w:val="BodyText"/>
        <w:spacing w:line="237" w:lineRule="auto" w:before="1"/>
        <w:ind w:left="217" w:right="229" w:firstLine="420"/>
        <w:jc w:val="both"/>
      </w:pPr>
      <w:r>
        <w:rPr>
          <w:spacing w:val="-2"/>
        </w:rPr>
        <w:t>对达到预定可使用状态但尚未办理竣工决算的工程，自达到预定可使用状态之日起，按照工</w:t>
      </w:r>
      <w:r>
        <w:rPr>
          <w:w w:val="100"/>
        </w:rPr>
        <w:t> </w:t>
      </w:r>
      <w:r>
        <w:rPr>
          <w:spacing w:val="-1"/>
        </w:rPr>
        <w:t>程预算、造价或工程成本等资料，估价转入固定资产，并计提折旧。待办理竣工决算后再按照实</w:t>
      </w:r>
      <w:r>
        <w:rPr>
          <w:spacing w:val="-55"/>
        </w:rPr>
        <w:t> </w:t>
      </w:r>
      <w:r>
        <w:rPr>
          <w:spacing w:val="-55"/>
        </w:rPr>
      </w:r>
      <w:r>
        <w:rPr>
          <w:spacing w:val="-1"/>
        </w:rPr>
        <w:t>际成本调整原估价，不调整原已计提的折旧金额，调整价值部分在该项固定资产剩余年限计提折</w:t>
      </w:r>
      <w:r>
        <w:rPr>
          <w:spacing w:val="-55"/>
        </w:rPr>
        <w:t> </w:t>
      </w:r>
      <w:r>
        <w:rPr>
          <w:spacing w:val="-55"/>
        </w:rPr>
      </w:r>
      <w:r>
        <w:rPr/>
        <w:t>旧。</w:t>
      </w:r>
    </w:p>
    <w:p>
      <w:pPr>
        <w:pStyle w:val="BodyText"/>
        <w:spacing w:line="272" w:lineRule="exact" w:before="26"/>
        <w:ind w:left="217" w:right="229" w:firstLine="420"/>
        <w:jc w:val="both"/>
      </w:pPr>
      <w:r>
        <w:rPr>
          <w:spacing w:val="-3"/>
        </w:rPr>
        <w:t>期末，对在建工程进行全面检查，若在建工程长期停建并预计未来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年内不会重新开工，所</w:t>
      </w:r>
      <w:r>
        <w:rPr>
          <w:w w:val="100"/>
        </w:rPr>
        <w:t> </w:t>
      </w:r>
      <w:r>
        <w:rPr>
          <w:spacing w:val="-1"/>
        </w:rPr>
        <w:t>建项目在性能上、技术上已经落后且所带来的经济利益具有很大的不确定性，则对其可收回金额</w:t>
      </w:r>
    </w:p>
    <w:p>
      <w:pPr>
        <w:pStyle w:val="BodyText"/>
        <w:spacing w:line="272" w:lineRule="exact" w:before="1"/>
        <w:ind w:left="217" w:right="225"/>
        <w:jc w:val="left"/>
      </w:pPr>
      <w:r>
        <w:rPr>
          <w:spacing w:val="-1"/>
        </w:rPr>
        <w:t>（据其公允价值减去处置费用后的净额与资产预计未来现金流量现值孰高者确定）进行估计，如</w:t>
      </w:r>
      <w:r>
        <w:rPr>
          <w:spacing w:val="-55"/>
        </w:rPr>
        <w:t> </w:t>
      </w:r>
      <w:r>
        <w:rPr>
          <w:spacing w:val="-55"/>
        </w:rPr>
      </w:r>
      <w:r>
        <w:rPr>
          <w:spacing w:val="-6"/>
          <w:w w:val="100"/>
        </w:rPr>
        <w:t>可收回金额低于其账面价值，将资产账面价值减至可收回金额，减记的金额确认为资产减值损失，</w:t>
      </w:r>
    </w:p>
    <w:p>
      <w:pPr>
        <w:pStyle w:val="BodyText"/>
        <w:spacing w:line="249" w:lineRule="exact"/>
        <w:ind w:left="217" w:right="2465"/>
        <w:jc w:val="left"/>
      </w:pPr>
      <w:r>
        <w:rPr/>
        <w:t>计入当期损益，并在以后会计期间不予转回。</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15.</w:t>
      </w:r>
      <w:r>
        <w:rPr>
          <w:rFonts w:ascii="宋体" w:hAnsi="宋体" w:cs="宋体" w:eastAsia="宋体" w:hint="default"/>
          <w:spacing w:val="2"/>
        </w:rPr>
        <w:t> </w:t>
      </w:r>
      <w:r>
        <w:rPr/>
        <w:t>借款费用</w:t>
      </w:r>
      <w:r>
        <w:rPr>
          <w:b w:val="0"/>
          <w:bCs w:val="0"/>
        </w:rPr>
      </w:r>
    </w:p>
    <w:p>
      <w:pPr>
        <w:pStyle w:val="BodyText"/>
        <w:tabs>
          <w:tab w:pos="963" w:val="left" w:leader="none"/>
        </w:tabs>
        <w:spacing w:line="240" w:lineRule="auto" w:before="56"/>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44"/>
          <w:pgSz w:w="11910" w:h="16840"/>
          <w:pgMar w:footer="1195" w:header="882" w:top="1120" w:bottom="1380" w:left="1060" w:right="1560"/>
          <w:pgNumType w:start="93"/>
        </w:sectPr>
      </w:pPr>
    </w:p>
    <w:p>
      <w:pPr>
        <w:spacing w:line="240" w:lineRule="auto" w:before="9"/>
        <w:rPr>
          <w:rFonts w:ascii="宋体" w:hAnsi="宋体" w:cs="宋体" w:eastAsia="宋体" w:hint="default"/>
          <w:sz w:val="18"/>
          <w:szCs w:val="18"/>
        </w:rPr>
      </w:pPr>
    </w:p>
    <w:p>
      <w:pPr>
        <w:pStyle w:val="BodyText"/>
        <w:spacing w:line="448" w:lineRule="auto" w:before="36"/>
        <w:ind w:left="557" w:right="0"/>
        <w:jc w:val="left"/>
      </w:pPr>
      <w:r>
        <w:rPr>
          <w:rFonts w:ascii="Times New Roman" w:hAnsi="Times New Roman" w:cs="Times New Roman" w:eastAsia="Times New Roman" w:hint="default"/>
        </w:rPr>
        <w:t>1</w:t>
      </w:r>
      <w:r>
        <w:rPr/>
        <w:t>、借款费用资本化的确认原则</w:t>
      </w:r>
      <w:r>
        <w:rPr>
          <w:w w:val="100"/>
        </w:rPr>
        <w:t> </w:t>
      </w:r>
      <w:r>
        <w:rPr>
          <w:spacing w:val="-2"/>
        </w:rPr>
        <w:t>本公司发生的借款费用，可直接归属于符合资本化条件的资产的购建或者生产的，予以资本</w:t>
      </w:r>
    </w:p>
    <w:p>
      <w:pPr>
        <w:pStyle w:val="BodyText"/>
        <w:spacing w:line="475" w:lineRule="auto" w:before="87"/>
        <w:ind w:left="137" w:right="129"/>
        <w:jc w:val="both"/>
      </w:pPr>
      <w:r>
        <w:rPr>
          <w:spacing w:val="-1"/>
        </w:rPr>
        <w:t>化，计入相关资产成本；其他借款费用，在发生时根据其发生额确认为费用，计入当期损益。符</w:t>
      </w:r>
      <w:r>
        <w:rPr>
          <w:spacing w:val="-55"/>
        </w:rPr>
        <w:t> </w:t>
      </w:r>
      <w:r>
        <w:rPr>
          <w:spacing w:val="-55"/>
        </w:rPr>
      </w:r>
      <w:r>
        <w:rPr>
          <w:spacing w:val="-1"/>
        </w:rPr>
        <w:t>合资本化条件的资产，是指需要经过相当长时间的购建或者生产活动才能达到预定可使用或者可</w:t>
      </w:r>
      <w:r>
        <w:rPr>
          <w:spacing w:val="-55"/>
        </w:rPr>
        <w:t> </w:t>
      </w:r>
      <w:r>
        <w:rPr>
          <w:spacing w:val="-55"/>
        </w:rPr>
      </w:r>
      <w:r>
        <w:rPr/>
        <w:t>销售状态的固定资产、投资性房地产和存货等资产。</w:t>
      </w:r>
    </w:p>
    <w:p>
      <w:pPr>
        <w:pStyle w:val="BodyText"/>
        <w:spacing w:line="451" w:lineRule="auto" w:before="64"/>
        <w:ind w:left="557" w:right="0"/>
        <w:jc w:val="left"/>
      </w:pPr>
      <w:r>
        <w:rPr>
          <w:rFonts w:ascii="Times New Roman" w:hAnsi="Times New Roman" w:cs="Times New Roman" w:eastAsia="Times New Roman" w:hint="default"/>
        </w:rPr>
        <w:t>2</w:t>
      </w:r>
      <w:r>
        <w:rPr/>
        <w:t>、资本化金额计算方法</w:t>
      </w:r>
      <w:r>
        <w:rPr>
          <w:w w:val="100"/>
        </w:rPr>
        <w:t> </w:t>
      </w:r>
      <w:r>
        <w:rPr>
          <w:spacing w:val="-2"/>
        </w:rPr>
        <w:t>资本化期间，是指从借款费用开始资本化时点到停止资本化时点的期间。借款费用暂停资本</w:t>
      </w:r>
    </w:p>
    <w:p>
      <w:pPr>
        <w:pStyle w:val="BodyText"/>
        <w:spacing w:line="448" w:lineRule="auto" w:before="85"/>
        <w:ind w:left="137" w:right="128"/>
        <w:jc w:val="both"/>
      </w:pPr>
      <w:r>
        <w:rPr/>
        <w:t>化的期间不包括在内。在购建或生产过程中发生非正常中断、且中断时间连续超过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个月的，应</w:t>
      </w:r>
      <w:r>
        <w:rPr>
          <w:w w:val="100"/>
        </w:rPr>
        <w:t> </w:t>
      </w:r>
      <w:r>
        <w:rPr/>
        <w:t>当暂停借款费用的资本化。</w:t>
      </w:r>
    </w:p>
    <w:p>
      <w:pPr>
        <w:pStyle w:val="BodyText"/>
        <w:spacing w:line="475" w:lineRule="auto" w:before="87"/>
        <w:ind w:left="137" w:right="129" w:firstLine="420"/>
        <w:jc w:val="both"/>
      </w:pPr>
      <w:r>
        <w:rPr>
          <w:spacing w:val="-2"/>
        </w:rPr>
        <w:t>借入专门借款，按照专门借款当期实际发生的利息费用，减去将尚未动用的借款资金存入银</w:t>
      </w:r>
      <w:r>
        <w:rPr>
          <w:w w:val="100"/>
        </w:rPr>
        <w:t> </w:t>
      </w:r>
      <w:r>
        <w:rPr>
          <w:spacing w:val="-1"/>
        </w:rPr>
        <w:t>行取得的利息收入或进行暂时性投资取得的投资收益后的金额确定；占用一般借款按照累计资产</w:t>
      </w:r>
      <w:r>
        <w:rPr>
          <w:spacing w:val="-55"/>
        </w:rPr>
        <w:t> </w:t>
      </w:r>
      <w:r>
        <w:rPr>
          <w:spacing w:val="-55"/>
        </w:rPr>
      </w:r>
      <w:r>
        <w:rPr>
          <w:spacing w:val="-1"/>
        </w:rPr>
        <w:t>支出超过专门借款部分的资产支出加权平均数乘以所占用一般借款的资本化率计算确定，资本化</w:t>
      </w:r>
      <w:r>
        <w:rPr>
          <w:spacing w:val="-55"/>
        </w:rPr>
        <w:t> </w:t>
      </w:r>
      <w:r>
        <w:rPr>
          <w:spacing w:val="-55"/>
        </w:rPr>
      </w:r>
      <w:r>
        <w:rPr>
          <w:spacing w:val="-1"/>
        </w:rPr>
        <w:t>率为一般借款的加权平均利率；借款存在折价或溢价的，按照实际利率法确定每一会计期间应摊</w:t>
      </w:r>
      <w:r>
        <w:rPr>
          <w:spacing w:val="-55"/>
        </w:rPr>
        <w:t> </w:t>
      </w:r>
      <w:r>
        <w:rPr>
          <w:spacing w:val="-55"/>
        </w:rPr>
      </w:r>
      <w:r>
        <w:rPr/>
        <w:t>销的折价或溢价金额，调整每期利息金额。</w:t>
      </w:r>
    </w:p>
    <w:p>
      <w:pPr>
        <w:pStyle w:val="BodyText"/>
        <w:spacing w:line="475" w:lineRule="auto" w:before="64"/>
        <w:ind w:left="137" w:right="131" w:firstLine="420"/>
        <w:jc w:val="both"/>
      </w:pPr>
      <w:r>
        <w:rPr>
          <w:spacing w:val="-2"/>
        </w:rPr>
        <w:t>实际利率法是根据借款实际利率计算其摊余折价或溢价或利息费用的方法。其中实际利率是</w:t>
      </w:r>
      <w:r>
        <w:rPr>
          <w:w w:val="100"/>
        </w:rPr>
        <w:t> </w:t>
      </w:r>
      <w:r>
        <w:rPr/>
        <w:t>借款在预期存续期间的未来现金流量，折现为该借款当前账面价值所使用的利率。</w:t>
      </w:r>
    </w:p>
    <w:p>
      <w:pPr>
        <w:spacing w:line="240" w:lineRule="auto" w:before="0"/>
        <w:rPr>
          <w:rFonts w:ascii="宋体" w:hAnsi="宋体" w:cs="宋体" w:eastAsia="宋体" w:hint="default"/>
          <w:sz w:val="28"/>
          <w:szCs w:val="28"/>
        </w:rPr>
      </w:pPr>
    </w:p>
    <w:p>
      <w:pPr>
        <w:pStyle w:val="Heading3"/>
        <w:spacing w:line="240" w:lineRule="auto" w:before="0"/>
        <w:ind w:left="137" w:right="0"/>
        <w:jc w:val="both"/>
        <w:rPr>
          <w:b w:val="0"/>
          <w:bCs w:val="0"/>
        </w:rPr>
      </w:pPr>
      <w:r>
        <w:rPr>
          <w:rFonts w:ascii="宋体" w:hAnsi="宋体" w:cs="宋体" w:eastAsia="宋体" w:hint="default"/>
        </w:rPr>
        <w:t>16.</w:t>
      </w:r>
      <w:r>
        <w:rPr>
          <w:rFonts w:ascii="宋体" w:hAnsi="宋体" w:cs="宋体" w:eastAsia="宋体" w:hint="default"/>
          <w:spacing w:val="1"/>
        </w:rPr>
        <w:t> </w:t>
      </w:r>
      <w:r>
        <w:rPr/>
        <w:t>无形资产</w:t>
      </w:r>
      <w:r>
        <w:rPr>
          <w:b w:val="0"/>
          <w:bCs w:val="0"/>
        </w:rPr>
      </w:r>
    </w:p>
    <w:p>
      <w:pPr>
        <w:pStyle w:val="Heading3"/>
        <w:spacing w:line="240" w:lineRule="auto" w:before="56"/>
        <w:ind w:left="137"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7" w:right="129" w:firstLine="420"/>
        <w:jc w:val="both"/>
      </w:pPr>
      <w:r>
        <w:rPr>
          <w:spacing w:val="-2"/>
        </w:rPr>
        <w:t>本公司无形资产按照成本进行初始计量。购入的无形资产，按实际支付的价款和相关支出作</w:t>
      </w:r>
      <w:r>
        <w:rPr>
          <w:w w:val="100"/>
        </w:rPr>
        <w:t> </w:t>
      </w:r>
      <w:r>
        <w:rPr>
          <w:spacing w:val="-1"/>
        </w:rPr>
        <w:t>为实际成本。投资者投入的无形资产，按投资合同或协议约定的价值确定实际成本，但合同或协</w:t>
      </w:r>
      <w:r>
        <w:rPr>
          <w:spacing w:val="-55"/>
        </w:rPr>
        <w:t> </w:t>
      </w:r>
      <w:r>
        <w:rPr>
          <w:spacing w:val="-55"/>
        </w:rPr>
      </w:r>
      <w:r>
        <w:rPr>
          <w:spacing w:val="-1"/>
        </w:rPr>
        <w:t>议约定价值不公允的，按公允价值确定实际成本。自行开发的无形资产，其成本为达到预定用途</w:t>
      </w:r>
      <w:r>
        <w:rPr>
          <w:spacing w:val="-55"/>
        </w:rPr>
        <w:t> </w:t>
      </w:r>
      <w:r>
        <w:rPr>
          <w:spacing w:val="-55"/>
        </w:rPr>
      </w:r>
      <w:r>
        <w:rPr/>
        <w:t>前所发生的支出总额。</w:t>
      </w:r>
    </w:p>
    <w:p>
      <w:pPr>
        <w:pStyle w:val="BodyText"/>
        <w:spacing w:line="357" w:lineRule="auto" w:before="30"/>
        <w:ind w:left="137" w:right="128" w:firstLine="420"/>
        <w:jc w:val="both"/>
      </w:pPr>
      <w:r>
        <w:rPr>
          <w:spacing w:val="-2"/>
        </w:rPr>
        <w:t>本公司无形资产后续计量方法分别为：使用寿命有限无形资产采用直线法摊销，并在年度终</w:t>
      </w:r>
      <w:r>
        <w:rPr>
          <w:w w:val="100"/>
        </w:rPr>
        <w:t> </w:t>
      </w:r>
      <w:r>
        <w:rPr>
          <w:spacing w:val="-6"/>
        </w:rPr>
        <w:t>了，对无形资产的使用寿命和摊销方法进行复核，如与原先估计数存在差异的，进行相应的调整；</w:t>
      </w:r>
      <w:r>
        <w:rPr>
          <w:spacing w:val="-54"/>
        </w:rPr>
        <w:t> </w:t>
      </w:r>
      <w:r>
        <w:rPr>
          <w:spacing w:val="-54"/>
        </w:rPr>
      </w:r>
      <w:r>
        <w:rPr>
          <w:spacing w:val="-1"/>
        </w:rPr>
        <w:t>使用寿命不确定的无形资产不摊销，但在年度终了，对使用寿命进行复核，当有确凿证据表明其</w:t>
      </w:r>
      <w:r>
        <w:rPr>
          <w:spacing w:val="-55"/>
        </w:rPr>
        <w:t> </w:t>
      </w:r>
      <w:r>
        <w:rPr>
          <w:spacing w:val="-55"/>
        </w:rPr>
      </w:r>
      <w:r>
        <w:rPr/>
        <w:t>使用寿命是有限的，则估计其使用寿命，按直线法进行摊销。</w:t>
      </w:r>
    </w:p>
    <w:p>
      <w:pPr>
        <w:pStyle w:val="BodyText"/>
        <w:spacing w:line="240" w:lineRule="auto" w:before="30"/>
        <w:ind w:left="557" w:right="0"/>
        <w:jc w:val="left"/>
      </w:pPr>
      <w:r>
        <w:rPr/>
        <w:t>本公司将无法预见该资产为公司带来经济利益的期限，或使用期限不确定等无形资产确定为</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208"/>
        <w:jc w:val="both"/>
      </w:pPr>
      <w:r>
        <w:rPr>
          <w:spacing w:val="-6"/>
          <w:w w:val="100"/>
        </w:rPr>
        <w:t>使用寿命不确定的无形资产。使用寿命不确定的判断依据为：来源于合同性权利或其他法定权利，</w:t>
      </w:r>
      <w:r>
        <w:rPr>
          <w:spacing w:val="-104"/>
          <w:w w:val="100"/>
        </w:rPr>
        <w:t> </w:t>
      </w:r>
      <w:r>
        <w:rPr>
          <w:spacing w:val="-104"/>
          <w:w w:val="100"/>
        </w:rPr>
      </w:r>
      <w:r>
        <w:rPr>
          <w:spacing w:val="-1"/>
        </w:rPr>
        <w:t>但合同规定或法律规定无明确使用年限；综合同行业情况或相关专家论证等，仍无法判断无形资</w:t>
      </w:r>
      <w:r>
        <w:rPr>
          <w:spacing w:val="-55"/>
        </w:rPr>
        <w:t> </w:t>
      </w:r>
      <w:r>
        <w:rPr>
          <w:spacing w:val="-55"/>
        </w:rPr>
      </w:r>
      <w:r>
        <w:rPr/>
        <w:t>产为公司带来经济利益的期限。</w:t>
      </w:r>
    </w:p>
    <w:p>
      <w:pPr>
        <w:pStyle w:val="BodyText"/>
        <w:spacing w:line="355" w:lineRule="auto" w:before="34"/>
        <w:ind w:left="137" w:right="211" w:firstLine="420"/>
        <w:jc w:val="both"/>
      </w:pPr>
      <w:r>
        <w:rPr>
          <w:spacing w:val="-2"/>
        </w:rPr>
        <w:t>每年年末，对使用寿命不确定无形资产使用寿命进行复核，主要采取自下而上的方式，由无</w:t>
      </w:r>
      <w:r>
        <w:rPr>
          <w:w w:val="100"/>
        </w:rPr>
        <w:t> </w:t>
      </w:r>
      <w:r>
        <w:rPr/>
        <w:t>形资产使用相关部门进行基础复核，评价使用寿命不确定判断依据是否存在变化等。</w:t>
      </w:r>
    </w:p>
    <w:p>
      <w:pPr>
        <w:spacing w:line="240" w:lineRule="auto" w:before="8"/>
        <w:rPr>
          <w:rFonts w:ascii="宋体" w:hAnsi="宋体" w:cs="宋体" w:eastAsia="宋体" w:hint="default"/>
          <w:sz w:val="25"/>
          <w:szCs w:val="25"/>
        </w:rPr>
      </w:pPr>
    </w:p>
    <w:p>
      <w:pPr>
        <w:pStyle w:val="Heading3"/>
        <w:spacing w:line="240" w:lineRule="auto" w:before="0"/>
        <w:ind w:left="137"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7" w:right="103" w:firstLine="420"/>
        <w:jc w:val="both"/>
      </w:pPr>
      <w:r>
        <w:rPr/>
        <w:t>内部研究开发项目研究阶段的支出，于发生时计入当期损益；开发阶段的支出，同时满足下</w:t>
      </w:r>
      <w:r>
        <w:rPr>
          <w:w w:val="100"/>
        </w:rPr>
        <w:t> </w:t>
      </w:r>
      <w:r>
        <w:rPr>
          <w:spacing w:val="-1"/>
        </w:rPr>
        <w:t>列条件的，确认为无形资产：（</w:t>
      </w:r>
      <w:r>
        <w:rPr>
          <w:rFonts w:ascii="宋体" w:hAnsi="宋体" w:cs="宋体" w:eastAsia="宋体" w:hint="default"/>
          <w:spacing w:val="-1"/>
        </w:rPr>
        <w:t>1</w:t>
      </w:r>
      <w:r>
        <w:rPr>
          <w:spacing w:val="-1"/>
        </w:rPr>
        <w:t>）完成该无形资产以使其能够使用或出售在技术上具有可行性；</w:t>
      </w:r>
    </w:p>
    <w:p>
      <w:pPr>
        <w:pStyle w:val="BodyText"/>
        <w:spacing w:line="357" w:lineRule="auto" w:before="30"/>
        <w:ind w:left="137" w:right="209"/>
        <w:jc w:val="both"/>
      </w:pPr>
      <w:r>
        <w:rPr>
          <w:spacing w:val="-1"/>
        </w:rPr>
        <w:t>（</w:t>
      </w:r>
      <w:r>
        <w:rPr>
          <w:rFonts w:ascii="宋体" w:hAnsi="宋体" w:cs="宋体" w:eastAsia="宋体" w:hint="default"/>
          <w:spacing w:val="-1"/>
        </w:rPr>
        <w:t>2</w:t>
      </w:r>
      <w:r>
        <w:rPr>
          <w:spacing w:val="-1"/>
        </w:rPr>
        <w:t>）具有完成该无形资产并使用或出售的意图；（</w:t>
      </w:r>
      <w:r>
        <w:rPr>
          <w:rFonts w:ascii="宋体" w:hAnsi="宋体" w:cs="宋体" w:eastAsia="宋体" w:hint="default"/>
          <w:spacing w:val="-1"/>
        </w:rPr>
        <w:t>3</w:t>
      </w:r>
      <w:r>
        <w:rPr>
          <w:spacing w:val="-1"/>
        </w:rPr>
        <w:t>）无形资产产生经济利益的方式，包括能够</w:t>
      </w:r>
      <w:r>
        <w:rPr>
          <w:spacing w:val="-54"/>
        </w:rPr>
        <w:t> </w:t>
      </w:r>
      <w:r>
        <w:rPr>
          <w:spacing w:val="-54"/>
        </w:rPr>
      </w:r>
      <w:r>
        <w:rPr>
          <w:spacing w:val="-1"/>
        </w:rPr>
        <w:t>证明运用该无形资产生产的产品存在市场或无形资产自身存在市场，无形资产将在内部使用的，</w:t>
      </w:r>
      <w:r>
        <w:rPr>
          <w:spacing w:val="-55"/>
        </w:rPr>
        <w:t> </w:t>
      </w:r>
      <w:r>
        <w:rPr>
          <w:spacing w:val="-55"/>
        </w:rPr>
      </w:r>
      <w:r>
        <w:rPr>
          <w:spacing w:val="-4"/>
        </w:rPr>
        <w:t>能证明其有用性；（</w:t>
      </w:r>
      <w:r>
        <w:rPr>
          <w:rFonts w:ascii="宋体" w:hAnsi="宋体" w:cs="宋体" w:eastAsia="宋体" w:hint="default"/>
          <w:spacing w:val="-4"/>
        </w:rPr>
        <w:t>4</w:t>
      </w:r>
      <w:r>
        <w:rPr>
          <w:spacing w:val="-4"/>
        </w:rPr>
        <w:t>）有足够的技术、财务资源和其他资源支持，以完成该无形资产的开发，并</w:t>
      </w:r>
      <w:r>
        <w:rPr>
          <w:spacing w:val="-38"/>
        </w:rPr>
        <w:t> </w:t>
      </w:r>
      <w:r>
        <w:rPr>
          <w:spacing w:val="-38"/>
        </w:rPr>
      </w:r>
      <w:r>
        <w:rPr/>
        <w:t>有能力使用或出售该无形资产；（</w:t>
      </w:r>
      <w:r>
        <w:rPr>
          <w:rFonts w:ascii="宋体" w:hAnsi="宋体" w:cs="宋体" w:eastAsia="宋体" w:hint="default"/>
        </w:rPr>
        <w:t>5</w:t>
      </w:r>
      <w:r>
        <w:rPr/>
        <w:t>）归属于该无形资产开发阶段的支出能够可靠地计量。</w:t>
      </w:r>
    </w:p>
    <w:p>
      <w:pPr>
        <w:pStyle w:val="BodyText"/>
        <w:spacing w:line="357" w:lineRule="auto" w:before="30"/>
        <w:ind w:left="137" w:right="209" w:firstLine="420"/>
        <w:jc w:val="right"/>
      </w:pPr>
      <w:r>
        <w:rPr>
          <w:spacing w:val="-2"/>
        </w:rPr>
        <w:t>划分内部研究开发项目的研究阶段和开发阶段的具体标准：为获取新的技术和知识等进行的</w:t>
      </w:r>
      <w:r>
        <w:rPr>
          <w:w w:val="100"/>
        </w:rPr>
        <w:t> </w:t>
      </w:r>
      <w:r>
        <w:rPr>
          <w:spacing w:val="-1"/>
        </w:rPr>
        <w:t>有计划的调查阶段，应确定为研究阶段，该阶段具有计划性和探索性等特点；在进行商业性生产</w:t>
      </w:r>
      <w:r>
        <w:rPr>
          <w:spacing w:val="-72"/>
        </w:rPr>
        <w:t> </w:t>
      </w:r>
      <w:r>
        <w:rPr>
          <w:spacing w:val="-72"/>
        </w:rPr>
      </w:r>
      <w:r>
        <w:rPr>
          <w:spacing w:val="-1"/>
        </w:rPr>
        <w:t>或使用前，将研究成果或其他知识应用于某项计划或设计，以生产出新的或具有实质性改进的材</w:t>
      </w:r>
      <w:r>
        <w:rPr>
          <w:spacing w:val="-70"/>
        </w:rPr>
        <w:t> </w:t>
      </w:r>
      <w:r>
        <w:rPr>
          <w:spacing w:val="-70"/>
        </w:rPr>
      </w:r>
      <w:r>
        <w:rPr>
          <w:spacing w:val="-7"/>
        </w:rPr>
        <w:t>料、装置、产品等阶段，应确定为开发阶段，该阶段具有针对性和形成成果的可能性较大等特点。</w:t>
      </w:r>
      <w:r>
        <w:rPr>
          <w:spacing w:val="-35"/>
        </w:rPr>
        <w:t> </w:t>
      </w:r>
      <w:r>
        <w:rPr>
          <w:spacing w:val="-35"/>
        </w:rPr>
      </w:r>
      <w:r>
        <w:rPr>
          <w:spacing w:val="-2"/>
        </w:rPr>
        <w:t>内部研究开发项目研究阶段的支出，于发生时计入当期损益；开发阶段的支出，满足确认为</w:t>
      </w:r>
    </w:p>
    <w:p>
      <w:pPr>
        <w:pStyle w:val="BodyText"/>
        <w:spacing w:line="240" w:lineRule="auto" w:before="30"/>
        <w:ind w:left="137" w:right="0"/>
        <w:jc w:val="both"/>
      </w:pPr>
      <w:r>
        <w:rPr/>
        <w:t>无形资产条件的转入无形资产核算。</w:t>
      </w:r>
    </w:p>
    <w:p>
      <w:pPr>
        <w:spacing w:line="240" w:lineRule="auto" w:before="0"/>
        <w:rPr>
          <w:rFonts w:ascii="宋体" w:hAnsi="宋体" w:cs="宋体" w:eastAsia="宋体" w:hint="default"/>
          <w:sz w:val="20"/>
          <w:szCs w:val="20"/>
        </w:rPr>
      </w:pPr>
    </w:p>
    <w:p>
      <w:pPr>
        <w:pStyle w:val="Heading3"/>
        <w:spacing w:line="240" w:lineRule="auto" w:before="174"/>
        <w:ind w:left="137" w:right="0"/>
        <w:jc w:val="both"/>
        <w:rPr>
          <w:b w:val="0"/>
          <w:bCs w:val="0"/>
        </w:rPr>
      </w:pPr>
      <w:r>
        <w:rPr>
          <w:rFonts w:ascii="宋体" w:hAnsi="宋体" w:cs="宋体" w:eastAsia="宋体" w:hint="default"/>
        </w:rPr>
        <w:t>17.</w:t>
      </w:r>
      <w:r>
        <w:rPr>
          <w:rFonts w:ascii="宋体" w:hAnsi="宋体" w:cs="宋体" w:eastAsia="宋体" w:hint="default"/>
          <w:spacing w:val="3"/>
        </w:rPr>
        <w:t> </w:t>
      </w:r>
      <w:r>
        <w:rPr/>
        <w:t>长期资产减值</w:t>
      </w:r>
      <w:r>
        <w:rPr>
          <w:b w:val="0"/>
          <w:bCs w:val="0"/>
        </w:rPr>
      </w:r>
    </w:p>
    <w:p>
      <w:pPr>
        <w:pStyle w:val="BodyText"/>
        <w:tabs>
          <w:tab w:pos="979" w:val="left" w:leader="none"/>
        </w:tabs>
        <w:spacing w:line="240" w:lineRule="auto" w:before="56"/>
        <w:ind w:left="557" w:right="213" w:hanging="420"/>
        <w:jc w:val="left"/>
      </w:pPr>
      <w:r>
        <w:rPr/>
        <w:t>√适用</w:t>
        <w:tab/>
        <w:t>□不适用</w:t>
      </w:r>
      <w:r>
        <w:rPr>
          <w:w w:val="100"/>
        </w:rPr>
        <w:t> </w:t>
      </w:r>
      <w:r>
        <w:rPr>
          <w:spacing w:val="-2"/>
        </w:rPr>
        <w:t>长期股权投资、固定资产、在建工程、无形资产、商誉等长期资产于资产负债表日存在减值</w:t>
      </w:r>
    </w:p>
    <w:p>
      <w:pPr>
        <w:pStyle w:val="BodyText"/>
        <w:spacing w:line="355" w:lineRule="auto" w:before="133"/>
        <w:ind w:left="137" w:right="209"/>
        <w:jc w:val="both"/>
      </w:pPr>
      <w:r>
        <w:rPr>
          <w:spacing w:val="-1"/>
        </w:rPr>
        <w:t>迹象的，进行减值测试。减值测试结果表明资产的可收回金额低于其账面价值的，按其差额计提</w:t>
      </w:r>
      <w:r>
        <w:rPr>
          <w:spacing w:val="-55"/>
        </w:rPr>
        <w:t> </w:t>
      </w:r>
      <w:r>
        <w:rPr>
          <w:spacing w:val="-55"/>
        </w:rPr>
      </w:r>
      <w:r>
        <w:rPr/>
        <w:t>减值准备并计入减值损失。</w:t>
      </w:r>
    </w:p>
    <w:p>
      <w:pPr>
        <w:pStyle w:val="BodyText"/>
        <w:spacing w:line="357" w:lineRule="auto" w:before="33"/>
        <w:ind w:left="137" w:right="209" w:firstLine="420"/>
        <w:jc w:val="both"/>
      </w:pPr>
      <w:r>
        <w:rPr>
          <w:spacing w:val="-2"/>
        </w:rPr>
        <w:t>可收回金额为资产的公允价值减去处置费用后的净额与资产预计未来现金流量的现值两者之</w:t>
      </w:r>
      <w:r>
        <w:rPr>
          <w:w w:val="100"/>
        </w:rPr>
        <w:t> </w:t>
      </w:r>
      <w:r>
        <w:rPr>
          <w:spacing w:val="-1"/>
        </w:rPr>
        <w:t>间的较高者。资产减值准备按单项资产为基础计算并确认，如果难以对单项资产的可收回金额进</w:t>
      </w:r>
      <w:r>
        <w:rPr>
          <w:spacing w:val="-55"/>
        </w:rPr>
        <w:t> </w:t>
      </w:r>
      <w:r>
        <w:rPr>
          <w:spacing w:val="-55"/>
        </w:rPr>
      </w:r>
      <w:r>
        <w:rPr>
          <w:spacing w:val="-1"/>
        </w:rPr>
        <w:t>行估计的，以该资产所属的资产组确定资产组的可收回金额。资产组是能够独立产生现金流入的</w:t>
      </w:r>
      <w:r>
        <w:rPr>
          <w:spacing w:val="-55"/>
        </w:rPr>
        <w:t> </w:t>
      </w:r>
      <w:r>
        <w:rPr>
          <w:spacing w:val="-55"/>
        </w:rPr>
      </w:r>
      <w:r>
        <w:rPr/>
        <w:t>最小资产组合。</w:t>
      </w:r>
    </w:p>
    <w:p>
      <w:pPr>
        <w:pStyle w:val="BodyText"/>
        <w:spacing w:line="357" w:lineRule="auto" w:before="30"/>
        <w:ind w:left="137" w:right="105" w:firstLine="420"/>
        <w:jc w:val="both"/>
      </w:pPr>
      <w:r>
        <w:rPr/>
        <w:t>在财务报表中单独列示的商誉，无论是否存在减值迹象，至少每年进行减值测试。减值测试</w:t>
      </w:r>
      <w:r>
        <w:rPr>
          <w:w w:val="100"/>
        </w:rPr>
        <w:t> </w:t>
      </w:r>
      <w:r>
        <w:rPr/>
        <w:t>时，商誉的账面价值分摊至预期从企业合并的协同效应中受益的资产组或资产组组合。测试结果</w:t>
      </w:r>
      <w:r>
        <w:rPr>
          <w:spacing w:val="-97"/>
        </w:rPr>
        <w:t> </w:t>
      </w:r>
      <w:r>
        <w:rPr>
          <w:spacing w:val="-97"/>
        </w:rPr>
      </w:r>
      <w:r>
        <w:rPr/>
        <w:t>表明包含分摊的商誉的资产组或资产组组合的可收回金额低于其账面价值的，确认相应的减值损</w:t>
      </w:r>
      <w:r>
        <w:rPr>
          <w:spacing w:val="-97"/>
        </w:rPr>
        <w:t> </w:t>
      </w:r>
      <w:r>
        <w:rPr>
          <w:spacing w:val="-97"/>
        </w:rPr>
      </w:r>
      <w:r>
        <w:rPr/>
        <w:t>失。减值损失金额先抵减分摊至该资产组或资产组组合的商誉的账面价值，再根据资产组或资产</w:t>
      </w:r>
      <w:r>
        <w:rPr>
          <w:spacing w:val="-97"/>
        </w:rPr>
        <w:t> </w:t>
      </w:r>
      <w:r>
        <w:rPr>
          <w:spacing w:val="-97"/>
        </w:rPr>
      </w:r>
      <w:r>
        <w:rPr>
          <w:spacing w:val="-4"/>
          <w:w w:val="100"/>
        </w:rPr>
        <w:t>组组合中除商誉以外的其他各项资产的账面价值所占比重，按比例抵减其他各项资产的账面价值。</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137" w:right="105"/>
        <w:jc w:val="left"/>
      </w:pPr>
      <w:r>
        <w:rPr/>
        <w:t>上述资产减值损失一经确认，以后期间不予转回价值得以恢复的部分。</w:t>
      </w:r>
    </w:p>
    <w:p>
      <w:pPr>
        <w:spacing w:line="240" w:lineRule="auto" w:before="11"/>
        <w:rPr>
          <w:rFonts w:ascii="宋体" w:hAnsi="宋体" w:cs="宋体" w:eastAsia="宋体" w:hint="default"/>
          <w:sz w:val="22"/>
          <w:szCs w:val="22"/>
        </w:rPr>
      </w:pPr>
    </w:p>
    <w:p>
      <w:pPr>
        <w:pStyle w:val="Heading3"/>
        <w:spacing w:line="240" w:lineRule="auto" w:before="0"/>
        <w:ind w:left="137" w:right="105"/>
        <w:jc w:val="left"/>
        <w:rPr>
          <w:b w:val="0"/>
          <w:bCs w:val="0"/>
        </w:rPr>
      </w:pPr>
      <w:r>
        <w:rPr>
          <w:rFonts w:ascii="宋体" w:hAnsi="宋体" w:cs="宋体" w:eastAsia="宋体" w:hint="default"/>
        </w:rPr>
        <w:t>18.</w:t>
      </w:r>
      <w:r>
        <w:rPr>
          <w:rFonts w:ascii="宋体" w:hAnsi="宋体" w:cs="宋体" w:eastAsia="宋体" w:hint="default"/>
          <w:spacing w:val="3"/>
        </w:rPr>
        <w:t> </w:t>
      </w:r>
      <w:r>
        <w:rPr/>
        <w:t>长期待摊费用</w:t>
      </w:r>
      <w:r>
        <w:rPr>
          <w:b w:val="0"/>
          <w:bCs w:val="0"/>
        </w:rPr>
      </w:r>
    </w:p>
    <w:p>
      <w:pPr>
        <w:pStyle w:val="BodyText"/>
        <w:tabs>
          <w:tab w:pos="883" w:val="left" w:leader="none"/>
        </w:tabs>
        <w:spacing w:line="272" w:lineRule="exact" w:before="86"/>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本公司长期待摊费用是指已经支出，但受益期限在一年以上（不含一年）的各项费用。长期</w:t>
      </w:r>
    </w:p>
    <w:p>
      <w:pPr>
        <w:pStyle w:val="BodyText"/>
        <w:spacing w:line="355" w:lineRule="auto" w:before="108"/>
        <w:ind w:left="137" w:right="105"/>
        <w:jc w:val="left"/>
      </w:pPr>
      <w:r>
        <w:rPr>
          <w:spacing w:val="-1"/>
        </w:rPr>
        <w:t>待摊费用按费用项目的受益期限分期摊销。若长期待摊的费用项目不能使以后会计期间受益，则</w:t>
      </w:r>
      <w:r>
        <w:rPr>
          <w:spacing w:val="-55"/>
        </w:rPr>
        <w:t> </w:t>
      </w:r>
      <w:r>
        <w:rPr>
          <w:spacing w:val="-55"/>
        </w:rPr>
      </w:r>
      <w:r>
        <w:rPr/>
        <w:t>将尚未摊销的该项目的摊余价值全部转入当期损益。</w:t>
      </w:r>
    </w:p>
    <w:p>
      <w:pPr>
        <w:spacing w:line="240" w:lineRule="auto" w:before="8"/>
        <w:rPr>
          <w:rFonts w:ascii="宋体" w:hAnsi="宋体" w:cs="宋体" w:eastAsia="宋体" w:hint="default"/>
          <w:sz w:val="25"/>
          <w:szCs w:val="25"/>
        </w:rPr>
      </w:pPr>
    </w:p>
    <w:p>
      <w:pPr>
        <w:pStyle w:val="Heading3"/>
        <w:spacing w:line="240" w:lineRule="auto" w:before="0"/>
        <w:ind w:left="137" w:right="105"/>
        <w:jc w:val="left"/>
        <w:rPr>
          <w:b w:val="0"/>
          <w:bCs w:val="0"/>
        </w:rPr>
      </w:pPr>
      <w:r>
        <w:rPr>
          <w:rFonts w:ascii="宋体" w:hAnsi="宋体" w:cs="宋体" w:eastAsia="宋体" w:hint="default"/>
        </w:rPr>
        <w:t>19.</w:t>
      </w:r>
      <w:r>
        <w:rPr>
          <w:rFonts w:ascii="宋体" w:hAnsi="宋体" w:cs="宋体" w:eastAsia="宋体" w:hint="default"/>
          <w:spacing w:val="2"/>
        </w:rPr>
        <w:t> </w:t>
      </w:r>
      <w:r>
        <w:rPr/>
        <w:t>职工薪酬</w:t>
      </w:r>
      <w:r>
        <w:rPr>
          <w:b w:val="0"/>
          <w:bCs w:val="0"/>
        </w:rPr>
      </w:r>
    </w:p>
    <w:p>
      <w:pPr>
        <w:pStyle w:val="BodyText"/>
        <w:spacing w:line="357" w:lineRule="auto" w:before="58"/>
        <w:ind w:left="137" w:right="97" w:firstLine="420"/>
        <w:jc w:val="left"/>
      </w:pPr>
      <w:r>
        <w:rPr>
          <w:spacing w:val="-4"/>
          <w:w w:val="100"/>
        </w:rPr>
        <w:t>职工薪酬，是指企业为获得职工提供的服务或解除劳动关系而给予的各种形式的报酬或补偿。</w:t>
      </w:r>
      <w:r>
        <w:rPr>
          <w:w w:val="100"/>
        </w:rPr>
        <w:t> </w:t>
      </w:r>
      <w:r>
        <w:rPr/>
        <w:t>职工薪酬主要包括短期薪酬、离职后福利、辞退福利和其他长期职工福利。</w:t>
      </w:r>
    </w:p>
    <w:p>
      <w:pPr>
        <w:pStyle w:val="Heading3"/>
        <w:spacing w:line="240" w:lineRule="auto" w:before="90"/>
        <w:ind w:left="137" w:right="105"/>
        <w:jc w:val="left"/>
        <w:rPr>
          <w:b w:val="0"/>
          <w:bCs w:val="0"/>
        </w:rPr>
      </w:pPr>
      <w:r>
        <w:rPr>
          <w:rFonts w:ascii="宋体" w:hAnsi="宋体" w:cs="宋体" w:eastAsia="宋体" w:hint="default"/>
        </w:rPr>
        <w:t>(1)</w:t>
      </w:r>
      <w:r>
        <w:rPr/>
        <w:t>、短期薪酬的会计处理方法</w:t>
      </w:r>
      <w:r>
        <w:rPr>
          <w:b w:val="0"/>
          <w:bCs w:val="0"/>
        </w:rPr>
      </w:r>
    </w:p>
    <w:p>
      <w:pPr>
        <w:pStyle w:val="BodyText"/>
        <w:tabs>
          <w:tab w:pos="883" w:val="left" w:leader="none"/>
        </w:tabs>
        <w:spacing w:line="272" w:lineRule="exact" w:before="86"/>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7"/>
          <w:w w:val="100"/>
        </w:rPr>
        <w:t>在职工为本公司提供服务的会计期间，将实际发生的短期薪酬确认为负债，并计入当期损益，</w:t>
      </w:r>
    </w:p>
    <w:p>
      <w:pPr>
        <w:pStyle w:val="BodyText"/>
        <w:spacing w:line="357" w:lineRule="auto" w:before="108"/>
        <w:ind w:left="137" w:right="209"/>
        <w:jc w:val="both"/>
      </w:pPr>
      <w:r>
        <w:rPr>
          <w:spacing w:val="-1"/>
        </w:rPr>
        <w:t>其他会计准则要求或允许计入资产成本的除外。本公司发生的职工福利费，在实际发生时根据实</w:t>
      </w:r>
      <w:r>
        <w:rPr>
          <w:spacing w:val="-55"/>
        </w:rPr>
        <w:t> </w:t>
      </w:r>
      <w:r>
        <w:rPr>
          <w:spacing w:val="-55"/>
        </w:rPr>
      </w:r>
      <w:r>
        <w:rPr>
          <w:spacing w:val="-1"/>
        </w:rPr>
        <w:t>际发生额计入当期损益或相关资产成本。职工福利费为非货币性福利的，按照公允价值计量。企</w:t>
      </w:r>
      <w:r>
        <w:rPr>
          <w:spacing w:val="-55"/>
        </w:rPr>
        <w:t> </w:t>
      </w:r>
      <w:r>
        <w:rPr>
          <w:spacing w:val="-55"/>
        </w:rPr>
      </w:r>
      <w:r>
        <w:rPr>
          <w:spacing w:val="-1"/>
        </w:rPr>
        <w:t>业为职工缴纳的医疗保险费、工伤保险费、生育保险费等社会保险费和住房公积金，以及按规定</w:t>
      </w:r>
      <w:r>
        <w:rPr>
          <w:spacing w:val="-55"/>
        </w:rPr>
        <w:t> </w:t>
      </w:r>
      <w:r>
        <w:rPr>
          <w:spacing w:val="-55"/>
        </w:rPr>
      </w:r>
      <w:r>
        <w:rPr>
          <w:spacing w:val="-1"/>
        </w:rPr>
        <w:t>提取的工会经费和职工教育经费，在职工提供服务的会计期间，根据规定的计提基础和计提比例</w:t>
      </w:r>
      <w:r>
        <w:rPr>
          <w:spacing w:val="-55"/>
        </w:rPr>
        <w:t> </w:t>
      </w:r>
      <w:r>
        <w:rPr>
          <w:spacing w:val="-55"/>
        </w:rPr>
      </w:r>
      <w:r>
        <w:rPr/>
        <w:t>计算确定相应的职工薪酬金额，并确认相应负债，计入当期损益或相关资产成本。</w:t>
      </w:r>
    </w:p>
    <w:p>
      <w:pPr>
        <w:spacing w:line="240" w:lineRule="auto" w:before="6"/>
        <w:rPr>
          <w:rFonts w:ascii="宋体" w:hAnsi="宋体" w:cs="宋体" w:eastAsia="宋体" w:hint="default"/>
          <w:sz w:val="25"/>
          <w:szCs w:val="25"/>
        </w:rPr>
      </w:pPr>
    </w:p>
    <w:p>
      <w:pPr>
        <w:pStyle w:val="Heading3"/>
        <w:spacing w:line="240" w:lineRule="auto" w:before="0"/>
        <w:ind w:left="137" w:right="105"/>
        <w:jc w:val="left"/>
        <w:rPr>
          <w:b w:val="0"/>
          <w:bCs w:val="0"/>
        </w:rPr>
      </w:pPr>
      <w:r>
        <w:rPr>
          <w:rFonts w:ascii="宋体" w:hAnsi="宋体" w:cs="宋体" w:eastAsia="宋体" w:hint="default"/>
        </w:rPr>
        <w:t>(2)</w:t>
      </w:r>
      <w:r>
        <w:rPr/>
        <w:t>、离职后福利的会计处理方法</w:t>
      </w:r>
      <w:r>
        <w:rPr>
          <w:b w:val="0"/>
          <w:bCs w:val="0"/>
        </w:rPr>
      </w:r>
    </w:p>
    <w:p>
      <w:pPr>
        <w:pStyle w:val="BodyText"/>
        <w:tabs>
          <w:tab w:pos="883" w:val="left" w:leader="none"/>
        </w:tabs>
        <w:spacing w:line="272" w:lineRule="exact" w:before="86"/>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本公司在职工提供服务的会计期间，根据设定提存计划计算的应缴存金额确认为负债，并计</w:t>
      </w:r>
    </w:p>
    <w:p>
      <w:pPr>
        <w:pStyle w:val="BodyText"/>
        <w:spacing w:line="355" w:lineRule="auto" w:before="108"/>
        <w:ind w:left="137" w:right="105"/>
        <w:jc w:val="left"/>
      </w:pPr>
      <w:r>
        <w:rPr>
          <w:spacing w:val="-1"/>
        </w:rPr>
        <w:t>入当期损益或相关资产成本。根据预期累计福利单位法确定的公式将设定受益计划产生的福利义</w:t>
      </w:r>
      <w:r>
        <w:rPr>
          <w:spacing w:val="-55"/>
        </w:rPr>
        <w:t> </w:t>
      </w:r>
      <w:r>
        <w:rPr>
          <w:spacing w:val="-55"/>
        </w:rPr>
      </w:r>
      <w:r>
        <w:rPr/>
        <w:t>务归属于职工提供服务的期间，并计入当期损益或相关资产成本。</w:t>
      </w:r>
    </w:p>
    <w:p>
      <w:pPr>
        <w:spacing w:line="240" w:lineRule="auto" w:before="8"/>
        <w:rPr>
          <w:rFonts w:ascii="宋体" w:hAnsi="宋体" w:cs="宋体" w:eastAsia="宋体" w:hint="default"/>
          <w:sz w:val="25"/>
          <w:szCs w:val="25"/>
        </w:rPr>
      </w:pPr>
    </w:p>
    <w:p>
      <w:pPr>
        <w:pStyle w:val="Heading3"/>
        <w:spacing w:line="240" w:lineRule="auto" w:before="0"/>
        <w:ind w:left="137" w:right="105"/>
        <w:jc w:val="left"/>
        <w:rPr>
          <w:b w:val="0"/>
          <w:bCs w:val="0"/>
        </w:rPr>
      </w:pPr>
      <w:r>
        <w:rPr>
          <w:rFonts w:ascii="宋体" w:hAnsi="宋体" w:cs="宋体" w:eastAsia="宋体" w:hint="default"/>
        </w:rPr>
        <w:t>(3)</w:t>
      </w:r>
      <w:r>
        <w:rPr/>
        <w:t>、辞退福利的会计处理方法</w:t>
      </w:r>
      <w:r>
        <w:rPr>
          <w:b w:val="0"/>
          <w:bCs w:val="0"/>
        </w:rPr>
      </w:r>
    </w:p>
    <w:p>
      <w:pPr>
        <w:pStyle w:val="BodyText"/>
        <w:tabs>
          <w:tab w:pos="883" w:val="left" w:leader="none"/>
        </w:tabs>
        <w:spacing w:line="272" w:lineRule="exact" w:before="86"/>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本公司向职工提供辞退福利时，在下列两者孰早日确认辞退福利产生的职工薪酬负债，并计</w:t>
      </w:r>
    </w:p>
    <w:p>
      <w:pPr>
        <w:pStyle w:val="BodyText"/>
        <w:spacing w:line="357" w:lineRule="auto" w:before="108"/>
        <w:ind w:left="137" w:right="105"/>
        <w:jc w:val="left"/>
      </w:pPr>
      <w:r>
        <w:rPr>
          <w:spacing w:val="-1"/>
        </w:rPr>
        <w:t>入当期损益：本公司不能单方面撤回因解除劳动关系计划或裁减建议所提供的辞退福利时；本公</w:t>
      </w:r>
      <w:r>
        <w:rPr>
          <w:spacing w:val="-55"/>
        </w:rPr>
        <w:t> </w:t>
      </w:r>
      <w:r>
        <w:rPr>
          <w:spacing w:val="-55"/>
        </w:rPr>
      </w:r>
      <w:r>
        <w:rPr/>
        <w:t>司确认与涉及支付辞退福利的重组相关的成本或费用时。</w:t>
      </w:r>
    </w:p>
    <w:p>
      <w:pPr>
        <w:spacing w:line="240" w:lineRule="auto" w:before="6"/>
        <w:rPr>
          <w:rFonts w:ascii="宋体" w:hAnsi="宋体" w:cs="宋体" w:eastAsia="宋体" w:hint="default"/>
          <w:sz w:val="25"/>
          <w:szCs w:val="25"/>
        </w:rPr>
      </w:pPr>
    </w:p>
    <w:p>
      <w:pPr>
        <w:pStyle w:val="Heading3"/>
        <w:spacing w:line="240" w:lineRule="auto" w:before="0"/>
        <w:ind w:left="137" w:right="105"/>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883" w:val="left" w:leader="none"/>
        </w:tabs>
        <w:spacing w:line="272" w:lineRule="exact" w:before="84"/>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本公司向职工提供的其他长期职工福利，符合设定提存计划条件的，应当按照有关设定提存</w:t>
      </w:r>
    </w:p>
    <w:p>
      <w:pPr>
        <w:pStyle w:val="BodyText"/>
        <w:spacing w:line="355" w:lineRule="auto" w:before="110"/>
        <w:ind w:left="137" w:right="105"/>
        <w:jc w:val="left"/>
      </w:pPr>
      <w:r>
        <w:rPr>
          <w:spacing w:val="-1"/>
        </w:rPr>
        <w:t>计划的规定进行处理；除此外，根据设定受益计划的有关规定，确认和计量其他长期职工福利净</w:t>
      </w:r>
      <w:r>
        <w:rPr>
          <w:spacing w:val="-55"/>
        </w:rPr>
        <w:t> </w:t>
      </w:r>
      <w:r>
        <w:rPr>
          <w:spacing w:val="-55"/>
        </w:rPr>
      </w:r>
      <w:r>
        <w:rPr/>
        <w:t>负债或净资产。</w:t>
      </w:r>
    </w:p>
    <w:p>
      <w:pPr>
        <w:spacing w:after="0" w:line="355"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3"/>
        <w:spacing w:line="240" w:lineRule="auto"/>
        <w:ind w:left="137" w:right="0"/>
        <w:jc w:val="both"/>
        <w:rPr>
          <w:b w:val="0"/>
          <w:bCs w:val="0"/>
        </w:rPr>
      </w:pPr>
      <w:r>
        <w:rPr>
          <w:rFonts w:ascii="宋体" w:hAnsi="宋体" w:cs="宋体" w:eastAsia="宋体" w:hint="default"/>
        </w:rPr>
        <w:t>20.</w:t>
      </w:r>
      <w:r>
        <w:rPr>
          <w:rFonts w:ascii="宋体" w:hAnsi="宋体" w:cs="宋体" w:eastAsia="宋体" w:hint="default"/>
          <w:spacing w:val="2"/>
        </w:rPr>
        <w:t> </w:t>
      </w:r>
      <w:r>
        <w:rPr/>
        <w:t>预计负债</w:t>
      </w:r>
      <w:r>
        <w:rPr>
          <w:b w:val="0"/>
          <w:bCs w:val="0"/>
        </w:rPr>
      </w:r>
    </w:p>
    <w:p>
      <w:pPr>
        <w:pStyle w:val="BodyText"/>
        <w:tabs>
          <w:tab w:pos="883" w:val="left" w:leader="none"/>
        </w:tabs>
        <w:spacing w:line="274" w:lineRule="exact" w:before="82"/>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当与或有事项相关的义务是公司承担的现时义务，且履行该义务很可能导致经济利益流出，</w:t>
      </w:r>
    </w:p>
    <w:p>
      <w:pPr>
        <w:pStyle w:val="BodyText"/>
        <w:spacing w:line="357" w:lineRule="auto" w:before="108"/>
        <w:ind w:left="137" w:right="209"/>
        <w:jc w:val="both"/>
      </w:pPr>
      <w:r>
        <w:rPr>
          <w:spacing w:val="-1"/>
        </w:rPr>
        <w:t>同时其金额能够可靠地计量时确认该义务为预计负债。本公司按照履行相关现时义务所需支出的</w:t>
      </w:r>
      <w:r>
        <w:rPr>
          <w:spacing w:val="-55"/>
        </w:rPr>
        <w:t> </w:t>
      </w:r>
      <w:r>
        <w:rPr>
          <w:spacing w:val="-55"/>
        </w:rPr>
      </w:r>
      <w:r>
        <w:rPr>
          <w:spacing w:val="-1"/>
        </w:rPr>
        <w:t>最佳估计数进行初始计量，如所需支出存在一个连续范围，且该范围内各种结果发生的可能性相</w:t>
      </w:r>
      <w:r>
        <w:rPr>
          <w:spacing w:val="-55"/>
        </w:rPr>
        <w:t> </w:t>
      </w:r>
      <w:r>
        <w:rPr>
          <w:spacing w:val="-55"/>
        </w:rPr>
      </w:r>
      <w:r>
        <w:rPr>
          <w:spacing w:val="-1"/>
        </w:rPr>
        <w:t>同，最佳估计数按照该范围内的中间值确定；如涉及多个项目，按照各种可能结果及相关概率计</w:t>
      </w:r>
      <w:r>
        <w:rPr>
          <w:spacing w:val="-55"/>
        </w:rPr>
        <w:t> </w:t>
      </w:r>
      <w:r>
        <w:rPr>
          <w:spacing w:val="-55"/>
        </w:rPr>
      </w:r>
      <w:r>
        <w:rPr/>
        <w:t>算确定最佳估计数。</w:t>
      </w:r>
    </w:p>
    <w:p>
      <w:pPr>
        <w:pStyle w:val="BodyText"/>
        <w:spacing w:line="355" w:lineRule="auto" w:before="30"/>
        <w:ind w:left="137" w:right="211" w:firstLine="420"/>
        <w:jc w:val="both"/>
      </w:pPr>
      <w:r>
        <w:rPr>
          <w:spacing w:val="-2"/>
        </w:rPr>
        <w:t>资产负债表日应当对预计负债账面价值进行复核，有确凿证据表明该账面价值不能真实反映</w:t>
      </w:r>
      <w:r>
        <w:rPr>
          <w:w w:val="100"/>
        </w:rPr>
        <w:t> </w:t>
      </w:r>
      <w:r>
        <w:rPr/>
        <w:t>当前最佳估计数，应当按照当前最佳估计数对该账面价值进行调整。</w:t>
      </w:r>
    </w:p>
    <w:p>
      <w:pPr>
        <w:spacing w:line="240" w:lineRule="auto" w:before="8"/>
        <w:rPr>
          <w:rFonts w:ascii="宋体" w:hAnsi="宋体" w:cs="宋体" w:eastAsia="宋体" w:hint="default"/>
          <w:sz w:val="25"/>
          <w:szCs w:val="25"/>
        </w:rPr>
      </w:pPr>
    </w:p>
    <w:p>
      <w:pPr>
        <w:pStyle w:val="Heading3"/>
        <w:spacing w:line="240" w:lineRule="auto" w:before="0"/>
        <w:ind w:left="137" w:right="0"/>
        <w:jc w:val="both"/>
        <w:rPr>
          <w:b w:val="0"/>
          <w:bCs w:val="0"/>
        </w:rPr>
      </w:pPr>
      <w:r>
        <w:rPr>
          <w:rFonts w:ascii="宋体" w:hAnsi="宋体" w:cs="宋体" w:eastAsia="宋体" w:hint="default"/>
        </w:rPr>
        <w:t>21.</w:t>
      </w:r>
      <w:r>
        <w:rPr>
          <w:rFonts w:ascii="宋体" w:hAnsi="宋体" w:cs="宋体" w:eastAsia="宋体" w:hint="default"/>
          <w:spacing w:val="2"/>
        </w:rPr>
        <w:t> </w:t>
      </w:r>
      <w:r>
        <w:rPr/>
        <w:t>收入</w:t>
      </w:r>
      <w:r>
        <w:rPr>
          <w:b w:val="0"/>
          <w:bCs w:val="0"/>
        </w:rPr>
      </w:r>
    </w:p>
    <w:p>
      <w:pPr>
        <w:pStyle w:val="BodyText"/>
        <w:tabs>
          <w:tab w:pos="883" w:val="left" w:leader="none"/>
        </w:tabs>
        <w:spacing w:line="272" w:lineRule="exact" w:before="86"/>
        <w:ind w:left="557" w:right="747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1"/>
        </w:rPr>
        <w:t>1</w:t>
      </w:r>
      <w:r>
        <w:rPr>
          <w:spacing w:val="-1"/>
        </w:rPr>
        <w:t>、销售商品</w:t>
      </w:r>
    </w:p>
    <w:p>
      <w:pPr>
        <w:pStyle w:val="BodyText"/>
        <w:spacing w:line="357" w:lineRule="auto" w:before="108"/>
        <w:ind w:left="137" w:right="209" w:firstLine="420"/>
        <w:jc w:val="both"/>
      </w:pPr>
      <w:r>
        <w:rPr>
          <w:spacing w:val="-2"/>
        </w:rPr>
        <w:t>本公司销售的建材物资商品在同时满足下列条件时，视为商品所有权上的主要风险和报酬转</w:t>
      </w:r>
      <w:r>
        <w:rPr>
          <w:w w:val="100"/>
        </w:rPr>
        <w:t> </w:t>
      </w:r>
      <w:r>
        <w:rPr>
          <w:spacing w:val="-1"/>
        </w:rPr>
        <w:t>移，按从购货方已收或应收的合同或协议价款的金额确认销售商品收入：商品已按购货方要求运</w:t>
      </w:r>
      <w:r>
        <w:rPr>
          <w:spacing w:val="-55"/>
        </w:rPr>
        <w:t> </w:t>
      </w:r>
      <w:r>
        <w:rPr>
          <w:spacing w:val="-55"/>
        </w:rPr>
      </w:r>
      <w:r>
        <w:rPr/>
        <w:t>送至指定地点，并与购货方授权的接收人员完成验收交付。</w:t>
      </w:r>
    </w:p>
    <w:p>
      <w:pPr>
        <w:pStyle w:val="BodyText"/>
        <w:spacing w:line="355" w:lineRule="auto" w:before="30"/>
        <w:ind w:left="137" w:right="211" w:firstLine="420"/>
        <w:jc w:val="both"/>
      </w:pPr>
      <w:r>
        <w:rPr>
          <w:spacing w:val="-2"/>
        </w:rPr>
        <w:t>合同或协议价款的收取采用递延方式，实质上具有融资性质的，按照应收的合同或协议价款</w:t>
      </w:r>
      <w:r>
        <w:rPr>
          <w:w w:val="100"/>
        </w:rPr>
        <w:t> </w:t>
      </w:r>
      <w:r>
        <w:rPr/>
        <w:t>的公允价值确定销售商品收入金额。</w:t>
      </w:r>
    </w:p>
    <w:p>
      <w:pPr>
        <w:pStyle w:val="BodyText"/>
        <w:spacing w:line="338" w:lineRule="auto" w:before="32"/>
        <w:ind w:left="557" w:right="105"/>
        <w:jc w:val="left"/>
      </w:pPr>
      <w:r>
        <w:rPr>
          <w:rFonts w:ascii="Times New Roman" w:hAnsi="Times New Roman" w:cs="Times New Roman" w:eastAsia="Times New Roman" w:hint="default"/>
        </w:rPr>
        <w:t>2</w:t>
      </w:r>
      <w:r>
        <w:rPr/>
        <w:t>、让渡资产使用权</w:t>
      </w:r>
      <w:r>
        <w:rPr>
          <w:w w:val="100"/>
        </w:rPr>
        <w:t> </w:t>
      </w:r>
      <w:r>
        <w:rPr>
          <w:spacing w:val="-2"/>
        </w:rPr>
        <w:t>本公司在让渡资产使用权相关的经济利益很可能流入并且收入的金额能够可靠地计量时确认</w:t>
      </w:r>
    </w:p>
    <w:p>
      <w:pPr>
        <w:pStyle w:val="BodyText"/>
        <w:spacing w:line="240" w:lineRule="auto" w:before="47"/>
        <w:ind w:left="137" w:right="0"/>
        <w:jc w:val="both"/>
      </w:pPr>
      <w:r>
        <w:rPr/>
        <w:t>让渡资产使用权收入。</w:t>
      </w:r>
    </w:p>
    <w:p>
      <w:pPr>
        <w:pStyle w:val="BodyText"/>
        <w:spacing w:line="336" w:lineRule="auto" w:before="133"/>
        <w:ind w:left="557" w:right="97"/>
        <w:jc w:val="left"/>
      </w:pPr>
      <w:r>
        <w:rPr>
          <w:rFonts w:ascii="Times New Roman" w:hAnsi="Times New Roman" w:cs="Times New Roman" w:eastAsia="Times New Roman" w:hint="default"/>
        </w:rPr>
        <w:t>3</w:t>
      </w:r>
      <w:r>
        <w:rPr/>
        <w:t>、提供劳务</w:t>
      </w:r>
      <w:r>
        <w:rPr>
          <w:w w:val="100"/>
        </w:rPr>
        <w:t> </w:t>
      </w:r>
      <w:r>
        <w:rPr>
          <w:spacing w:val="-4"/>
          <w:w w:val="100"/>
        </w:rPr>
        <w:t>在资产负债表日提供劳务交易的结果能够可靠估计的，采用完工百分比法确认提供劳务收入。</w:t>
      </w:r>
    </w:p>
    <w:p>
      <w:pPr>
        <w:pStyle w:val="BodyText"/>
        <w:spacing w:line="357" w:lineRule="auto" w:before="49"/>
        <w:ind w:left="557" w:right="105" w:hanging="420"/>
        <w:jc w:val="left"/>
      </w:pPr>
      <w:r>
        <w:rPr/>
        <w:t>本公司根据合理的方法确定提供劳务交易的完工进度。</w:t>
      </w:r>
      <w:r>
        <w:rPr>
          <w:w w:val="100"/>
        </w:rPr>
        <w:t> </w:t>
      </w:r>
      <w:r>
        <w:rPr>
          <w:spacing w:val="-2"/>
        </w:rPr>
        <w:t>在资产负债表日提供劳务交易结果不能够可靠估计的，分别下列情况处理：①已经发生的劳</w:t>
      </w:r>
    </w:p>
    <w:p>
      <w:pPr>
        <w:pStyle w:val="BodyText"/>
        <w:spacing w:line="357" w:lineRule="auto" w:before="30"/>
        <w:ind w:left="137" w:right="209"/>
        <w:jc w:val="both"/>
      </w:pPr>
      <w:r>
        <w:rPr>
          <w:spacing w:val="-1"/>
        </w:rPr>
        <w:t>务成本预计能够得到补偿的，按照已经发生的劳务成本金额确认提供劳务收入，并按相同金额结</w:t>
      </w:r>
      <w:r>
        <w:rPr>
          <w:spacing w:val="-55"/>
        </w:rPr>
        <w:t> </w:t>
      </w:r>
      <w:r>
        <w:rPr>
          <w:spacing w:val="-55"/>
        </w:rPr>
      </w:r>
      <w:r>
        <w:rPr>
          <w:spacing w:val="-1"/>
        </w:rPr>
        <w:t>转劳务成本；②已经发生的劳务成本预计不能够得到补偿的，将已经发生的劳务成本计入当期损</w:t>
      </w:r>
      <w:r>
        <w:rPr>
          <w:spacing w:val="-55"/>
        </w:rPr>
        <w:t> </w:t>
      </w:r>
      <w:r>
        <w:rPr>
          <w:spacing w:val="-55"/>
        </w:rPr>
      </w:r>
      <w:r>
        <w:rPr/>
        <w:t>益，不确认提供劳务收入。</w:t>
      </w:r>
    </w:p>
    <w:p>
      <w:pPr>
        <w:pStyle w:val="BodyText"/>
        <w:spacing w:line="240" w:lineRule="auto" w:before="30"/>
        <w:ind w:left="557" w:right="105"/>
        <w:jc w:val="left"/>
      </w:pPr>
      <w:r>
        <w:rPr>
          <w:rFonts w:ascii="Times New Roman" w:hAnsi="Times New Roman" w:cs="Times New Roman" w:eastAsia="Times New Roman" w:hint="default"/>
        </w:rPr>
        <w:t>4</w:t>
      </w:r>
      <w:r>
        <w:rPr/>
        <w:t>、建造合同收入</w:t>
      </w:r>
    </w:p>
    <w:p>
      <w:pPr>
        <w:pStyle w:val="BodyText"/>
        <w:spacing w:line="355" w:lineRule="auto" w:before="119"/>
        <w:ind w:left="137" w:right="97" w:firstLine="420"/>
        <w:jc w:val="left"/>
      </w:pPr>
      <w:r>
        <w:rPr>
          <w:spacing w:val="-4"/>
          <w:w w:val="100"/>
        </w:rPr>
        <w:t>①在工程施工建造合同履行过程的某个资产负债表日，根据工程施工合同结果能否可靠估计，</w:t>
      </w:r>
      <w:r>
        <w:rPr>
          <w:w w:val="100"/>
        </w:rPr>
        <w:t> </w:t>
      </w:r>
      <w:r>
        <w:rPr/>
        <w:t>分别对待：</w:t>
      </w:r>
    </w:p>
    <w:p>
      <w:pPr>
        <w:pStyle w:val="BodyText"/>
        <w:spacing w:line="350" w:lineRule="auto" w:before="32"/>
        <w:ind w:left="137" w:right="208" w:firstLine="420"/>
        <w:jc w:val="both"/>
      </w:pPr>
      <w:r>
        <w:rPr>
          <w:spacing w:val="-2"/>
        </w:rPr>
        <w:t>第一：如果工程施工合同的结果能够可靠地估计，企业应当根据完工百分比法在资产负债表</w:t>
      </w:r>
      <w:r>
        <w:rPr>
          <w:w w:val="100"/>
        </w:rPr>
        <w:t> </w:t>
      </w:r>
      <w:r>
        <w:rPr>
          <w:spacing w:val="-1"/>
        </w:rPr>
        <w:t>日确认工程合同收入和工程合同费用。合同的完工进度一般情况下是按累计已发生的成本占合同</w:t>
      </w:r>
      <w:r>
        <w:rPr>
          <w:spacing w:val="-55"/>
        </w:rPr>
        <w:t> </w:t>
      </w:r>
      <w:r>
        <w:rPr>
          <w:spacing w:val="-55"/>
        </w:rPr>
      </w:r>
      <w:r>
        <w:rPr/>
        <w:t>预计总成本的比例来确定。建造合同结果能够可靠估计是指同时满足以下条件：</w:t>
      </w:r>
      <w:r>
        <w:rPr>
          <w:rFonts w:ascii="Times New Roman" w:hAnsi="Times New Roman" w:cs="Times New Roman" w:eastAsia="Times New Roman" w:hint="default"/>
        </w:rPr>
        <w:t>A</w:t>
      </w:r>
      <w:r>
        <w:rPr/>
        <w:t>、合同总收入</w:t>
      </w:r>
      <w:r>
        <w:rPr>
          <w:spacing w:val="-32"/>
        </w:rPr>
        <w:t> </w:t>
      </w:r>
      <w:r>
        <w:rPr>
          <w:spacing w:val="-3"/>
        </w:rPr>
        <w:t>能够可靠计量；</w:t>
      </w:r>
      <w:r>
        <w:rPr>
          <w:rFonts w:ascii="Times New Roman" w:hAnsi="Times New Roman" w:cs="Times New Roman" w:eastAsia="Times New Roman" w:hint="default"/>
          <w:spacing w:val="-3"/>
        </w:rPr>
        <w:t>B</w:t>
      </w:r>
      <w:r>
        <w:rPr>
          <w:spacing w:val="-3"/>
        </w:rPr>
        <w:t>、与合同相关的经济利益很可能流入企业；</w:t>
      </w:r>
      <w:r>
        <w:rPr>
          <w:rFonts w:ascii="Times New Roman" w:hAnsi="Times New Roman" w:cs="Times New Roman" w:eastAsia="Times New Roman" w:hint="default"/>
          <w:spacing w:val="-3"/>
        </w:rPr>
        <w:t>C</w:t>
      </w:r>
      <w:r>
        <w:rPr>
          <w:spacing w:val="-3"/>
        </w:rPr>
        <w:t>、实际已发生的成本能清楚区分和</w:t>
      </w:r>
    </w:p>
    <w:p>
      <w:pPr>
        <w:spacing w:after="0" w:line="350"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36" w:lineRule="auto" w:before="36"/>
        <w:ind w:left="557" w:right="0" w:hanging="420"/>
        <w:jc w:val="left"/>
      </w:pPr>
      <w:r>
        <w:rPr/>
        <w:t>可靠计量；</w:t>
      </w:r>
      <w:r>
        <w:rPr>
          <w:rFonts w:ascii="Times New Roman" w:hAnsi="Times New Roman" w:cs="Times New Roman" w:eastAsia="Times New Roman" w:hint="default"/>
        </w:rPr>
        <w:t>D</w:t>
      </w:r>
      <w:r>
        <w:rPr/>
        <w:t>、合同的完工进度和为完成整个合同尚需发生的成本能够可靠确定。</w:t>
      </w:r>
      <w:r>
        <w:rPr>
          <w:w w:val="100"/>
        </w:rPr>
        <w:t> </w:t>
      </w:r>
      <w:r>
        <w:rPr>
          <w:spacing w:val="-2"/>
        </w:rPr>
        <w:t>第二：如果工程施工合同的结果不能够可靠地估计，应当区别情况处理：若合同成本能够收</w:t>
      </w:r>
    </w:p>
    <w:p>
      <w:pPr>
        <w:pStyle w:val="BodyText"/>
        <w:spacing w:line="357" w:lineRule="auto" w:before="49"/>
        <w:ind w:left="137" w:right="128"/>
        <w:jc w:val="both"/>
      </w:pPr>
      <w:r>
        <w:rPr>
          <w:spacing w:val="-1"/>
        </w:rPr>
        <w:t>回的，工程合同收入根据能够收回的实际合同成本加以确认，合同成本在其发生的当期确认为工</w:t>
      </w:r>
      <w:r>
        <w:rPr>
          <w:spacing w:val="-55"/>
        </w:rPr>
        <w:t> </w:t>
      </w:r>
      <w:r>
        <w:rPr>
          <w:spacing w:val="-55"/>
        </w:rPr>
      </w:r>
      <w:r>
        <w:rPr>
          <w:spacing w:val="-1"/>
        </w:rPr>
        <w:t>程合同费用；若合同成本不能够收回的，不能收回的金额应当在发生时立即作为工程合同费用，</w:t>
      </w:r>
      <w:r>
        <w:rPr>
          <w:spacing w:val="-55"/>
        </w:rPr>
        <w:t> </w:t>
      </w:r>
      <w:r>
        <w:rPr>
          <w:spacing w:val="-55"/>
        </w:rPr>
      </w:r>
      <w:r>
        <w:rPr/>
        <w:t>不确认合同收入。</w:t>
      </w:r>
    </w:p>
    <w:p>
      <w:pPr>
        <w:pStyle w:val="BodyText"/>
        <w:spacing w:line="357" w:lineRule="auto" w:before="30"/>
        <w:ind w:left="137" w:right="129" w:firstLine="420"/>
        <w:jc w:val="both"/>
      </w:pPr>
      <w:r>
        <w:rPr>
          <w:spacing w:val="-2"/>
        </w:rPr>
        <w:t>②按规定确认工程合同收入和工程合同费用时，按当期确认的工程合同费用，借记“主营业</w:t>
      </w:r>
      <w:r>
        <w:rPr>
          <w:w w:val="100"/>
        </w:rPr>
        <w:t> </w:t>
      </w:r>
      <w:r>
        <w:rPr>
          <w:spacing w:val="-1"/>
        </w:rPr>
        <w:t>务成本”科目，按当期确认的工程合同收入，贷记“主营业务收入”科目，按其差额，借记或贷</w:t>
      </w:r>
      <w:r>
        <w:rPr>
          <w:spacing w:val="-55"/>
        </w:rPr>
        <w:t> </w:t>
      </w:r>
      <w:r>
        <w:rPr>
          <w:spacing w:val="-55"/>
        </w:rPr>
      </w:r>
      <w:r>
        <w:rPr>
          <w:spacing w:val="-1"/>
        </w:rPr>
        <w:t>记“工程施工——合同毛利”科目。第一、如果某个资产负债表日合同预计总成本将超过合同预</w:t>
      </w:r>
      <w:r>
        <w:rPr>
          <w:spacing w:val="-55"/>
        </w:rPr>
        <w:t> </w:t>
      </w:r>
      <w:r>
        <w:rPr>
          <w:spacing w:val="-55"/>
        </w:rPr>
      </w:r>
      <w:r>
        <w:rPr>
          <w:spacing w:val="-1"/>
        </w:rPr>
        <w:t>计总收入，应将预计损失立即确认为当期费用，借记“资产减值损失”科目，贷记“存货跌价准</w:t>
      </w:r>
      <w:r>
        <w:rPr>
          <w:spacing w:val="-55"/>
        </w:rPr>
        <w:t> </w:t>
      </w:r>
      <w:r>
        <w:rPr>
          <w:spacing w:val="-55"/>
        </w:rPr>
      </w:r>
      <w:r>
        <w:rPr>
          <w:spacing w:val="-1"/>
        </w:rPr>
        <w:t>备——合同预计损失准备”科目。第二、在合同执行中期某个资产负债表日，若该时点合同预计</w:t>
      </w:r>
      <w:r>
        <w:rPr>
          <w:spacing w:val="-55"/>
        </w:rPr>
        <w:t> </w:t>
      </w:r>
      <w:r>
        <w:rPr>
          <w:spacing w:val="-55"/>
        </w:rPr>
      </w:r>
      <w:r>
        <w:rPr>
          <w:spacing w:val="-1"/>
        </w:rPr>
        <w:t>总成本小于合同预计总收入，在确认工程合同收入、费用时，应转销合同预计损失准备，按确认</w:t>
      </w:r>
      <w:r>
        <w:rPr>
          <w:spacing w:val="-55"/>
        </w:rPr>
        <w:t> </w:t>
      </w:r>
      <w:r>
        <w:rPr>
          <w:spacing w:val="-55"/>
        </w:rPr>
      </w:r>
      <w:r>
        <w:rPr>
          <w:spacing w:val="-1"/>
        </w:rPr>
        <w:t>的工程合同费用，借记“主营业务成本”科目，按确认的工程合同收入，贷记“主营业务收入”</w:t>
      </w:r>
      <w:r>
        <w:rPr>
          <w:spacing w:val="-55"/>
        </w:rPr>
        <w:t> </w:t>
      </w:r>
      <w:r>
        <w:rPr>
          <w:spacing w:val="-55"/>
        </w:rPr>
      </w:r>
      <w:r>
        <w:rPr>
          <w:spacing w:val="-1"/>
        </w:rPr>
        <w:t>科目，按其差额，借记或贷记“工程施工——合同毛利”科目。同时，按相关工程施工合同预计</w:t>
      </w:r>
      <w:r>
        <w:rPr>
          <w:spacing w:val="-55"/>
        </w:rPr>
        <w:t> </w:t>
      </w:r>
      <w:r>
        <w:rPr>
          <w:spacing w:val="-55"/>
        </w:rPr>
      </w:r>
      <w:r>
        <w:rPr>
          <w:spacing w:val="-1"/>
        </w:rPr>
        <w:t>损失准备，借记“存货跌价准备——合同预计损失准备”科目，贷记“主营业务成本”科目。第</w:t>
      </w:r>
      <w:r>
        <w:rPr>
          <w:spacing w:val="-55"/>
        </w:rPr>
        <w:t> </w:t>
      </w:r>
      <w:r>
        <w:rPr>
          <w:spacing w:val="-55"/>
        </w:rPr>
      </w:r>
      <w:r>
        <w:rPr>
          <w:spacing w:val="-1"/>
        </w:rPr>
        <w:t>三、在合同竣工决算日确认工程合同收入、合同费用，转销以前合同预计损失准备时，应按累计</w:t>
      </w:r>
      <w:r>
        <w:rPr>
          <w:spacing w:val="-55"/>
        </w:rPr>
        <w:t> </w:t>
      </w:r>
      <w:r>
        <w:rPr>
          <w:spacing w:val="-55"/>
        </w:rPr>
      </w:r>
      <w:r>
        <w:rPr>
          <w:spacing w:val="-1"/>
        </w:rPr>
        <w:t>实际发生的合同成本减去以前会计年度累计已确认的工程合同费用后的余额，借记“主营业务成</w:t>
      </w:r>
      <w:r>
        <w:rPr>
          <w:spacing w:val="-55"/>
        </w:rPr>
        <w:t> </w:t>
      </w:r>
      <w:r>
        <w:rPr>
          <w:spacing w:val="-55"/>
        </w:rPr>
      </w:r>
      <w:r>
        <w:rPr>
          <w:spacing w:val="-1"/>
        </w:rPr>
        <w:t>本”科目，按实际合同总收入减去以前会计年度累计已确认的工程合同收入后的余额，贷记“主</w:t>
      </w:r>
      <w:r>
        <w:rPr>
          <w:spacing w:val="-55"/>
        </w:rPr>
        <w:t> </w:t>
      </w:r>
      <w:r>
        <w:rPr>
          <w:spacing w:val="-55"/>
        </w:rPr>
      </w:r>
      <w:r>
        <w:rPr>
          <w:spacing w:val="-1"/>
        </w:rPr>
        <w:t>营业务收入”科目，按其差额，借记或贷记“工程施工——合同毛利”科目。同时，按相关工程</w:t>
      </w:r>
      <w:r>
        <w:rPr>
          <w:spacing w:val="-55"/>
        </w:rPr>
        <w:t> </w:t>
      </w:r>
      <w:r>
        <w:rPr>
          <w:spacing w:val="-55"/>
        </w:rPr>
      </w:r>
      <w:r>
        <w:rPr>
          <w:spacing w:val="-1"/>
        </w:rPr>
        <w:t>施工合同已计提的预计损失准备，借记“存货跌价准备——合同预计损失准备”科目，贷记“主</w:t>
      </w:r>
      <w:r>
        <w:rPr>
          <w:spacing w:val="-55"/>
        </w:rPr>
        <w:t> </w:t>
      </w:r>
      <w:r>
        <w:rPr>
          <w:spacing w:val="-55"/>
        </w:rPr>
      </w:r>
      <w:r>
        <w:rPr/>
        <w:t>营业务成本”科目。</w:t>
      </w:r>
    </w:p>
    <w:p>
      <w:pPr>
        <w:spacing w:line="240" w:lineRule="auto" w:before="6"/>
        <w:rPr>
          <w:rFonts w:ascii="宋体" w:hAnsi="宋体" w:cs="宋体" w:eastAsia="宋体" w:hint="default"/>
          <w:sz w:val="25"/>
          <w:szCs w:val="25"/>
        </w:rPr>
      </w:pPr>
    </w:p>
    <w:p>
      <w:pPr>
        <w:pStyle w:val="Heading3"/>
        <w:spacing w:line="290" w:lineRule="auto" w:before="0"/>
        <w:ind w:left="137" w:right="3467"/>
        <w:jc w:val="left"/>
        <w:rPr>
          <w:b w:val="0"/>
          <w:bCs w:val="0"/>
        </w:rPr>
      </w:pPr>
      <w:r>
        <w:rPr>
          <w:rFonts w:ascii="宋体" w:hAnsi="宋体" w:cs="宋体" w:eastAsia="宋体" w:hint="default"/>
        </w:rPr>
        <w:t>22.</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883" w:val="left" w:leader="none"/>
        </w:tabs>
        <w:spacing w:line="272" w:lineRule="exact" w:before="42"/>
        <w:ind w:left="557" w:right="14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与资产相关的政府补助，确认为递延收益。确认为递延收益的金额，在相关资产使用寿命内</w:t>
      </w:r>
    </w:p>
    <w:p>
      <w:pPr>
        <w:pStyle w:val="BodyText"/>
        <w:spacing w:line="355" w:lineRule="auto" w:before="111"/>
        <w:ind w:left="137" w:right="129"/>
        <w:jc w:val="both"/>
      </w:pPr>
      <w:r>
        <w:rPr>
          <w:spacing w:val="-1"/>
        </w:rPr>
        <w:t>按照合理、系统的方法分期计入当期损益。其中与本公司日常活动相关的，计入其他收益，与本</w:t>
      </w:r>
      <w:r>
        <w:rPr>
          <w:spacing w:val="-55"/>
        </w:rPr>
        <w:t> </w:t>
      </w:r>
      <w:r>
        <w:rPr>
          <w:spacing w:val="-55"/>
        </w:rPr>
      </w:r>
      <w:r>
        <w:rPr/>
        <w:t>公司日常活动无关的，计入营业外收入。</w:t>
      </w:r>
    </w:p>
    <w:p>
      <w:pPr>
        <w:pStyle w:val="BodyText"/>
        <w:spacing w:line="240" w:lineRule="auto" w:before="32"/>
        <w:ind w:left="557" w:right="0"/>
        <w:jc w:val="left"/>
      </w:pPr>
      <w:r>
        <w:rPr/>
        <w:t>按照名义金额计量的政府补助，直接计入当期损益。</w:t>
      </w:r>
    </w:p>
    <w:p>
      <w:pPr>
        <w:spacing w:line="240" w:lineRule="auto" w:before="0"/>
        <w:rPr>
          <w:rFonts w:ascii="宋体" w:hAnsi="宋体" w:cs="宋体" w:eastAsia="宋体" w:hint="default"/>
          <w:sz w:val="20"/>
          <w:szCs w:val="20"/>
        </w:rPr>
      </w:pPr>
    </w:p>
    <w:p>
      <w:pPr>
        <w:pStyle w:val="Heading3"/>
        <w:spacing w:line="240" w:lineRule="auto" w:before="174"/>
        <w:ind w:left="137"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883" w:val="left" w:leader="none"/>
        </w:tabs>
        <w:spacing w:line="274" w:lineRule="exact" w:before="82"/>
        <w:ind w:left="557" w:right="14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与收益相关的政府补助，分别下列情况处理：用于补偿企业以后期间的相关费用或损失的，</w:t>
      </w:r>
    </w:p>
    <w:p>
      <w:pPr>
        <w:pStyle w:val="BodyText"/>
        <w:spacing w:line="357" w:lineRule="auto" w:before="108"/>
        <w:ind w:left="137" w:right="129"/>
        <w:jc w:val="both"/>
      </w:pPr>
      <w:r>
        <w:rPr>
          <w:spacing w:val="-1"/>
        </w:rPr>
        <w:t>确认为递延收益，并在确认相关费用的期间，计入当期损益。用于补偿企业已发生的相关费用或</w:t>
      </w:r>
      <w:r>
        <w:rPr>
          <w:spacing w:val="-55"/>
        </w:rPr>
        <w:t> </w:t>
      </w:r>
      <w:r>
        <w:rPr>
          <w:spacing w:val="-55"/>
        </w:rPr>
      </w:r>
      <w:r>
        <w:rPr>
          <w:spacing w:val="-1"/>
        </w:rPr>
        <w:t>损失的，直接计入当期损益。计入当期损益时，与本公司日常活动相关的政府补助，计入其他收</w:t>
      </w:r>
      <w:r>
        <w:rPr>
          <w:spacing w:val="-55"/>
        </w:rPr>
        <w:t> </w:t>
      </w:r>
      <w:r>
        <w:rPr>
          <w:spacing w:val="-55"/>
        </w:rPr>
      </w:r>
      <w:r>
        <w:rPr/>
        <w:t>益；与本公司日常活动无关的政府补助，计入营业外收入。</w:t>
      </w:r>
    </w:p>
    <w:p>
      <w:pPr>
        <w:pStyle w:val="Heading3"/>
        <w:spacing w:line="240" w:lineRule="auto" w:before="32"/>
        <w:ind w:left="137" w:right="0"/>
        <w:jc w:val="both"/>
        <w:rPr>
          <w:b w:val="0"/>
          <w:bCs w:val="0"/>
        </w:rPr>
      </w:pPr>
      <w:r>
        <w:rPr>
          <w:spacing w:val="2"/>
          <w:w w:val="100"/>
        </w:rPr>
        <w:t>（</w:t>
      </w:r>
      <w:r>
        <w:rPr>
          <w:rFonts w:ascii="Times New Roman" w:hAnsi="Times New Roman" w:cs="Times New Roman" w:eastAsia="Times New Roman" w:hint="default"/>
          <w:spacing w:val="-3"/>
          <w:w w:val="100"/>
        </w:rPr>
        <w:t>3</w:t>
      </w:r>
      <w:r>
        <w:rPr>
          <w:spacing w:val="-106"/>
          <w:w w:val="100"/>
        </w:rPr>
        <w:t>）</w:t>
      </w:r>
      <w:r>
        <w:rPr>
          <w:w w:val="100"/>
        </w:rPr>
        <w:t>、区分与资</w:t>
      </w:r>
      <w:r>
        <w:rPr>
          <w:spacing w:val="-3"/>
          <w:w w:val="100"/>
        </w:rPr>
        <w:t>产</w:t>
      </w:r>
      <w:r>
        <w:rPr>
          <w:w w:val="100"/>
        </w:rPr>
        <w:t>相关</w:t>
      </w:r>
      <w:r>
        <w:rPr>
          <w:spacing w:val="-3"/>
          <w:w w:val="100"/>
        </w:rPr>
        <w:t>政</w:t>
      </w:r>
      <w:r>
        <w:rPr>
          <w:w w:val="100"/>
        </w:rPr>
        <w:t>府补助和与收益相</w:t>
      </w:r>
      <w:r>
        <w:rPr>
          <w:spacing w:val="-3"/>
          <w:w w:val="100"/>
        </w:rPr>
        <w:t>关</w:t>
      </w:r>
      <w:r>
        <w:rPr>
          <w:w w:val="100"/>
        </w:rPr>
        <w:t>政</w:t>
      </w:r>
      <w:r>
        <w:rPr>
          <w:spacing w:val="-3"/>
          <w:w w:val="100"/>
        </w:rPr>
        <w:t>府</w:t>
      </w:r>
      <w:r>
        <w:rPr>
          <w:w w:val="100"/>
        </w:rPr>
        <w:t>补助的具体标准</w:t>
      </w:r>
      <w:r>
        <w:rPr>
          <w:b w:val="0"/>
          <w:bCs w:val="0"/>
          <w:w w:val="100"/>
        </w:rPr>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b/>
          <w:bCs/>
          <w:sz w:val="18"/>
          <w:szCs w:val="18"/>
        </w:rPr>
      </w:pPr>
    </w:p>
    <w:p>
      <w:pPr>
        <w:pStyle w:val="BodyText"/>
        <w:spacing w:line="355" w:lineRule="auto" w:before="36"/>
        <w:ind w:left="137" w:right="211" w:firstLine="420"/>
        <w:jc w:val="both"/>
      </w:pPr>
      <w:r>
        <w:rPr>
          <w:spacing w:val="-2"/>
        </w:rPr>
        <w:t>本公司取得的、用于购建或以其他方式形成长期资产的政府补助，确认为与资产相关的政府</w:t>
      </w:r>
      <w:r>
        <w:rPr>
          <w:w w:val="100"/>
        </w:rPr>
        <w:t> </w:t>
      </w:r>
      <w:r>
        <w:rPr/>
        <w:t>补助，除与资产相关的政府补助之外的政府补助，确认为与收益相关的政府补助。</w:t>
      </w:r>
    </w:p>
    <w:p>
      <w:pPr>
        <w:pStyle w:val="BodyText"/>
        <w:spacing w:line="240" w:lineRule="auto" w:before="32"/>
        <w:ind w:left="557" w:right="0"/>
        <w:jc w:val="left"/>
      </w:pPr>
      <w:r>
        <w:rPr>
          <w:w w:val="100"/>
        </w:rPr>
        <w:t>若政</w:t>
      </w:r>
      <w:r>
        <w:rPr>
          <w:spacing w:val="-3"/>
          <w:w w:val="100"/>
        </w:rPr>
        <w:t>府</w:t>
      </w:r>
      <w:r>
        <w:rPr>
          <w:w w:val="100"/>
        </w:rPr>
        <w:t>文</w:t>
      </w:r>
      <w:r>
        <w:rPr>
          <w:spacing w:val="-3"/>
          <w:w w:val="100"/>
        </w:rPr>
        <w:t>件</w:t>
      </w:r>
      <w:r>
        <w:rPr>
          <w:w w:val="100"/>
        </w:rPr>
        <w:t>未</w:t>
      </w:r>
      <w:r>
        <w:rPr>
          <w:spacing w:val="-3"/>
          <w:w w:val="100"/>
        </w:rPr>
        <w:t>明</w:t>
      </w:r>
      <w:r>
        <w:rPr>
          <w:w w:val="100"/>
        </w:rPr>
        <w:t>确</w:t>
      </w:r>
      <w:r>
        <w:rPr>
          <w:spacing w:val="-3"/>
          <w:w w:val="100"/>
        </w:rPr>
        <w:t>规</w:t>
      </w:r>
      <w:r>
        <w:rPr>
          <w:w w:val="100"/>
        </w:rPr>
        <w:t>定</w:t>
      </w:r>
      <w:r>
        <w:rPr>
          <w:spacing w:val="-3"/>
          <w:w w:val="100"/>
        </w:rPr>
        <w:t>补</w:t>
      </w:r>
      <w:r>
        <w:rPr>
          <w:w w:val="100"/>
        </w:rPr>
        <w:t>助对</w:t>
      </w:r>
      <w:r>
        <w:rPr>
          <w:spacing w:val="-3"/>
          <w:w w:val="100"/>
        </w:rPr>
        <w:t>象</w:t>
      </w:r>
      <w:r>
        <w:rPr>
          <w:spacing w:val="-94"/>
          <w:w w:val="100"/>
        </w:rPr>
        <w:t>，</w:t>
      </w:r>
      <w:r>
        <w:rPr>
          <w:w w:val="100"/>
        </w:rPr>
        <w:t>将</w:t>
      </w:r>
      <w:r>
        <w:rPr>
          <w:spacing w:val="-3"/>
          <w:w w:val="100"/>
        </w:rPr>
        <w:t>该</w:t>
      </w:r>
      <w:r>
        <w:rPr>
          <w:w w:val="100"/>
        </w:rPr>
        <w:t>政</w:t>
      </w:r>
      <w:r>
        <w:rPr>
          <w:spacing w:val="-3"/>
          <w:w w:val="100"/>
        </w:rPr>
        <w:t>府</w:t>
      </w:r>
      <w:r>
        <w:rPr>
          <w:w w:val="100"/>
        </w:rPr>
        <w:t>补</w:t>
      </w:r>
      <w:r>
        <w:rPr>
          <w:spacing w:val="-3"/>
          <w:w w:val="100"/>
        </w:rPr>
        <w:t>助</w:t>
      </w:r>
      <w:r>
        <w:rPr>
          <w:w w:val="100"/>
        </w:rPr>
        <w:t>划</w:t>
      </w:r>
      <w:r>
        <w:rPr>
          <w:spacing w:val="-3"/>
          <w:w w:val="100"/>
        </w:rPr>
        <w:t>分</w:t>
      </w:r>
      <w:r>
        <w:rPr>
          <w:w w:val="100"/>
        </w:rPr>
        <w:t>为与</w:t>
      </w:r>
      <w:r>
        <w:rPr>
          <w:spacing w:val="-3"/>
          <w:w w:val="100"/>
        </w:rPr>
        <w:t>资</w:t>
      </w:r>
      <w:r>
        <w:rPr>
          <w:w w:val="100"/>
        </w:rPr>
        <w:t>产</w:t>
      </w:r>
      <w:r>
        <w:rPr>
          <w:spacing w:val="-3"/>
          <w:w w:val="100"/>
        </w:rPr>
        <w:t>相</w:t>
      </w:r>
      <w:r>
        <w:rPr>
          <w:w w:val="100"/>
        </w:rPr>
        <w:t>关</w:t>
      </w:r>
      <w:r>
        <w:rPr>
          <w:spacing w:val="-3"/>
          <w:w w:val="100"/>
        </w:rPr>
        <w:t>或</w:t>
      </w:r>
      <w:r>
        <w:rPr>
          <w:w w:val="100"/>
        </w:rPr>
        <w:t>与</w:t>
      </w:r>
      <w:r>
        <w:rPr>
          <w:spacing w:val="-3"/>
          <w:w w:val="100"/>
        </w:rPr>
        <w:t>收</w:t>
      </w:r>
      <w:r>
        <w:rPr>
          <w:w w:val="100"/>
        </w:rPr>
        <w:t>益</w:t>
      </w:r>
      <w:r>
        <w:rPr>
          <w:spacing w:val="-3"/>
          <w:w w:val="100"/>
        </w:rPr>
        <w:t>相</w:t>
      </w:r>
      <w:r>
        <w:rPr>
          <w:w w:val="100"/>
        </w:rPr>
        <w:t>关的</w:t>
      </w:r>
      <w:r>
        <w:rPr>
          <w:spacing w:val="-3"/>
          <w:w w:val="100"/>
        </w:rPr>
        <w:t>判</w:t>
      </w:r>
      <w:r>
        <w:rPr>
          <w:w w:val="100"/>
        </w:rPr>
        <w:t>断</w:t>
      </w:r>
      <w:r>
        <w:rPr>
          <w:spacing w:val="-3"/>
          <w:w w:val="100"/>
        </w:rPr>
        <w:t>依据</w:t>
      </w:r>
      <w:r>
        <w:rPr>
          <w:w w:val="100"/>
        </w:rPr>
        <w:t>：</w:t>
      </w:r>
    </w:p>
    <w:p>
      <w:pPr>
        <w:pStyle w:val="BodyText"/>
        <w:spacing w:line="355" w:lineRule="auto" w:before="135"/>
        <w:ind w:left="137" w:right="209"/>
        <w:jc w:val="both"/>
      </w:pPr>
      <w:r>
        <w:rPr>
          <w:spacing w:val="-1"/>
        </w:rPr>
        <w:t>①政府文件明确了补助所针对的特定项目的，根据该特定项目的预算中将形成资产的支出金额和</w:t>
      </w:r>
      <w:r>
        <w:rPr>
          <w:spacing w:val="-55"/>
        </w:rPr>
        <w:t> </w:t>
      </w:r>
      <w:r>
        <w:rPr>
          <w:spacing w:val="-55"/>
        </w:rPr>
      </w:r>
      <w:r>
        <w:rPr>
          <w:spacing w:val="-1"/>
        </w:rPr>
        <w:t>计入费用的支出金额的相对比例进行划分，对该划分比例需在每个资产负债表日进行复核，必要</w:t>
      </w:r>
      <w:r>
        <w:rPr>
          <w:spacing w:val="-55"/>
        </w:rPr>
        <w:t> </w:t>
      </w:r>
      <w:r>
        <w:rPr>
          <w:spacing w:val="-55"/>
        </w:rPr>
      </w:r>
      <w:r>
        <w:rPr>
          <w:spacing w:val="-1"/>
        </w:rPr>
        <w:t>时进行变更；②政府文件中对用途仅作一般性表述，没有指明特定项目的，作为与收益相关的政</w:t>
      </w:r>
      <w:r>
        <w:rPr>
          <w:spacing w:val="-55"/>
        </w:rPr>
        <w:t> </w:t>
      </w:r>
      <w:r>
        <w:rPr>
          <w:spacing w:val="-55"/>
        </w:rPr>
      </w:r>
      <w:r>
        <w:rPr/>
        <w:t>府补助。</w:t>
      </w:r>
    </w:p>
    <w:p>
      <w:pPr>
        <w:spacing w:line="272" w:lineRule="exact" w:before="62"/>
        <w:ind w:left="557" w:right="105" w:hanging="420"/>
        <w:jc w:val="left"/>
        <w:rPr>
          <w:rFonts w:ascii="宋体" w:hAnsi="宋体" w:cs="宋体" w:eastAsia="宋体" w:hint="default"/>
          <w:sz w:val="21"/>
          <w:szCs w:val="21"/>
        </w:rPr>
      </w:pPr>
      <w:r>
        <w:rPr>
          <w:rFonts w:ascii="宋体" w:hAnsi="宋体" w:cs="宋体" w:eastAsia="宋体" w:hint="default"/>
          <w:b/>
          <w:bCs/>
          <w:spacing w:val="-9"/>
          <w:w w:val="100"/>
          <w:sz w:val="21"/>
          <w:szCs w:val="21"/>
        </w:rPr>
        <w:t>（</w:t>
      </w:r>
      <w:r>
        <w:rPr>
          <w:rFonts w:ascii="Times New Roman" w:hAnsi="Times New Roman" w:cs="Times New Roman" w:eastAsia="Times New Roman" w:hint="default"/>
          <w:b/>
          <w:bCs/>
          <w:spacing w:val="-9"/>
          <w:w w:val="100"/>
          <w:sz w:val="21"/>
          <w:szCs w:val="21"/>
        </w:rPr>
        <w:t>4</w:t>
      </w:r>
      <w:r>
        <w:rPr>
          <w:rFonts w:ascii="宋体" w:hAnsi="宋体" w:cs="宋体" w:eastAsia="宋体" w:hint="default"/>
          <w:b/>
          <w:bCs/>
          <w:spacing w:val="-9"/>
          <w:w w:val="100"/>
          <w:sz w:val="21"/>
          <w:szCs w:val="21"/>
        </w:rPr>
        <w:t>）、政府补助的确认时点</w:t>
      </w:r>
      <w:r>
        <w:rPr>
          <w:rFonts w:ascii="宋体" w:hAnsi="宋体" w:cs="宋体" w:eastAsia="宋体" w:hint="default"/>
          <w:b/>
          <w:bCs/>
          <w:spacing w:val="-104"/>
          <w:w w:val="100"/>
          <w:sz w:val="21"/>
          <w:szCs w:val="21"/>
        </w:rPr>
        <w:t> </w:t>
      </w:r>
      <w:r>
        <w:rPr>
          <w:rFonts w:ascii="宋体" w:hAnsi="宋体" w:cs="宋体" w:eastAsia="宋体" w:hint="default"/>
          <w:b/>
          <w:bCs/>
          <w:spacing w:val="-104"/>
          <w:w w:val="100"/>
          <w:sz w:val="21"/>
          <w:szCs w:val="21"/>
        </w:rPr>
      </w:r>
      <w:r>
        <w:rPr>
          <w:rFonts w:ascii="宋体" w:hAnsi="宋体" w:cs="宋体" w:eastAsia="宋体" w:hint="default"/>
          <w:spacing w:val="-2"/>
          <w:sz w:val="21"/>
          <w:szCs w:val="21"/>
        </w:rPr>
        <w:t>按照应收金额计量的政府补助，在期末有确凿证据表明能够符合财政扶持政策规定的相关条</w:t>
      </w:r>
    </w:p>
    <w:p>
      <w:pPr>
        <w:pStyle w:val="BodyText"/>
        <w:spacing w:line="355" w:lineRule="auto" w:before="109"/>
        <w:ind w:left="137" w:right="97"/>
        <w:jc w:val="left"/>
      </w:pPr>
      <w:r>
        <w:rPr>
          <w:spacing w:val="-4"/>
          <w:w w:val="100"/>
        </w:rPr>
        <w:t>件且预计能够收到财政扶持资金时予以确认。除按照应收金额计量的政府补助外的其他政府补助，</w:t>
      </w:r>
      <w:r>
        <w:rPr>
          <w:spacing w:val="-86"/>
          <w:w w:val="100"/>
        </w:rPr>
        <w:t> </w:t>
      </w:r>
      <w:r>
        <w:rPr>
          <w:spacing w:val="-86"/>
          <w:w w:val="100"/>
        </w:rPr>
      </w:r>
      <w:r>
        <w:rPr/>
        <w:t>在实际收到补助款项时予以确认。</w:t>
      </w:r>
    </w:p>
    <w:p>
      <w:pPr>
        <w:pStyle w:val="Heading3"/>
        <w:spacing w:line="281" w:lineRule="exact" w:before="34"/>
        <w:ind w:left="137" w:right="105"/>
        <w:jc w:val="left"/>
        <w:rPr>
          <w:b w:val="0"/>
          <w:bCs w:val="0"/>
        </w:rPr>
      </w:pPr>
      <w:r>
        <w:rPr>
          <w:spacing w:val="2"/>
          <w:w w:val="100"/>
        </w:rPr>
        <w:t>（</w:t>
      </w:r>
      <w:r>
        <w:rPr>
          <w:rFonts w:ascii="Times New Roman" w:hAnsi="Times New Roman" w:cs="Times New Roman" w:eastAsia="Times New Roman" w:hint="default"/>
          <w:spacing w:val="-3"/>
          <w:w w:val="100"/>
        </w:rPr>
        <w:t>5</w:t>
      </w:r>
      <w:r>
        <w:rPr>
          <w:spacing w:val="-106"/>
          <w:w w:val="100"/>
        </w:rPr>
        <w:t>）</w:t>
      </w:r>
      <w:r>
        <w:rPr>
          <w:w w:val="100"/>
        </w:rPr>
        <w:t>、政策性优</w:t>
      </w:r>
      <w:r>
        <w:rPr>
          <w:spacing w:val="-3"/>
          <w:w w:val="100"/>
        </w:rPr>
        <w:t>惠</w:t>
      </w:r>
      <w:r>
        <w:rPr>
          <w:w w:val="100"/>
        </w:rPr>
        <w:t>贷款</w:t>
      </w:r>
      <w:r>
        <w:rPr>
          <w:spacing w:val="-3"/>
          <w:w w:val="100"/>
        </w:rPr>
        <w:t>贴</w:t>
      </w:r>
      <w:r>
        <w:rPr>
          <w:w w:val="100"/>
        </w:rPr>
        <w:t>息的会计处理</w:t>
      </w:r>
      <w:r>
        <w:rPr>
          <w:b w:val="0"/>
          <w:bCs w:val="0"/>
          <w:w w:val="100"/>
        </w:rPr>
      </w:r>
    </w:p>
    <w:p>
      <w:pPr>
        <w:pStyle w:val="BodyText"/>
        <w:spacing w:line="357" w:lineRule="auto"/>
        <w:ind w:left="137" w:right="209" w:firstLine="420"/>
        <w:jc w:val="both"/>
      </w:pPr>
      <w:r>
        <w:rPr/>
        <w:t>①</w:t>
      </w:r>
      <w:r>
        <w:rPr>
          <w:spacing w:val="44"/>
        </w:rPr>
        <w:t> </w:t>
      </w:r>
      <w:r>
        <w:rPr>
          <w:spacing w:val="-4"/>
        </w:rPr>
        <w:t>财政将贴息资金拨付给贷款银行，由贷款银行以政策性优惠利率向本公司提供贷款的，本</w:t>
      </w:r>
      <w:r>
        <w:rPr>
          <w:w w:val="100"/>
        </w:rPr>
        <w:t> </w:t>
      </w:r>
      <w:r>
        <w:rPr>
          <w:spacing w:val="-1"/>
        </w:rPr>
        <w:t>公司以实际收到的借款金额作为借款的入账价值，按照借款本金和该政策性优惠利率计算相关借</w:t>
      </w:r>
      <w:r>
        <w:rPr>
          <w:spacing w:val="-55"/>
        </w:rPr>
        <w:t> </w:t>
      </w:r>
      <w:r>
        <w:rPr>
          <w:spacing w:val="-55"/>
        </w:rPr>
      </w:r>
      <w:r>
        <w:rPr/>
        <w:t>款费用。</w:t>
      </w:r>
    </w:p>
    <w:p>
      <w:pPr>
        <w:pStyle w:val="BodyText"/>
        <w:spacing w:line="240" w:lineRule="auto" w:before="30"/>
        <w:ind w:left="557" w:right="105"/>
        <w:jc w:val="left"/>
      </w:pPr>
      <w:r>
        <w:rPr/>
        <w:t>②</w:t>
      </w:r>
      <w:r>
        <w:rPr>
          <w:spacing w:val="-5"/>
        </w:rPr>
        <w:t> </w:t>
      </w:r>
      <w:r>
        <w:rPr/>
        <w:t>财政将贴息资金直接拨付给本公司的，本公司将对应的贴息冲减相关借款费用。</w:t>
      </w:r>
    </w:p>
    <w:p>
      <w:pPr>
        <w:spacing w:line="240" w:lineRule="auto" w:before="0"/>
        <w:rPr>
          <w:rFonts w:ascii="宋体" w:hAnsi="宋体" w:cs="宋体" w:eastAsia="宋体" w:hint="default"/>
          <w:sz w:val="20"/>
          <w:szCs w:val="20"/>
        </w:rPr>
      </w:pPr>
    </w:p>
    <w:p>
      <w:pPr>
        <w:pStyle w:val="Heading3"/>
        <w:spacing w:line="240" w:lineRule="auto" w:before="174"/>
        <w:ind w:left="137" w:right="105"/>
        <w:jc w:val="left"/>
        <w:rPr>
          <w:b w:val="0"/>
          <w:bCs w:val="0"/>
        </w:rPr>
      </w:pPr>
      <w:r>
        <w:rPr>
          <w:rFonts w:ascii="宋体" w:hAnsi="宋体" w:cs="宋体" w:eastAsia="宋体" w:hint="default"/>
        </w:rPr>
        <w:t>23.</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883" w:val="left" w:leader="none"/>
        </w:tabs>
        <w:spacing w:line="274" w:lineRule="exact" w:before="55"/>
        <w:ind w:left="557" w:right="21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4"/>
        </w:rPr>
        <w:t>1</w:t>
      </w:r>
      <w:r>
        <w:rPr>
          <w:spacing w:val="-4"/>
        </w:rPr>
        <w:t>、根据资产、负债的账面价值与其计税基础之间的差额（未作为资产和负债确认的项目按照</w:t>
      </w:r>
    </w:p>
    <w:p>
      <w:pPr>
        <w:pStyle w:val="BodyText"/>
        <w:spacing w:line="355" w:lineRule="auto" w:before="108"/>
        <w:ind w:left="137" w:right="205"/>
        <w:jc w:val="left"/>
      </w:pPr>
      <w:r>
        <w:rPr>
          <w:spacing w:val="-6"/>
          <w:w w:val="100"/>
        </w:rPr>
        <w:t>税法规定可以确定其计税基础的，确定该计税基础为其差额），按照预期收回该资产或清偿该负债</w:t>
      </w:r>
      <w:r>
        <w:rPr>
          <w:spacing w:val="-104"/>
          <w:w w:val="100"/>
        </w:rPr>
        <w:t> </w:t>
      </w:r>
      <w:r>
        <w:rPr>
          <w:spacing w:val="-104"/>
          <w:w w:val="100"/>
        </w:rPr>
      </w:r>
      <w:r>
        <w:rPr/>
        <w:t>期间的适用税率计算确认递延所得税资产或递延所得税负债。</w:t>
      </w:r>
    </w:p>
    <w:p>
      <w:pPr>
        <w:pStyle w:val="BodyText"/>
        <w:spacing w:line="350" w:lineRule="auto" w:before="32"/>
        <w:ind w:left="137" w:right="208" w:firstLine="420"/>
        <w:jc w:val="both"/>
      </w:pPr>
      <w:r>
        <w:rPr>
          <w:rFonts w:ascii="Times New Roman" w:hAnsi="Times New Roman" w:cs="Times New Roman" w:eastAsia="Times New Roman" w:hint="default"/>
          <w:spacing w:val="-4"/>
        </w:rPr>
        <w:t>2</w:t>
      </w:r>
      <w:r>
        <w:rPr>
          <w:spacing w:val="-4"/>
        </w:rPr>
        <w:t>、递延所得税资产的确认以很可能取得用来抵扣可抵扣暂时性差异的应纳税所得额为限。资</w:t>
      </w:r>
      <w:r>
        <w:rPr>
          <w:w w:val="100"/>
        </w:rPr>
        <w:t> </w:t>
      </w:r>
      <w:r>
        <w:rPr>
          <w:spacing w:val="-1"/>
        </w:rPr>
        <w:t>产负债表日，有确凿证据表明未来期间很可能获得足够的应纳税所得额用来抵扣可抵扣暂时性差</w:t>
      </w:r>
      <w:r>
        <w:rPr>
          <w:spacing w:val="-55"/>
        </w:rPr>
        <w:t> </w:t>
      </w:r>
      <w:r>
        <w:rPr>
          <w:spacing w:val="-55"/>
        </w:rPr>
      </w:r>
      <w:r>
        <w:rPr>
          <w:spacing w:val="-1"/>
        </w:rPr>
        <w:t>异的，确认以前会计期间未确认的递延所得税资产。如未来期间很可能无法获得足够的应纳税所</w:t>
      </w:r>
      <w:r>
        <w:rPr>
          <w:spacing w:val="-55"/>
        </w:rPr>
        <w:t> </w:t>
      </w:r>
      <w:r>
        <w:rPr>
          <w:spacing w:val="-55"/>
        </w:rPr>
      </w:r>
      <w:r>
        <w:rPr/>
        <w:t>得额用以抵扣递延所得税资产的，则减记递延所得税资产的账面价值。</w:t>
      </w:r>
    </w:p>
    <w:p>
      <w:pPr>
        <w:pStyle w:val="BodyText"/>
        <w:spacing w:line="350" w:lineRule="auto" w:before="37"/>
        <w:ind w:left="137" w:right="209" w:firstLine="420"/>
        <w:jc w:val="both"/>
      </w:pPr>
      <w:r>
        <w:rPr>
          <w:rFonts w:ascii="Times New Roman" w:hAnsi="Times New Roman" w:cs="Times New Roman" w:eastAsia="Times New Roman" w:hint="default"/>
          <w:spacing w:val="-4"/>
        </w:rPr>
        <w:t>3</w:t>
      </w:r>
      <w:r>
        <w:rPr>
          <w:spacing w:val="-4"/>
        </w:rPr>
        <w:t>、对与子公司及联营企业投资相关的应纳税暂时性差异，确认递延所得税负债，除非本公司</w:t>
      </w:r>
      <w:r>
        <w:rPr>
          <w:w w:val="100"/>
        </w:rPr>
        <w:t> </w:t>
      </w:r>
      <w:r>
        <w:rPr>
          <w:spacing w:val="-1"/>
        </w:rPr>
        <w:t>能够控制暂时性差异转回的时间且该暂时性差异在可预见的未来很可能不会转回。对与子公司及</w:t>
      </w:r>
      <w:r>
        <w:rPr>
          <w:spacing w:val="-55"/>
        </w:rPr>
        <w:t> </w:t>
      </w:r>
      <w:r>
        <w:rPr>
          <w:spacing w:val="-55"/>
        </w:rPr>
      </w:r>
      <w:r>
        <w:rPr>
          <w:spacing w:val="-1"/>
        </w:rPr>
        <w:t>联营企业投资相关的可抵扣暂时性差异，当该暂时性差异在可预见的未来很可能转回且未来很可</w:t>
      </w:r>
      <w:r>
        <w:rPr>
          <w:spacing w:val="-55"/>
        </w:rPr>
        <w:t> </w:t>
      </w:r>
      <w:r>
        <w:rPr>
          <w:spacing w:val="-55"/>
        </w:rPr>
      </w:r>
      <w:r>
        <w:rPr/>
        <w:t>能获得用来抵扣可抵扣暂时性差异的应纳税所得额时，确认递延所得税资产。</w:t>
      </w:r>
    </w:p>
    <w:p>
      <w:pPr>
        <w:spacing w:line="240" w:lineRule="auto" w:before="12"/>
        <w:rPr>
          <w:rFonts w:ascii="宋体" w:hAnsi="宋体" w:cs="宋体" w:eastAsia="宋体" w:hint="default"/>
          <w:sz w:val="25"/>
          <w:szCs w:val="25"/>
        </w:rPr>
      </w:pPr>
    </w:p>
    <w:p>
      <w:pPr>
        <w:pStyle w:val="Heading3"/>
        <w:spacing w:line="290" w:lineRule="auto" w:before="0"/>
        <w:ind w:left="137" w:right="6182"/>
        <w:jc w:val="left"/>
        <w:rPr>
          <w:b w:val="0"/>
          <w:bCs w:val="0"/>
        </w:rPr>
      </w:pPr>
      <w:r>
        <w:rPr>
          <w:rFonts w:ascii="宋体" w:hAnsi="宋体" w:cs="宋体" w:eastAsia="宋体" w:hint="default"/>
        </w:rPr>
        <w:t>24.</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883" w:val="left" w:leader="none"/>
        </w:tabs>
        <w:spacing w:line="274" w:lineRule="exact" w:before="38"/>
        <w:ind w:left="557" w:right="169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经营租赁的租金支出在租赁期内按照直线法计入相关资产成本或当期损益。</w:t>
      </w:r>
    </w:p>
    <w:p>
      <w:pPr>
        <w:spacing w:after="0" w:line="274"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(2)</w:t>
      </w:r>
      <w:r>
        <w:rPr/>
        <w:t>、融资租赁的会计处理方法</w:t>
      </w:r>
      <w:r>
        <w:rPr>
          <w:b w:val="0"/>
          <w:bCs w:val="0"/>
        </w:rPr>
      </w:r>
    </w:p>
    <w:p>
      <w:pPr>
        <w:pStyle w:val="BodyText"/>
        <w:tabs>
          <w:tab w:pos="963" w:val="left" w:leader="none"/>
        </w:tabs>
        <w:spacing w:line="274" w:lineRule="exact" w:before="82"/>
        <w:ind w:left="637" w:right="2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以租赁资产的公允价值与最低租赁付款额的现值两者中较低者作为租入资产的入账价值，租</w:t>
      </w:r>
    </w:p>
    <w:p>
      <w:pPr>
        <w:pStyle w:val="BodyText"/>
        <w:spacing w:line="355" w:lineRule="auto" w:before="108"/>
        <w:ind w:left="217" w:right="227"/>
        <w:jc w:val="left"/>
      </w:pPr>
      <w:r>
        <w:rPr>
          <w:spacing w:val="-1"/>
        </w:rPr>
        <w:t>入资产的入账价值与最低租赁付款额之间的差额作为未确认融资费用，在租赁期内按实际利率法</w:t>
      </w:r>
      <w:r>
        <w:rPr>
          <w:spacing w:val="-55"/>
        </w:rPr>
        <w:t> </w:t>
      </w:r>
      <w:r>
        <w:rPr>
          <w:spacing w:val="-55"/>
        </w:rPr>
      </w:r>
      <w:r>
        <w:rPr/>
        <w:t>摊销。最低租赁付款额扣除未确认融资费用后的余额作为长期应付款列示。</w:t>
      </w:r>
    </w:p>
    <w:p>
      <w:pPr>
        <w:spacing w:line="240" w:lineRule="auto" w:before="8"/>
        <w:rPr>
          <w:rFonts w:ascii="宋体" w:hAnsi="宋体" w:cs="宋体" w:eastAsia="宋体" w:hint="default"/>
          <w:sz w:val="25"/>
          <w:szCs w:val="25"/>
        </w:rPr>
      </w:pPr>
    </w:p>
    <w:p>
      <w:pPr>
        <w:pStyle w:val="Heading3"/>
        <w:spacing w:line="290" w:lineRule="auto" w:before="0"/>
        <w:ind w:right="5675"/>
        <w:jc w:val="left"/>
        <w:rPr>
          <w:b w:val="0"/>
          <w:bCs w:val="0"/>
        </w:rPr>
      </w:pPr>
      <w:r>
        <w:rPr>
          <w:rFonts w:ascii="宋体" w:hAnsi="宋体" w:cs="宋体" w:eastAsia="宋体" w:hint="default"/>
        </w:rPr>
        <w:t>25.</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1246"/>
        <w:gridCol w:w="602"/>
        <w:gridCol w:w="691"/>
        <w:gridCol w:w="1549"/>
        <w:gridCol w:w="1548"/>
        <w:gridCol w:w="1387"/>
        <w:gridCol w:w="1001"/>
        <w:gridCol w:w="1025"/>
      </w:tblGrid>
      <w:tr>
        <w:trPr>
          <w:trHeight w:val="117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68" w:right="165"/>
              <w:jc w:val="center"/>
              <w:rPr>
                <w:rFonts w:ascii="宋体" w:hAnsi="宋体" w:cs="宋体" w:eastAsia="宋体" w:hint="default"/>
                <w:sz w:val="18"/>
                <w:szCs w:val="18"/>
              </w:rPr>
            </w:pPr>
            <w:r>
              <w:rPr>
                <w:rFonts w:ascii="宋体" w:hAnsi="宋体" w:cs="宋体" w:eastAsia="宋体" w:hint="default"/>
                <w:sz w:val="18"/>
                <w:szCs w:val="18"/>
              </w:rPr>
              <w:t>会计政策变 更的内容和 原因</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5" w:right="115"/>
              <w:jc w:val="left"/>
              <w:rPr>
                <w:rFonts w:ascii="宋体" w:hAnsi="宋体" w:cs="宋体" w:eastAsia="宋体" w:hint="default"/>
                <w:sz w:val="18"/>
                <w:szCs w:val="18"/>
              </w:rPr>
            </w:pPr>
            <w:r>
              <w:rPr>
                <w:rFonts w:ascii="宋体" w:hAnsi="宋体" w:cs="宋体" w:eastAsia="宋体" w:hint="default"/>
                <w:sz w:val="18"/>
                <w:szCs w:val="18"/>
              </w:rPr>
              <w:t>审批 程序</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58" w:right="161"/>
              <w:jc w:val="both"/>
              <w:rPr>
                <w:rFonts w:ascii="宋体" w:hAnsi="宋体" w:cs="宋体" w:eastAsia="宋体" w:hint="default"/>
                <w:sz w:val="18"/>
                <w:szCs w:val="18"/>
              </w:rPr>
            </w:pPr>
            <w:r>
              <w:rPr>
                <w:rFonts w:ascii="宋体" w:hAnsi="宋体" w:cs="宋体" w:eastAsia="宋体" w:hint="default"/>
                <w:sz w:val="18"/>
                <w:szCs w:val="18"/>
              </w:rPr>
              <w:t>受影 响的 报表 名称</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7" w:right="139" w:hanging="180"/>
              <w:jc w:val="left"/>
              <w:rPr>
                <w:rFonts w:ascii="宋体" w:hAnsi="宋体" w:cs="宋体" w:eastAsia="宋体" w:hint="default"/>
                <w:sz w:val="18"/>
                <w:szCs w:val="18"/>
              </w:rPr>
            </w:pPr>
            <w:r>
              <w:rPr>
                <w:rFonts w:ascii="宋体" w:hAnsi="宋体" w:cs="宋体" w:eastAsia="宋体" w:hint="default"/>
                <w:sz w:val="18"/>
                <w:szCs w:val="18"/>
              </w:rPr>
              <w:t>本期受影响的报 表项目金额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48" w:right="146"/>
              <w:jc w:val="center"/>
              <w:rPr>
                <w:rFonts w:ascii="宋体" w:hAnsi="宋体" w:cs="宋体" w:eastAsia="宋体" w:hint="default"/>
                <w:sz w:val="18"/>
                <w:szCs w:val="18"/>
              </w:rPr>
            </w:pPr>
            <w:r>
              <w:rPr>
                <w:rFonts w:ascii="宋体" w:hAnsi="宋体" w:cs="宋体" w:eastAsia="宋体" w:hint="default"/>
                <w:sz w:val="18"/>
                <w:szCs w:val="18"/>
              </w:rPr>
              <w:t>上期列报在营 业外收入的金 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31" w:right="137"/>
              <w:jc w:val="center"/>
              <w:rPr>
                <w:rFonts w:ascii="宋体" w:hAnsi="宋体" w:cs="宋体" w:eastAsia="宋体" w:hint="default"/>
                <w:sz w:val="18"/>
                <w:szCs w:val="18"/>
              </w:rPr>
            </w:pPr>
            <w:r>
              <w:rPr>
                <w:rFonts w:ascii="宋体" w:hAnsi="宋体" w:cs="宋体" w:eastAsia="宋体" w:hint="default"/>
                <w:sz w:val="18"/>
                <w:szCs w:val="18"/>
              </w:rPr>
              <w:t>上期列报 在营业外 支出的金 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w:t>
            </w:r>
            <w:r>
              <w:rPr>
                <w:rFonts w:ascii="宋体" w:hAnsi="宋体" w:cs="宋体" w:eastAsia="宋体" w:hint="default"/>
                <w:sz w:val="18"/>
                <w:szCs w:val="18"/>
              </w:rPr>
              <w:t>受重</w:t>
            </w:r>
          </w:p>
          <w:p>
            <w:pPr>
              <w:pStyle w:val="TableParagraph"/>
              <w:spacing w:line="232" w:lineRule="exact" w:before="24"/>
              <w:ind w:left="148" w:right="144"/>
              <w:jc w:val="center"/>
              <w:rPr>
                <w:rFonts w:ascii="宋体" w:hAnsi="宋体" w:cs="宋体" w:eastAsia="宋体" w:hint="default"/>
                <w:sz w:val="18"/>
                <w:szCs w:val="18"/>
              </w:rPr>
            </w:pPr>
            <w:r>
              <w:rPr>
                <w:rFonts w:ascii="宋体" w:hAnsi="宋体" w:cs="宋体" w:eastAsia="宋体" w:hint="default"/>
                <w:sz w:val="18"/>
                <w:szCs w:val="18"/>
              </w:rPr>
              <w:t>要影响的 报表项目 名称和金 额</w:t>
            </w:r>
            <w:r>
              <w:rPr>
                <w:rFonts w:ascii="宋体" w:hAnsi="宋体" w:cs="宋体" w:eastAsia="宋体" w:hint="default"/>
                <w:sz w:val="18"/>
                <w:szCs w:val="18"/>
              </w:rPr>
              <w:t>)</w:t>
            </w:r>
          </w:p>
        </w:tc>
      </w:tr>
      <w:tr>
        <w:trPr>
          <w:trHeight w:val="117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在利润表</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中分别列示 持续经营损 益和终止经 营损益</w:t>
            </w:r>
          </w:p>
        </w:tc>
        <w:tc>
          <w:tcPr>
            <w:tcW w:w="60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终止</w:t>
            </w:r>
          </w:p>
          <w:p>
            <w:pPr>
              <w:pStyle w:val="TableParagraph"/>
              <w:spacing w:line="237" w:lineRule="auto"/>
              <w:ind w:left="100" w:right="218"/>
              <w:jc w:val="both"/>
              <w:rPr>
                <w:rFonts w:ascii="宋体" w:hAnsi="宋体" w:cs="宋体" w:eastAsia="宋体" w:hint="default"/>
                <w:sz w:val="18"/>
                <w:szCs w:val="18"/>
              </w:rPr>
            </w:pPr>
            <w:r>
              <w:rPr>
                <w:rFonts w:ascii="宋体" w:hAnsi="宋体" w:cs="宋体" w:eastAsia="宋体" w:hint="default"/>
                <w:sz w:val="18"/>
                <w:szCs w:val="18"/>
              </w:rPr>
              <w:t>经营 净利 润</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734.83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-513,887.33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与本公司</w:t>
            </w:r>
          </w:p>
          <w:p>
            <w:pPr>
              <w:pStyle w:val="TableParagraph"/>
              <w:spacing w:line="237" w:lineRule="auto" w:before="2"/>
              <w:ind w:left="103" w:right="230"/>
              <w:jc w:val="both"/>
              <w:rPr>
                <w:rFonts w:ascii="宋体" w:hAnsi="宋体" w:cs="宋体" w:eastAsia="宋体" w:hint="default"/>
                <w:sz w:val="18"/>
                <w:szCs w:val="18"/>
              </w:rPr>
            </w:pPr>
            <w:r>
              <w:rPr>
                <w:rFonts w:ascii="宋体" w:hAnsi="宋体" w:cs="宋体" w:eastAsia="宋体" w:hint="default"/>
                <w:sz w:val="18"/>
                <w:szCs w:val="18"/>
              </w:rPr>
              <w:t>日常活动相 关的政府补 助计入其他 收益</w:t>
            </w:r>
          </w:p>
        </w:tc>
        <w:tc>
          <w:tcPr>
            <w:tcW w:w="60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14,442,489.30</w:t>
            </w:r>
          </w:p>
        </w:tc>
        <w:tc>
          <w:tcPr>
            <w:tcW w:w="154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17,222,233.39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资产处置</w:t>
            </w:r>
          </w:p>
          <w:p>
            <w:pPr>
              <w:pStyle w:val="TableParagraph"/>
              <w:spacing w:line="232" w:lineRule="exact" w:before="23"/>
              <w:ind w:left="103" w:right="230"/>
              <w:jc w:val="left"/>
              <w:rPr>
                <w:rFonts w:ascii="宋体" w:hAnsi="宋体" w:cs="宋体" w:eastAsia="宋体" w:hint="default"/>
                <w:sz w:val="18"/>
                <w:szCs w:val="18"/>
              </w:rPr>
            </w:pPr>
            <w:r>
              <w:rPr>
                <w:rFonts w:ascii="宋体" w:hAnsi="宋体" w:cs="宋体" w:eastAsia="宋体" w:hint="default"/>
                <w:sz w:val="18"/>
                <w:szCs w:val="18"/>
              </w:rPr>
              <w:t>损益列报调 整</w:t>
            </w:r>
          </w:p>
        </w:tc>
        <w:tc>
          <w:tcPr>
            <w:tcW w:w="60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2" w:lineRule="exact" w:before="23"/>
              <w:ind w:left="100" w:right="218"/>
              <w:jc w:val="left"/>
              <w:rPr>
                <w:rFonts w:ascii="宋体" w:hAnsi="宋体" w:cs="宋体" w:eastAsia="宋体" w:hint="default"/>
                <w:sz w:val="18"/>
                <w:szCs w:val="18"/>
              </w:rPr>
            </w:pPr>
            <w:r>
              <w:rPr>
                <w:rFonts w:ascii="宋体" w:hAnsi="宋体" w:cs="宋体" w:eastAsia="宋体" w:hint="default"/>
                <w:sz w:val="18"/>
                <w:szCs w:val="18"/>
              </w:rPr>
              <w:t>处置 收益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1,097,362.04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110,275.84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7" w:right="2465"/>
        <w:jc w:val="left"/>
      </w:pPr>
      <w:r>
        <w:rPr/>
        <w:t>其他说明</w:t>
      </w:r>
    </w:p>
    <w:p>
      <w:pPr>
        <w:pStyle w:val="BodyText"/>
        <w:spacing w:line="289" w:lineRule="exact"/>
        <w:ind w:left="637" w:right="0"/>
        <w:jc w:val="left"/>
      </w:pPr>
      <w:r>
        <w:rPr/>
        <w:t>财政部于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年度发布了《企业会计准则第</w:t>
      </w:r>
      <w:r>
        <w:rPr>
          <w:spacing w:val="-51"/>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持有待售的非流动资产、处置组和终</w:t>
      </w:r>
    </w:p>
    <w:p>
      <w:pPr>
        <w:pStyle w:val="BodyText"/>
        <w:spacing w:line="338" w:lineRule="auto" w:before="117"/>
        <w:ind w:left="217" w:right="227"/>
        <w:jc w:val="left"/>
      </w:pPr>
      <w:r>
        <w:rPr>
          <w:spacing w:val="-24"/>
          <w:w w:val="100"/>
        </w:rPr>
        <w:t>止经营》，自</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28</w:t>
      </w:r>
      <w:r>
        <w:rPr>
          <w:rFonts w:ascii="Times New Roman" w:hAnsi="Times New Roman" w:cs="Times New Roman" w:eastAsia="Times New Roman" w:hint="default"/>
          <w:spacing w:val="2"/>
          <w:w w:val="100"/>
        </w:rPr>
        <w:t> </w:t>
      </w:r>
      <w:r>
        <w:rPr>
          <w:spacing w:val="-4"/>
          <w:w w:val="100"/>
        </w:rPr>
        <w:t>日起施行，对于施行日存在的持有待售的非流动资产、处置组和终止</w:t>
      </w:r>
      <w:r>
        <w:rPr>
          <w:w w:val="100"/>
        </w:rPr>
        <w:t> </w:t>
      </w:r>
      <w:r>
        <w:rPr/>
        <w:t>经营，要求采用未来适用法处理。</w:t>
      </w:r>
    </w:p>
    <w:p>
      <w:pPr>
        <w:pStyle w:val="BodyText"/>
        <w:spacing w:line="240" w:lineRule="auto" w:before="47"/>
        <w:ind w:left="637" w:right="0"/>
        <w:jc w:val="left"/>
      </w:pPr>
      <w:r>
        <w:rPr>
          <w:w w:val="100"/>
        </w:rPr>
        <w:t>财政</w:t>
      </w:r>
      <w:r>
        <w:rPr>
          <w:spacing w:val="-3"/>
          <w:w w:val="100"/>
        </w:rPr>
        <w:t>部</w:t>
      </w:r>
      <w:r>
        <w:rPr>
          <w:w w:val="100"/>
        </w:rPr>
        <w:t>于</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3"/>
          <w:w w:val="100"/>
        </w:rPr>
        <w:t>度</w:t>
      </w:r>
      <w:r>
        <w:rPr>
          <w:w w:val="100"/>
        </w:rPr>
        <w:t>修</w:t>
      </w:r>
      <w:r>
        <w:rPr>
          <w:spacing w:val="-3"/>
          <w:w w:val="100"/>
        </w:rPr>
        <w:t>订了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rPr>
        <w:t> </w:t>
      </w:r>
      <w:r>
        <w:rPr>
          <w:spacing w:val="-3"/>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w w:val="100"/>
        </w:rPr>
        <w:t>政</w:t>
      </w:r>
      <w:r>
        <w:rPr>
          <w:spacing w:val="-3"/>
          <w:w w:val="100"/>
        </w:rPr>
        <w:t>府</w:t>
      </w:r>
      <w:r>
        <w:rPr>
          <w:w w:val="100"/>
        </w:rPr>
        <w:t>补</w:t>
      </w:r>
      <w:r>
        <w:rPr>
          <w:spacing w:val="-3"/>
          <w:w w:val="100"/>
        </w:rPr>
        <w:t>助</w:t>
      </w:r>
      <w:r>
        <w:rPr>
          <w:spacing w:val="-106"/>
          <w:w w:val="100"/>
        </w:rPr>
        <w:t>》</w:t>
      </w:r>
      <w:r>
        <w:rPr>
          <w:spacing w:val="-3"/>
          <w:w w:val="100"/>
        </w:rPr>
        <w:t>，</w:t>
      </w:r>
      <w:r>
        <w:rPr>
          <w:w w:val="100"/>
        </w:rPr>
        <w:t>修</w:t>
      </w:r>
      <w:r>
        <w:rPr>
          <w:spacing w:val="-3"/>
          <w:w w:val="100"/>
        </w:rPr>
        <w:t>订</w:t>
      </w:r>
      <w:r>
        <w:rPr>
          <w:w w:val="100"/>
        </w:rPr>
        <w:t>后</w:t>
      </w:r>
      <w:r>
        <w:rPr>
          <w:spacing w:val="-3"/>
          <w:w w:val="100"/>
        </w:rPr>
        <w:t>的准</w:t>
      </w:r>
      <w:r>
        <w:rPr>
          <w:w w:val="100"/>
        </w:rPr>
        <w:t>则自</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p>
    <w:p>
      <w:pPr>
        <w:pStyle w:val="BodyText"/>
        <w:spacing w:line="240" w:lineRule="auto" w:before="118"/>
        <w:ind w:left="217" w:right="0"/>
        <w:jc w:val="left"/>
        <w:rPr>
          <w:rFonts w:ascii="Times New Roman" w:hAnsi="Times New Roman" w:cs="Times New Roman" w:eastAsia="Times New Roman" w:hint="default"/>
        </w:rPr>
      </w:pPr>
      <w:r>
        <w:rPr>
          <w:rFonts w:ascii="Times New Roman" w:hAnsi="Times New Roman" w:cs="Times New Roman" w:eastAsia="Times New Roman" w:hint="default"/>
        </w:rPr>
        <w:t>6 </w:t>
      </w:r>
      <w:r>
        <w:rPr/>
        <w:t>月</w:t>
      </w:r>
      <w:r>
        <w:rPr>
          <w:spacing w:val="-53"/>
        </w:rPr>
        <w:t> </w:t>
      </w:r>
      <w:r>
        <w:rPr>
          <w:rFonts w:ascii="Times New Roman" w:hAnsi="Times New Roman" w:cs="Times New Roman" w:eastAsia="Times New Roman" w:hint="default"/>
        </w:rPr>
        <w:t>12 </w:t>
      </w:r>
      <w:r>
        <w:rPr/>
        <w:t>日起施行，对于</w:t>
      </w:r>
      <w:r>
        <w:rPr>
          <w:spacing w:val="-53"/>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日存在的政府补助，要求采用未来适用法处理；对于</w:t>
      </w:r>
      <w:r>
        <w:rPr>
          <w:spacing w:val="-52"/>
        </w:rPr>
        <w:t> </w:t>
      </w:r>
      <w:r>
        <w:rPr>
          <w:rFonts w:ascii="Times New Roman" w:hAnsi="Times New Roman" w:cs="Times New Roman" w:eastAsia="Times New Roman" w:hint="default"/>
        </w:rPr>
        <w:t>2017</w:t>
      </w:r>
    </w:p>
    <w:p>
      <w:pPr>
        <w:pStyle w:val="BodyText"/>
        <w:spacing w:line="240" w:lineRule="auto" w:before="117"/>
        <w:ind w:left="217" w:right="227"/>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日至施行日新增的政府补助，也要求按照修订后的准则进行调整。</w:t>
      </w:r>
    </w:p>
    <w:p>
      <w:pPr>
        <w:pStyle w:val="BodyText"/>
        <w:spacing w:line="240" w:lineRule="auto" w:before="119"/>
        <w:ind w:left="637" w:right="0"/>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3"/>
          <w:w w:val="100"/>
        </w:rPr>
        <w:t>度</w:t>
      </w:r>
      <w:r>
        <w:rPr>
          <w:w w:val="100"/>
        </w:rPr>
        <w:t>发</w:t>
      </w:r>
      <w:r>
        <w:rPr>
          <w:spacing w:val="-3"/>
          <w:w w:val="100"/>
        </w:rPr>
        <w:t>布</w:t>
      </w:r>
      <w:r>
        <w:rPr>
          <w:spacing w:val="-104"/>
          <w:w w:val="100"/>
        </w:rPr>
        <w:t>了</w:t>
      </w:r>
      <w:r>
        <w:rPr>
          <w:w w:val="100"/>
        </w:rPr>
        <w:t>《财</w:t>
      </w:r>
      <w:r>
        <w:rPr>
          <w:spacing w:val="-3"/>
          <w:w w:val="100"/>
        </w:rPr>
        <w:t>政</w:t>
      </w:r>
      <w:r>
        <w:rPr>
          <w:w w:val="100"/>
        </w:rPr>
        <w:t>部</w:t>
      </w:r>
      <w:r>
        <w:rPr>
          <w:spacing w:val="-3"/>
          <w:w w:val="100"/>
        </w:rPr>
        <w:t>关</w:t>
      </w:r>
      <w:r>
        <w:rPr>
          <w:w w:val="100"/>
        </w:rPr>
        <w:t>于</w:t>
      </w:r>
      <w:r>
        <w:rPr>
          <w:spacing w:val="-3"/>
          <w:w w:val="100"/>
        </w:rPr>
        <w:t>修</w:t>
      </w:r>
      <w:r>
        <w:rPr>
          <w:w w:val="100"/>
        </w:rPr>
        <w:t>订</w:t>
      </w:r>
      <w:r>
        <w:rPr>
          <w:spacing w:val="-3"/>
          <w:w w:val="100"/>
        </w:rPr>
        <w:t>印</w:t>
      </w:r>
      <w:r>
        <w:rPr>
          <w:w w:val="100"/>
        </w:rPr>
        <w:t>发</w:t>
      </w:r>
      <w:r>
        <w:rPr>
          <w:spacing w:val="-3"/>
          <w:w w:val="100"/>
        </w:rPr>
        <w:t>一般</w:t>
      </w:r>
      <w:r>
        <w:rPr>
          <w:w w:val="100"/>
        </w:rPr>
        <w:t>企业</w:t>
      </w:r>
      <w:r>
        <w:rPr>
          <w:spacing w:val="-3"/>
          <w:w w:val="100"/>
        </w:rPr>
        <w:t>财</w:t>
      </w:r>
      <w:r>
        <w:rPr>
          <w:w w:val="100"/>
        </w:rPr>
        <w:t>务</w:t>
      </w:r>
      <w:r>
        <w:rPr>
          <w:spacing w:val="-3"/>
          <w:w w:val="100"/>
        </w:rPr>
        <w:t>报</w:t>
      </w:r>
      <w:r>
        <w:rPr>
          <w:w w:val="100"/>
        </w:rPr>
        <w:t>表</w:t>
      </w:r>
      <w:r>
        <w:rPr>
          <w:spacing w:val="-3"/>
          <w:w w:val="100"/>
        </w:rPr>
        <w:t>格</w:t>
      </w:r>
      <w:r>
        <w:rPr>
          <w:w w:val="100"/>
        </w:rPr>
        <w:t>式</w:t>
      </w:r>
      <w:r>
        <w:rPr>
          <w:spacing w:val="-3"/>
          <w:w w:val="100"/>
        </w:rPr>
        <w:t>的</w:t>
      </w:r>
      <w:r>
        <w:rPr>
          <w:w w:val="100"/>
        </w:rPr>
        <w:t>通</w:t>
      </w:r>
      <w:r>
        <w:rPr>
          <w:spacing w:val="-3"/>
          <w:w w:val="100"/>
        </w:rPr>
        <w:t>知</w:t>
      </w:r>
      <w:r>
        <w:rPr>
          <w:spacing w:val="-209"/>
          <w:w w:val="100"/>
        </w:rPr>
        <w:t>》</w:t>
      </w:r>
      <w:r>
        <w:rPr>
          <w:w w:val="100"/>
        </w:rPr>
        <w:t>（财</w:t>
      </w:r>
      <w:r>
        <w:rPr>
          <w:spacing w:val="-104"/>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w w:val="100"/>
        </w:rPr>
        <w:t>〕</w:t>
      </w:r>
    </w:p>
    <w:p>
      <w:pPr>
        <w:pStyle w:val="BodyText"/>
        <w:spacing w:line="336" w:lineRule="auto" w:before="117"/>
        <w:ind w:left="217" w:right="227"/>
        <w:jc w:val="left"/>
      </w:pPr>
      <w:r>
        <w:rPr>
          <w:rFonts w:ascii="Times New Roman" w:hAnsi="Times New Roman" w:cs="Times New Roman" w:eastAsia="Times New Roman" w:hint="default"/>
          <w:w w:val="100"/>
        </w:rPr>
        <w:t>30</w:t>
      </w:r>
      <w:r>
        <w:rPr>
          <w:rFonts w:ascii="Times New Roman" w:hAnsi="Times New Roman" w:cs="Times New Roman" w:eastAsia="Times New Roman" w:hint="default"/>
          <w:spacing w:val="10"/>
          <w:w w:val="100"/>
        </w:rPr>
        <w:t> </w:t>
      </w:r>
      <w:r>
        <w:rPr>
          <w:spacing w:val="-7"/>
          <w:w w:val="100"/>
        </w:rPr>
        <w:t>号），执行企业会计准则的企业应按照企业会计准则和该通知要求编制</w:t>
      </w:r>
      <w:r>
        <w:rPr>
          <w:spacing w:val="-4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7"/>
          <w:w w:val="100"/>
        </w:rPr>
        <w:t> </w:t>
      </w:r>
      <w:r>
        <w:rPr>
          <w:spacing w:val="-2"/>
          <w:w w:val="100"/>
        </w:rPr>
        <w:t>年度及以后期间的</w:t>
      </w:r>
      <w:r>
        <w:rPr>
          <w:spacing w:val="-102"/>
          <w:w w:val="100"/>
        </w:rPr>
        <w:t> </w:t>
      </w:r>
      <w:r>
        <w:rPr>
          <w:spacing w:val="-102"/>
          <w:w w:val="100"/>
        </w:rPr>
      </w:r>
      <w:r>
        <w:rPr/>
        <w:t>财务报表。</w:t>
      </w:r>
    </w:p>
    <w:p>
      <w:pPr>
        <w:spacing w:line="240" w:lineRule="auto" w:before="11"/>
        <w:rPr>
          <w:rFonts w:ascii="宋体" w:hAnsi="宋体" w:cs="宋体" w:eastAsia="宋体" w:hint="default"/>
          <w:sz w:val="26"/>
          <w:szCs w:val="26"/>
        </w:rPr>
      </w:pPr>
    </w:p>
    <w:p>
      <w:pPr>
        <w:pStyle w:val="Heading3"/>
        <w:spacing w:line="240" w:lineRule="auto" w:before="0"/>
        <w:ind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45"/>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Heading3"/>
        <w:spacing w:line="240" w:lineRule="auto"/>
        <w:ind w:right="2465"/>
        <w:jc w:val="left"/>
        <w:rPr>
          <w:b w:val="0"/>
          <w:bCs w:val="0"/>
        </w:rPr>
      </w:pPr>
      <w:r>
        <w:rPr/>
        <w:t>六、税项</w:t>
      </w:r>
      <w:r>
        <w:rPr>
          <w:b w:val="0"/>
          <w:bCs w:val="0"/>
        </w:rPr>
      </w:r>
    </w:p>
    <w:p>
      <w:pPr>
        <w:tabs>
          <w:tab w:pos="641" w:val="left" w:leader="none"/>
        </w:tabs>
        <w:spacing w:line="290" w:lineRule="auto" w:before="56"/>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10%</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w:t>
            </w:r>
          </w:p>
        </w:tc>
      </w:tr>
    </w:tbl>
    <w:p>
      <w:pPr>
        <w:spacing w:line="183" w:lineRule="exact" w:before="0"/>
        <w:ind w:left="536" w:right="0"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z w:val="16"/>
          <w:szCs w:val="16"/>
        </w:rPr>
        <w:t>：根据《财政部、国家税务总局关于全面推开营业税改征增值税试点的通知》，自</w:t>
      </w:r>
      <w:r>
        <w:rPr>
          <w:rFonts w:ascii="宋体" w:hAnsi="宋体" w:cs="宋体" w:eastAsia="宋体" w:hint="default"/>
          <w:spacing w:val="-43"/>
          <w:sz w:val="16"/>
          <w:szCs w:val="16"/>
        </w:rPr>
        <w:t> </w:t>
      </w:r>
      <w:r>
        <w:rPr>
          <w:rFonts w:ascii="宋体" w:hAnsi="宋体" w:cs="宋体" w:eastAsia="宋体" w:hint="default"/>
          <w:sz w:val="16"/>
          <w:szCs w:val="16"/>
        </w:rPr>
        <w:t>2016</w:t>
      </w:r>
      <w:r>
        <w:rPr>
          <w:rFonts w:ascii="宋体" w:hAnsi="宋体" w:cs="宋体" w:eastAsia="宋体" w:hint="default"/>
          <w:spacing w:val="-43"/>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宋体" w:hAnsi="宋体" w:cs="宋体" w:eastAsia="宋体" w:hint="default"/>
          <w:sz w:val="16"/>
          <w:szCs w:val="16"/>
        </w:rPr>
        <w:t>5</w:t>
      </w:r>
      <w:r>
        <w:rPr>
          <w:rFonts w:ascii="宋体" w:hAnsi="宋体" w:cs="宋体" w:eastAsia="宋体" w:hint="default"/>
          <w:spacing w:val="-40"/>
          <w:sz w:val="16"/>
          <w:szCs w:val="16"/>
        </w:rPr>
        <w:t> </w:t>
      </w:r>
      <w:r>
        <w:rPr>
          <w:rFonts w:ascii="宋体" w:hAnsi="宋体" w:cs="宋体" w:eastAsia="宋体" w:hint="default"/>
          <w:sz w:val="16"/>
          <w:szCs w:val="16"/>
        </w:rPr>
        <w:t>月</w:t>
      </w:r>
      <w:r>
        <w:rPr>
          <w:rFonts w:ascii="宋体" w:hAnsi="宋体" w:cs="宋体" w:eastAsia="宋体" w:hint="default"/>
          <w:spacing w:val="-44"/>
          <w:sz w:val="16"/>
          <w:szCs w:val="16"/>
        </w:rPr>
        <w:t> </w:t>
      </w:r>
      <w:r>
        <w:rPr>
          <w:rFonts w:ascii="宋体" w:hAnsi="宋体" w:cs="宋体" w:eastAsia="宋体" w:hint="default"/>
          <w:sz w:val="16"/>
          <w:szCs w:val="16"/>
        </w:rPr>
        <w:t>1</w:t>
      </w:r>
      <w:r>
        <w:rPr>
          <w:rFonts w:ascii="宋体" w:hAnsi="宋体" w:cs="宋体" w:eastAsia="宋体" w:hint="default"/>
          <w:spacing w:val="-43"/>
          <w:sz w:val="16"/>
          <w:szCs w:val="16"/>
        </w:rPr>
        <w:t> </w:t>
      </w:r>
      <w:r>
        <w:rPr>
          <w:rFonts w:ascii="宋体" w:hAnsi="宋体" w:cs="宋体" w:eastAsia="宋体" w:hint="default"/>
          <w:sz w:val="16"/>
          <w:szCs w:val="16"/>
        </w:rPr>
        <w:t>日起，在全国范围内</w:t>
      </w:r>
    </w:p>
    <w:p>
      <w:pPr>
        <w:spacing w:before="102"/>
        <w:ind w:left="217" w:right="0" w:firstLine="0"/>
        <w:jc w:val="left"/>
        <w:rPr>
          <w:rFonts w:ascii="宋体" w:hAnsi="宋体" w:cs="宋体" w:eastAsia="宋体" w:hint="default"/>
          <w:sz w:val="16"/>
          <w:szCs w:val="16"/>
        </w:rPr>
      </w:pPr>
      <w:r>
        <w:rPr>
          <w:rFonts w:ascii="宋体" w:hAnsi="宋体" w:cs="宋体" w:eastAsia="宋体" w:hint="default"/>
          <w:spacing w:val="-2"/>
          <w:sz w:val="16"/>
          <w:szCs w:val="16"/>
        </w:rPr>
        <w:t>全面推开营业税改征增值税（以下称营改增）试点，建筑业全部营业税纳税人，由缴纳营业税改为缴纳增值税。因此，在</w:t>
      </w:r>
      <w:r>
        <w:rPr>
          <w:rFonts w:ascii="宋体" w:hAnsi="宋体" w:cs="宋体" w:eastAsia="宋体" w:hint="default"/>
          <w:spacing w:val="53"/>
          <w:sz w:val="16"/>
          <w:szCs w:val="16"/>
        </w:rPr>
        <w:t> </w:t>
      </w:r>
      <w:r>
        <w:rPr>
          <w:rFonts w:ascii="宋体" w:hAnsi="宋体" w:cs="宋体" w:eastAsia="宋体" w:hint="default"/>
          <w:spacing w:val="-1"/>
          <w:sz w:val="16"/>
          <w:szCs w:val="16"/>
        </w:rPr>
        <w:t>2016</w:t>
      </w:r>
    </w:p>
    <w:p>
      <w:pPr>
        <w:spacing w:before="102"/>
        <w:ind w:left="217" w:right="0" w:firstLine="0"/>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37"/>
          <w:sz w:val="16"/>
          <w:szCs w:val="16"/>
        </w:rPr>
        <w:t> </w:t>
      </w:r>
      <w:r>
        <w:rPr>
          <w:rFonts w:ascii="宋体" w:hAnsi="宋体" w:cs="宋体" w:eastAsia="宋体" w:hint="default"/>
          <w:sz w:val="16"/>
          <w:szCs w:val="16"/>
        </w:rPr>
        <w:t>5</w:t>
      </w:r>
      <w:r>
        <w:rPr>
          <w:rFonts w:ascii="宋体" w:hAnsi="宋体" w:cs="宋体" w:eastAsia="宋体" w:hint="default"/>
          <w:spacing w:val="-33"/>
          <w:sz w:val="16"/>
          <w:szCs w:val="16"/>
        </w:rPr>
        <w:t> </w:t>
      </w:r>
      <w:r>
        <w:rPr>
          <w:rFonts w:ascii="宋体" w:hAnsi="宋体" w:cs="宋体" w:eastAsia="宋体" w:hint="default"/>
          <w:sz w:val="16"/>
          <w:szCs w:val="16"/>
        </w:rPr>
        <w:t>月</w:t>
      </w:r>
      <w:r>
        <w:rPr>
          <w:rFonts w:ascii="宋体" w:hAnsi="宋体" w:cs="宋体" w:eastAsia="宋体" w:hint="default"/>
          <w:spacing w:val="-37"/>
          <w:sz w:val="16"/>
          <w:szCs w:val="16"/>
        </w:rPr>
        <w:t> </w:t>
      </w:r>
      <w:r>
        <w:rPr>
          <w:rFonts w:ascii="宋体" w:hAnsi="宋体" w:cs="宋体" w:eastAsia="宋体" w:hint="default"/>
          <w:sz w:val="16"/>
          <w:szCs w:val="16"/>
        </w:rPr>
        <w:t>1</w:t>
      </w:r>
      <w:r>
        <w:rPr>
          <w:rFonts w:ascii="宋体" w:hAnsi="宋体" w:cs="宋体" w:eastAsia="宋体" w:hint="default"/>
          <w:spacing w:val="-36"/>
          <w:sz w:val="16"/>
          <w:szCs w:val="16"/>
        </w:rPr>
        <w:t> </w:t>
      </w:r>
      <w:r>
        <w:rPr>
          <w:rFonts w:ascii="宋体" w:hAnsi="宋体" w:cs="宋体" w:eastAsia="宋体" w:hint="default"/>
          <w:spacing w:val="-4"/>
          <w:sz w:val="16"/>
          <w:szCs w:val="16"/>
        </w:rPr>
        <w:t>日前，本公司及其子公司按工程结算收入缴纳</w:t>
      </w:r>
      <w:r>
        <w:rPr>
          <w:rFonts w:ascii="宋体" w:hAnsi="宋体" w:cs="宋体" w:eastAsia="宋体" w:hint="default"/>
          <w:spacing w:val="-36"/>
          <w:sz w:val="16"/>
          <w:szCs w:val="16"/>
        </w:rPr>
        <w:t> </w:t>
      </w:r>
      <w:r>
        <w:rPr>
          <w:rFonts w:ascii="宋体" w:hAnsi="宋体" w:cs="宋体" w:eastAsia="宋体" w:hint="default"/>
          <w:spacing w:val="-4"/>
          <w:sz w:val="16"/>
          <w:szCs w:val="16"/>
        </w:rPr>
        <w:t>3%</w:t>
      </w:r>
      <w:r>
        <w:rPr>
          <w:rFonts w:ascii="宋体" w:hAnsi="宋体" w:cs="宋体" w:eastAsia="宋体" w:hint="default"/>
          <w:spacing w:val="-4"/>
          <w:sz w:val="16"/>
          <w:szCs w:val="16"/>
        </w:rPr>
        <w:t>的营业税、按其他业务收入缴纳</w:t>
      </w:r>
      <w:r>
        <w:rPr>
          <w:rFonts w:ascii="宋体" w:hAnsi="宋体" w:cs="宋体" w:eastAsia="宋体" w:hint="default"/>
          <w:spacing w:val="-37"/>
          <w:sz w:val="16"/>
          <w:szCs w:val="16"/>
        </w:rPr>
        <w:t> </w:t>
      </w:r>
      <w:r>
        <w:rPr>
          <w:rFonts w:ascii="宋体" w:hAnsi="宋体" w:cs="宋体" w:eastAsia="宋体" w:hint="default"/>
          <w:spacing w:val="-7"/>
          <w:sz w:val="16"/>
          <w:szCs w:val="16"/>
        </w:rPr>
        <w:t>5%</w:t>
      </w:r>
      <w:r>
        <w:rPr>
          <w:rFonts w:ascii="宋体" w:hAnsi="宋体" w:cs="宋体" w:eastAsia="宋体" w:hint="default"/>
          <w:spacing w:val="-7"/>
          <w:sz w:val="16"/>
          <w:szCs w:val="16"/>
        </w:rPr>
        <w:t>的营业税。自</w:t>
      </w:r>
      <w:r>
        <w:rPr>
          <w:rFonts w:ascii="宋体" w:hAnsi="宋体" w:cs="宋体" w:eastAsia="宋体" w:hint="default"/>
          <w:spacing w:val="-35"/>
          <w:sz w:val="16"/>
          <w:szCs w:val="16"/>
        </w:rPr>
        <w:t> </w:t>
      </w:r>
      <w:r>
        <w:rPr>
          <w:rFonts w:ascii="宋体" w:hAnsi="宋体" w:cs="宋体" w:eastAsia="宋体" w:hint="default"/>
          <w:sz w:val="16"/>
          <w:szCs w:val="16"/>
        </w:rPr>
        <w:t>2016</w:t>
      </w:r>
      <w:r>
        <w:rPr>
          <w:rFonts w:ascii="宋体" w:hAnsi="宋体" w:cs="宋体" w:eastAsia="宋体" w:hint="default"/>
          <w:spacing w:val="-33"/>
          <w:sz w:val="16"/>
          <w:szCs w:val="16"/>
        </w:rPr>
        <w:t> </w:t>
      </w:r>
      <w:r>
        <w:rPr>
          <w:rFonts w:ascii="宋体" w:hAnsi="宋体" w:cs="宋体" w:eastAsia="宋体" w:hint="default"/>
          <w:sz w:val="16"/>
          <w:szCs w:val="16"/>
        </w:rPr>
        <w:t>年</w:t>
      </w:r>
      <w:r>
        <w:rPr>
          <w:rFonts w:ascii="宋体" w:hAnsi="宋体" w:cs="宋体" w:eastAsia="宋体" w:hint="default"/>
          <w:spacing w:val="-37"/>
          <w:sz w:val="16"/>
          <w:szCs w:val="16"/>
        </w:rPr>
        <w:t> </w:t>
      </w:r>
      <w:r>
        <w:rPr>
          <w:rFonts w:ascii="宋体" w:hAnsi="宋体" w:cs="宋体" w:eastAsia="宋体" w:hint="default"/>
          <w:sz w:val="16"/>
          <w:szCs w:val="16"/>
        </w:rPr>
        <w:t>5</w:t>
      </w:r>
      <w:r>
        <w:rPr>
          <w:rFonts w:ascii="宋体" w:hAnsi="宋体" w:cs="宋体" w:eastAsia="宋体" w:hint="default"/>
          <w:spacing w:val="-36"/>
          <w:sz w:val="16"/>
          <w:szCs w:val="16"/>
        </w:rPr>
        <w:t> </w:t>
      </w:r>
      <w:r>
        <w:rPr>
          <w:rFonts w:ascii="宋体" w:hAnsi="宋体" w:cs="宋体" w:eastAsia="宋体" w:hint="default"/>
          <w:sz w:val="16"/>
          <w:szCs w:val="16"/>
        </w:rPr>
        <w:t>月</w:t>
      </w:r>
      <w:r>
        <w:rPr>
          <w:rFonts w:ascii="宋体" w:hAnsi="宋体" w:cs="宋体" w:eastAsia="宋体" w:hint="default"/>
          <w:spacing w:val="-37"/>
          <w:sz w:val="16"/>
          <w:szCs w:val="16"/>
        </w:rPr>
        <w:t> </w:t>
      </w:r>
      <w:r>
        <w:rPr>
          <w:rFonts w:ascii="宋体" w:hAnsi="宋体" w:cs="宋体" w:eastAsia="宋体" w:hint="default"/>
          <w:sz w:val="16"/>
          <w:szCs w:val="16"/>
        </w:rPr>
        <w:t>1</w:t>
      </w:r>
      <w:r>
        <w:rPr>
          <w:rFonts w:ascii="宋体" w:hAnsi="宋体" w:cs="宋体" w:eastAsia="宋体" w:hint="default"/>
          <w:spacing w:val="-33"/>
          <w:sz w:val="16"/>
          <w:szCs w:val="16"/>
        </w:rPr>
        <w:t> </w:t>
      </w:r>
      <w:r>
        <w:rPr>
          <w:rFonts w:ascii="宋体" w:hAnsi="宋体" w:cs="宋体" w:eastAsia="宋体" w:hint="default"/>
          <w:sz w:val="16"/>
          <w:szCs w:val="16"/>
        </w:rPr>
        <w:t>日起，</w:t>
      </w:r>
    </w:p>
    <w:p>
      <w:pPr>
        <w:spacing w:line="357" w:lineRule="auto" w:before="101"/>
        <w:ind w:left="217" w:right="227" w:firstLine="0"/>
        <w:jc w:val="left"/>
        <w:rPr>
          <w:rFonts w:ascii="宋体" w:hAnsi="宋体" w:cs="宋体" w:eastAsia="宋体" w:hint="default"/>
          <w:sz w:val="16"/>
          <w:szCs w:val="16"/>
        </w:rPr>
      </w:pPr>
      <w:r>
        <w:rPr>
          <w:rFonts w:ascii="宋体" w:hAnsi="宋体" w:cs="宋体" w:eastAsia="宋体" w:hint="default"/>
          <w:sz w:val="16"/>
          <w:szCs w:val="16"/>
        </w:rPr>
        <w:t>本公司及其下属子公司对提供工程施工劳务分别视不同情况执行</w:t>
      </w:r>
      <w:r>
        <w:rPr>
          <w:rFonts w:ascii="宋体" w:hAnsi="宋体" w:cs="宋体" w:eastAsia="宋体" w:hint="default"/>
          <w:spacing w:val="-38"/>
          <w:sz w:val="16"/>
          <w:szCs w:val="16"/>
        </w:rPr>
        <w:t> </w:t>
      </w:r>
      <w:r>
        <w:rPr>
          <w:rFonts w:ascii="宋体" w:hAnsi="宋体" w:cs="宋体" w:eastAsia="宋体" w:hint="default"/>
          <w:sz w:val="16"/>
          <w:szCs w:val="16"/>
        </w:rPr>
        <w:t>3%</w:t>
      </w:r>
      <w:r>
        <w:rPr>
          <w:rFonts w:ascii="宋体" w:hAnsi="宋体" w:cs="宋体" w:eastAsia="宋体" w:hint="default"/>
          <w:sz w:val="16"/>
          <w:szCs w:val="16"/>
        </w:rPr>
        <w:t>或</w:t>
      </w:r>
      <w:r>
        <w:rPr>
          <w:rFonts w:ascii="宋体" w:hAnsi="宋体" w:cs="宋体" w:eastAsia="宋体" w:hint="default"/>
          <w:spacing w:val="-39"/>
          <w:sz w:val="16"/>
          <w:szCs w:val="16"/>
        </w:rPr>
        <w:t> </w:t>
      </w:r>
      <w:r>
        <w:rPr>
          <w:rFonts w:ascii="宋体" w:hAnsi="宋体" w:cs="宋体" w:eastAsia="宋体" w:hint="default"/>
          <w:spacing w:val="-6"/>
          <w:sz w:val="16"/>
          <w:szCs w:val="16"/>
        </w:rPr>
        <w:t>11%</w:t>
      </w:r>
      <w:r>
        <w:rPr>
          <w:rFonts w:ascii="宋体" w:hAnsi="宋体" w:cs="宋体" w:eastAsia="宋体" w:hint="default"/>
          <w:spacing w:val="-6"/>
          <w:sz w:val="16"/>
          <w:szCs w:val="16"/>
        </w:rPr>
        <w:t>的增值税税率：对于</w:t>
      </w:r>
      <w:r>
        <w:rPr>
          <w:rFonts w:ascii="宋体" w:hAnsi="宋体" w:cs="宋体" w:eastAsia="宋体" w:hint="default"/>
          <w:spacing w:val="-39"/>
          <w:sz w:val="16"/>
          <w:szCs w:val="16"/>
        </w:rPr>
        <w:t> </w:t>
      </w:r>
      <w:r>
        <w:rPr>
          <w:rFonts w:ascii="宋体" w:hAnsi="宋体" w:cs="宋体" w:eastAsia="宋体" w:hint="default"/>
          <w:sz w:val="16"/>
          <w:szCs w:val="16"/>
        </w:rPr>
        <w:t>2016</w:t>
      </w:r>
      <w:r>
        <w:rPr>
          <w:rFonts w:ascii="宋体" w:hAnsi="宋体" w:cs="宋体" w:eastAsia="宋体" w:hint="default"/>
          <w:spacing w:val="-37"/>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5</w:t>
      </w:r>
      <w:r>
        <w:rPr>
          <w:rFonts w:ascii="宋体" w:hAnsi="宋体" w:cs="宋体" w:eastAsia="宋体" w:hint="default"/>
          <w:spacing w:val="-40"/>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宋体" w:hAnsi="宋体" w:cs="宋体" w:eastAsia="宋体" w:hint="default"/>
          <w:sz w:val="16"/>
          <w:szCs w:val="16"/>
        </w:rPr>
        <w:t>1</w:t>
      </w:r>
      <w:r>
        <w:rPr>
          <w:rFonts w:ascii="宋体" w:hAnsi="宋体" w:cs="宋体" w:eastAsia="宋体" w:hint="default"/>
          <w:spacing w:val="-37"/>
          <w:sz w:val="16"/>
          <w:szCs w:val="16"/>
        </w:rPr>
        <w:t> </w:t>
      </w:r>
      <w:r>
        <w:rPr>
          <w:rFonts w:ascii="宋体" w:hAnsi="宋体" w:cs="宋体" w:eastAsia="宋体" w:hint="default"/>
          <w:sz w:val="16"/>
          <w:szCs w:val="16"/>
        </w:rPr>
        <w:t>日前已开工并经主</w:t>
      </w:r>
      <w:r>
        <w:rPr>
          <w:rFonts w:ascii="宋体" w:hAnsi="宋体" w:cs="宋体" w:eastAsia="宋体" w:hint="default"/>
          <w:w w:val="100"/>
          <w:sz w:val="16"/>
          <w:szCs w:val="16"/>
        </w:rPr>
        <w:t> </w:t>
      </w:r>
      <w:r>
        <w:rPr>
          <w:rFonts w:ascii="宋体" w:hAnsi="宋体" w:cs="宋体" w:eastAsia="宋体" w:hint="default"/>
          <w:sz w:val="16"/>
          <w:szCs w:val="16"/>
        </w:rPr>
        <w:t>管税务机关备案批准的实行简易征收</w:t>
      </w:r>
      <w:r>
        <w:rPr>
          <w:rFonts w:ascii="宋体" w:hAnsi="宋体" w:cs="宋体" w:eastAsia="宋体" w:hint="default"/>
          <w:spacing w:val="-44"/>
          <w:sz w:val="16"/>
          <w:szCs w:val="16"/>
        </w:rPr>
        <w:t> </w:t>
      </w:r>
      <w:r>
        <w:rPr>
          <w:rFonts w:ascii="宋体" w:hAnsi="宋体" w:cs="宋体" w:eastAsia="宋体" w:hint="default"/>
          <w:sz w:val="16"/>
          <w:szCs w:val="16"/>
        </w:rPr>
        <w:t>3%</w:t>
      </w:r>
      <w:r>
        <w:rPr>
          <w:rFonts w:ascii="宋体" w:hAnsi="宋体" w:cs="宋体" w:eastAsia="宋体" w:hint="default"/>
          <w:sz w:val="16"/>
          <w:szCs w:val="16"/>
        </w:rPr>
        <w:t>的增值税率，其他按建筑施工劳务实行</w:t>
      </w:r>
      <w:r>
        <w:rPr>
          <w:rFonts w:ascii="宋体" w:hAnsi="宋体" w:cs="宋体" w:eastAsia="宋体" w:hint="default"/>
          <w:spacing w:val="-44"/>
          <w:sz w:val="16"/>
          <w:szCs w:val="16"/>
        </w:rPr>
        <w:t> </w:t>
      </w:r>
      <w:r>
        <w:rPr>
          <w:rFonts w:ascii="宋体" w:hAnsi="宋体" w:cs="宋体" w:eastAsia="宋体" w:hint="default"/>
          <w:sz w:val="16"/>
          <w:szCs w:val="16"/>
        </w:rPr>
        <w:t>11%</w:t>
      </w:r>
      <w:r>
        <w:rPr>
          <w:rFonts w:ascii="宋体" w:hAnsi="宋体" w:cs="宋体" w:eastAsia="宋体" w:hint="default"/>
          <w:sz w:val="16"/>
          <w:szCs w:val="16"/>
        </w:rPr>
        <w:t>的增值税率。</w:t>
      </w:r>
    </w:p>
    <w:p>
      <w:pPr>
        <w:spacing w:line="355" w:lineRule="auto" w:before="24"/>
        <w:ind w:left="217" w:right="227"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2"/>
          <w:sz w:val="16"/>
          <w:szCs w:val="16"/>
        </w:rPr>
        <w:t> </w:t>
      </w:r>
      <w:r>
        <w:rPr>
          <w:rFonts w:ascii="宋体" w:hAnsi="宋体" w:cs="宋体" w:eastAsia="宋体" w:hint="default"/>
          <w:spacing w:val="-1"/>
          <w:sz w:val="16"/>
          <w:szCs w:val="16"/>
        </w:rPr>
        <w:t>2</w:t>
      </w:r>
      <w:r>
        <w:rPr>
          <w:rFonts w:ascii="宋体" w:hAnsi="宋体" w:cs="宋体" w:eastAsia="宋体" w:hint="default"/>
          <w:spacing w:val="-1"/>
          <w:sz w:val="16"/>
          <w:szCs w:val="16"/>
        </w:rPr>
        <w:t>：报告期内本公司及除浙江广天构件股份有限公司姚江分公司、宁波广天新型建材有限公司、宁波新力水泥制品有限</w:t>
      </w:r>
      <w:r>
        <w:rPr>
          <w:rFonts w:ascii="宋体" w:hAnsi="宋体" w:cs="宋体" w:eastAsia="宋体" w:hint="default"/>
          <w:w w:val="100"/>
          <w:sz w:val="16"/>
          <w:szCs w:val="16"/>
        </w:rPr>
        <w:t> </w:t>
      </w:r>
      <w:r>
        <w:rPr>
          <w:rFonts w:ascii="宋体" w:hAnsi="宋体" w:cs="宋体" w:eastAsia="宋体" w:hint="default"/>
          <w:spacing w:val="-1"/>
          <w:sz w:val="16"/>
          <w:szCs w:val="16"/>
        </w:rPr>
        <w:t>公司、上饶广天建筑构件有限公司外其他子公司适用</w:t>
      </w:r>
      <w:r>
        <w:rPr>
          <w:rFonts w:ascii="宋体" w:hAnsi="宋体" w:cs="宋体" w:eastAsia="宋体" w:hint="default"/>
          <w:spacing w:val="-8"/>
          <w:sz w:val="16"/>
          <w:szCs w:val="16"/>
        </w:rPr>
        <w:t> </w:t>
      </w:r>
      <w:r>
        <w:rPr>
          <w:rFonts w:ascii="宋体" w:hAnsi="宋体" w:cs="宋体" w:eastAsia="宋体" w:hint="default"/>
          <w:spacing w:val="-1"/>
          <w:sz w:val="16"/>
          <w:szCs w:val="16"/>
        </w:rPr>
        <w:t>17%</w:t>
      </w:r>
      <w:r>
        <w:rPr>
          <w:rFonts w:ascii="宋体" w:hAnsi="宋体" w:cs="宋体" w:eastAsia="宋体" w:hint="default"/>
          <w:spacing w:val="-1"/>
          <w:sz w:val="16"/>
          <w:szCs w:val="16"/>
        </w:rPr>
        <w:t>的增值税税率，具体如下：</w:t>
      </w:r>
    </w:p>
    <w:p>
      <w:pPr>
        <w:spacing w:line="357" w:lineRule="auto" w:before="26"/>
        <w:ind w:left="217" w:right="225"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2-1</w:t>
      </w:r>
      <w:r>
        <w:rPr>
          <w:rFonts w:ascii="宋体" w:hAnsi="宋体" w:cs="宋体" w:eastAsia="宋体" w:hint="default"/>
          <w:sz w:val="16"/>
          <w:szCs w:val="16"/>
        </w:rPr>
        <w:t>：浙江广天构件股份有限公司姚江分公司、宁波广天新型建材有限公司、上饶广天建筑构件有限公司分别由宁波市</w:t>
      </w:r>
      <w:r>
        <w:rPr>
          <w:rFonts w:ascii="宋体" w:hAnsi="宋体" w:cs="宋体" w:eastAsia="宋体" w:hint="default"/>
          <w:w w:val="100"/>
          <w:sz w:val="16"/>
          <w:szCs w:val="16"/>
        </w:rPr>
        <w:t> </w:t>
      </w:r>
      <w:r>
        <w:rPr>
          <w:rFonts w:ascii="宋体" w:hAnsi="宋体" w:cs="宋体" w:eastAsia="宋体" w:hint="default"/>
          <w:sz w:val="16"/>
          <w:szCs w:val="16"/>
        </w:rPr>
        <w:t>江北区国家税务机关、宁波市科技园区国家税务局、上饶市信州区国税局 认定为一般纳税人，执行税率为</w:t>
      </w:r>
      <w:r>
        <w:rPr>
          <w:rFonts w:ascii="宋体" w:hAnsi="宋体" w:cs="宋体" w:eastAsia="宋体" w:hint="default"/>
          <w:spacing w:val="-56"/>
          <w:sz w:val="16"/>
          <w:szCs w:val="16"/>
        </w:rPr>
        <w:t> </w:t>
      </w:r>
      <w:r>
        <w:rPr>
          <w:rFonts w:ascii="宋体" w:hAnsi="宋体" w:cs="宋体" w:eastAsia="宋体" w:hint="default"/>
          <w:sz w:val="16"/>
          <w:szCs w:val="16"/>
        </w:rPr>
        <w:t>17%</w:t>
      </w:r>
      <w:r>
        <w:rPr>
          <w:rFonts w:ascii="宋体" w:hAnsi="宋体" w:cs="宋体" w:eastAsia="宋体" w:hint="default"/>
          <w:sz w:val="16"/>
          <w:szCs w:val="16"/>
        </w:rPr>
        <w:t>。依据国家税务</w:t>
      </w:r>
      <w:r>
        <w:rPr>
          <w:rFonts w:ascii="宋体" w:hAnsi="宋体" w:cs="宋体" w:eastAsia="宋体" w:hint="default"/>
          <w:w w:val="100"/>
          <w:sz w:val="16"/>
          <w:szCs w:val="16"/>
        </w:rPr>
        <w:t> </w:t>
      </w:r>
      <w:r>
        <w:rPr>
          <w:rFonts w:ascii="宋体" w:hAnsi="宋体" w:cs="宋体" w:eastAsia="宋体" w:hint="default"/>
          <w:sz w:val="16"/>
          <w:szCs w:val="16"/>
        </w:rPr>
        <w:t>总局关于简并增值税征收率政策的通知财税</w:t>
      </w:r>
      <w:r>
        <w:rPr>
          <w:rFonts w:ascii="宋体" w:hAnsi="宋体" w:cs="宋体" w:eastAsia="宋体" w:hint="default"/>
          <w:sz w:val="16"/>
          <w:szCs w:val="16"/>
        </w:rPr>
        <w:t>[2014]57 </w:t>
      </w:r>
      <w:r>
        <w:rPr>
          <w:rFonts w:ascii="宋体" w:hAnsi="宋体" w:cs="宋体" w:eastAsia="宋体" w:hint="default"/>
          <w:sz w:val="16"/>
          <w:szCs w:val="16"/>
        </w:rPr>
        <w:t>号</w:t>
      </w:r>
      <w:r>
        <w:rPr>
          <w:rFonts w:ascii="宋体" w:hAnsi="宋体" w:cs="宋体" w:eastAsia="宋体" w:hint="default"/>
          <w:spacing w:val="-47"/>
          <w:sz w:val="16"/>
          <w:szCs w:val="16"/>
        </w:rPr>
        <w:t> </w:t>
      </w:r>
      <w:r>
        <w:rPr>
          <w:rFonts w:ascii="宋体" w:hAnsi="宋体" w:cs="宋体" w:eastAsia="宋体" w:hint="default"/>
          <w:sz w:val="16"/>
          <w:szCs w:val="16"/>
        </w:rPr>
        <w:t>“一般纳税人销售自产的商品混凝土（仅限于以水泥为原料生产的水</w:t>
      </w:r>
      <w:r>
        <w:rPr>
          <w:rFonts w:ascii="宋体" w:hAnsi="宋体" w:cs="宋体" w:eastAsia="宋体" w:hint="default"/>
          <w:w w:val="100"/>
          <w:sz w:val="16"/>
          <w:szCs w:val="16"/>
        </w:rPr>
        <w:t> </w:t>
      </w:r>
      <w:r>
        <w:rPr>
          <w:rFonts w:ascii="宋体" w:hAnsi="宋体" w:cs="宋体" w:eastAsia="宋体" w:hint="default"/>
          <w:sz w:val="16"/>
          <w:szCs w:val="16"/>
        </w:rPr>
        <w:t>泥混凝土），可选择按照简易办法依照</w:t>
      </w:r>
      <w:r>
        <w:rPr>
          <w:rFonts w:ascii="宋体" w:hAnsi="宋体" w:cs="宋体" w:eastAsia="宋体" w:hint="default"/>
          <w:spacing w:val="-45"/>
          <w:sz w:val="16"/>
          <w:szCs w:val="16"/>
        </w:rPr>
        <w:t> </w:t>
      </w:r>
      <w:r>
        <w:rPr>
          <w:rFonts w:ascii="宋体" w:hAnsi="宋体" w:cs="宋体" w:eastAsia="宋体" w:hint="default"/>
          <w:sz w:val="16"/>
          <w:szCs w:val="16"/>
        </w:rPr>
        <w:t>3%</w:t>
      </w:r>
      <w:r>
        <w:rPr>
          <w:rFonts w:ascii="宋体" w:hAnsi="宋体" w:cs="宋体" w:eastAsia="宋体" w:hint="default"/>
          <w:sz w:val="16"/>
          <w:szCs w:val="16"/>
        </w:rPr>
        <w:t>征收率计算缴纳增值税”，上述公司在报告期内执行税率为</w:t>
      </w:r>
      <w:r>
        <w:rPr>
          <w:rFonts w:ascii="宋体" w:hAnsi="宋体" w:cs="宋体" w:eastAsia="宋体" w:hint="default"/>
          <w:spacing w:val="-45"/>
          <w:sz w:val="16"/>
          <w:szCs w:val="16"/>
        </w:rPr>
        <w:t> </w:t>
      </w:r>
      <w:r>
        <w:rPr>
          <w:rFonts w:ascii="宋体" w:hAnsi="宋体" w:cs="宋体" w:eastAsia="宋体" w:hint="default"/>
          <w:sz w:val="16"/>
          <w:szCs w:val="16"/>
        </w:rPr>
        <w:t>3%</w:t>
      </w:r>
      <w:r>
        <w:rPr>
          <w:rFonts w:ascii="宋体" w:hAnsi="宋体" w:cs="宋体" w:eastAsia="宋体" w:hint="default"/>
          <w:sz w:val="16"/>
          <w:szCs w:val="16"/>
        </w:rPr>
        <w:t>；</w:t>
      </w:r>
    </w:p>
    <w:p>
      <w:pPr>
        <w:spacing w:line="357" w:lineRule="auto" w:before="24"/>
        <w:ind w:left="217" w:right="262"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7"/>
          <w:sz w:val="16"/>
          <w:szCs w:val="16"/>
        </w:rPr>
        <w:t> </w:t>
      </w:r>
      <w:r>
        <w:rPr>
          <w:rFonts w:ascii="宋体" w:hAnsi="宋体" w:cs="宋体" w:eastAsia="宋体" w:hint="default"/>
          <w:sz w:val="16"/>
          <w:szCs w:val="16"/>
        </w:rPr>
        <w:t>2-2</w:t>
      </w:r>
      <w:r>
        <w:rPr>
          <w:rFonts w:ascii="宋体" w:hAnsi="宋体" w:cs="宋体" w:eastAsia="宋体" w:hint="default"/>
          <w:sz w:val="16"/>
          <w:szCs w:val="16"/>
        </w:rPr>
        <w:t>：宁波市政工程建设集团股份有限公司所属子公司宁波新力水泥制品有限公司按财税</w:t>
      </w:r>
      <w:r>
        <w:rPr>
          <w:rFonts w:ascii="宋体" w:hAnsi="宋体" w:cs="宋体" w:eastAsia="宋体" w:hint="default"/>
          <w:sz w:val="16"/>
          <w:szCs w:val="16"/>
        </w:rPr>
        <w:t>[2014]57</w:t>
      </w:r>
      <w:r>
        <w:rPr>
          <w:rFonts w:ascii="宋体" w:hAnsi="宋体" w:cs="宋体" w:eastAsia="宋体" w:hint="default"/>
          <w:spacing w:val="-45"/>
          <w:sz w:val="16"/>
          <w:szCs w:val="16"/>
        </w:rPr>
        <w:t> </w:t>
      </w:r>
      <w:r>
        <w:rPr>
          <w:rFonts w:ascii="宋体" w:hAnsi="宋体" w:cs="宋体" w:eastAsia="宋体" w:hint="default"/>
          <w:sz w:val="16"/>
          <w:szCs w:val="16"/>
        </w:rPr>
        <w:t>号文，在报告期内增</w:t>
      </w:r>
      <w:r>
        <w:rPr>
          <w:rFonts w:ascii="宋体" w:hAnsi="宋体" w:cs="宋体" w:eastAsia="宋体" w:hint="default"/>
          <w:w w:val="100"/>
          <w:sz w:val="16"/>
          <w:szCs w:val="16"/>
        </w:rPr>
        <w:t> </w:t>
      </w:r>
      <w:r>
        <w:rPr>
          <w:rFonts w:ascii="宋体" w:hAnsi="宋体" w:cs="宋体" w:eastAsia="宋体" w:hint="default"/>
          <w:sz w:val="16"/>
          <w:szCs w:val="16"/>
        </w:rPr>
        <w:t>值税率为</w:t>
      </w:r>
      <w:r>
        <w:rPr>
          <w:rFonts w:ascii="宋体" w:hAnsi="宋体" w:cs="宋体" w:eastAsia="宋体" w:hint="default"/>
          <w:spacing w:val="-40"/>
          <w:sz w:val="16"/>
          <w:szCs w:val="16"/>
        </w:rPr>
        <w:t> </w:t>
      </w:r>
      <w:r>
        <w:rPr>
          <w:rFonts w:ascii="宋体" w:hAnsi="宋体" w:cs="宋体" w:eastAsia="宋体" w:hint="default"/>
          <w:sz w:val="16"/>
          <w:szCs w:val="16"/>
        </w:rPr>
        <w:t>3%</w:t>
      </w:r>
      <w:r>
        <w:rPr>
          <w:rFonts w:ascii="宋体" w:hAnsi="宋体" w:cs="宋体" w:eastAsia="宋体" w:hint="default"/>
          <w:sz w:val="16"/>
          <w:szCs w:val="16"/>
        </w:rPr>
        <w:t>。</w:t>
      </w:r>
    </w:p>
    <w:p>
      <w:pPr>
        <w:spacing w:line="357" w:lineRule="auto" w:before="22"/>
        <w:ind w:left="217" w:right="229" w:firstLine="319"/>
        <w:jc w:val="both"/>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5"/>
          <w:sz w:val="16"/>
          <w:szCs w:val="16"/>
        </w:rPr>
        <w:t> </w:t>
      </w:r>
      <w:r>
        <w:rPr>
          <w:rFonts w:ascii="宋体" w:hAnsi="宋体" w:cs="宋体" w:eastAsia="宋体" w:hint="default"/>
          <w:sz w:val="16"/>
          <w:szCs w:val="16"/>
        </w:rPr>
        <w:t>2-3</w:t>
      </w:r>
      <w:r>
        <w:rPr>
          <w:rFonts w:ascii="宋体" w:hAnsi="宋体" w:cs="宋体" w:eastAsia="宋体" w:hint="default"/>
          <w:sz w:val="16"/>
          <w:szCs w:val="16"/>
        </w:rPr>
        <w:t>：根据财政部及国家税务总局财税</w:t>
      </w:r>
      <w:r>
        <w:rPr>
          <w:rFonts w:ascii="宋体" w:hAnsi="宋体" w:cs="宋体" w:eastAsia="宋体" w:hint="default"/>
          <w:sz w:val="16"/>
          <w:szCs w:val="16"/>
        </w:rPr>
        <w:t>[2013]37</w:t>
      </w:r>
      <w:r>
        <w:rPr>
          <w:rFonts w:ascii="宋体" w:hAnsi="宋体" w:cs="宋体" w:eastAsia="宋体" w:hint="default"/>
          <w:spacing w:val="-44"/>
          <w:sz w:val="16"/>
          <w:szCs w:val="16"/>
        </w:rPr>
        <w:t> </w:t>
      </w:r>
      <w:r>
        <w:rPr>
          <w:rFonts w:ascii="宋体" w:hAnsi="宋体" w:cs="宋体" w:eastAsia="宋体" w:hint="default"/>
          <w:sz w:val="16"/>
          <w:szCs w:val="16"/>
        </w:rPr>
        <w:t>号《关于在全国开展交通运输业和部分现代服务业营业税改征增值税试</w:t>
      </w:r>
      <w:r>
        <w:rPr>
          <w:rFonts w:ascii="宋体" w:hAnsi="宋体" w:cs="宋体" w:eastAsia="宋体" w:hint="default"/>
          <w:w w:val="100"/>
          <w:sz w:val="16"/>
          <w:szCs w:val="16"/>
        </w:rPr>
        <w:t> </w:t>
      </w:r>
      <w:r>
        <w:rPr>
          <w:rFonts w:ascii="宋体" w:hAnsi="宋体" w:cs="宋体" w:eastAsia="宋体" w:hint="default"/>
          <w:sz w:val="16"/>
          <w:szCs w:val="16"/>
        </w:rPr>
        <w:t>点税收政策的通知》本公司所属子公司浙江广天构件股份有限公司下属宁波广天顺安运输有限公司执行</w:t>
      </w:r>
      <w:r>
        <w:rPr>
          <w:rFonts w:ascii="宋体" w:hAnsi="宋体" w:cs="宋体" w:eastAsia="宋体" w:hint="default"/>
          <w:spacing w:val="-44"/>
          <w:sz w:val="16"/>
          <w:szCs w:val="16"/>
        </w:rPr>
        <w:t> </w:t>
      </w:r>
      <w:r>
        <w:rPr>
          <w:rFonts w:ascii="宋体" w:hAnsi="宋体" w:cs="宋体" w:eastAsia="宋体" w:hint="default"/>
          <w:sz w:val="16"/>
          <w:szCs w:val="16"/>
        </w:rPr>
        <w:t>11%</w:t>
      </w:r>
      <w:r>
        <w:rPr>
          <w:rFonts w:ascii="宋体" w:hAnsi="宋体" w:cs="宋体" w:eastAsia="宋体" w:hint="default"/>
          <w:sz w:val="16"/>
          <w:szCs w:val="16"/>
        </w:rPr>
        <w:t>增值税税率；设备</w:t>
      </w:r>
      <w:r>
        <w:rPr>
          <w:rFonts w:ascii="宋体" w:hAnsi="宋体" w:cs="宋体" w:eastAsia="宋体" w:hint="default"/>
          <w:w w:val="100"/>
          <w:sz w:val="16"/>
          <w:szCs w:val="16"/>
        </w:rPr>
        <w:t> </w:t>
      </w:r>
      <w:r>
        <w:rPr>
          <w:rFonts w:ascii="宋体" w:hAnsi="宋体" w:cs="宋体" w:eastAsia="宋体" w:hint="default"/>
          <w:spacing w:val="-1"/>
          <w:sz w:val="16"/>
          <w:szCs w:val="16"/>
        </w:rPr>
        <w:t>租赁分公司及设计分公司按小规模纳税人实行简易征收办法，执行</w:t>
      </w:r>
      <w:r>
        <w:rPr>
          <w:rFonts w:ascii="宋体" w:hAnsi="宋体" w:cs="宋体" w:eastAsia="宋体" w:hint="default"/>
          <w:sz w:val="16"/>
          <w:szCs w:val="16"/>
        </w:rPr>
        <w:t> </w:t>
      </w:r>
      <w:r>
        <w:rPr>
          <w:rFonts w:ascii="宋体" w:hAnsi="宋体" w:cs="宋体" w:eastAsia="宋体" w:hint="default"/>
          <w:spacing w:val="-2"/>
          <w:sz w:val="16"/>
          <w:szCs w:val="16"/>
        </w:rPr>
        <w:t>3%</w:t>
      </w:r>
      <w:r>
        <w:rPr>
          <w:rFonts w:ascii="宋体" w:hAnsi="宋体" w:cs="宋体" w:eastAsia="宋体" w:hint="default"/>
          <w:spacing w:val="-2"/>
          <w:sz w:val="16"/>
          <w:szCs w:val="16"/>
        </w:rPr>
        <w:t>的增值税税率；宁波市明州建筑设计院有限公司设计费收</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z w:val="16"/>
          <w:szCs w:val="16"/>
        </w:rPr>
        <w:t>入执行</w:t>
      </w:r>
      <w:r>
        <w:rPr>
          <w:rFonts w:ascii="宋体" w:hAnsi="宋体" w:cs="宋体" w:eastAsia="宋体" w:hint="default"/>
          <w:spacing w:val="-45"/>
          <w:sz w:val="16"/>
          <w:szCs w:val="16"/>
        </w:rPr>
        <w:t> </w:t>
      </w:r>
      <w:r>
        <w:rPr>
          <w:rFonts w:ascii="宋体" w:hAnsi="宋体" w:cs="宋体" w:eastAsia="宋体" w:hint="default"/>
          <w:sz w:val="16"/>
          <w:szCs w:val="16"/>
        </w:rPr>
        <w:t>6%</w:t>
      </w:r>
      <w:r>
        <w:rPr>
          <w:rFonts w:ascii="宋体" w:hAnsi="宋体" w:cs="宋体" w:eastAsia="宋体" w:hint="default"/>
          <w:sz w:val="16"/>
          <w:szCs w:val="16"/>
        </w:rPr>
        <w:t>增值税税率。宁波冶金勘察设计研究股份有限公司勘察设计收入执行</w:t>
      </w:r>
      <w:r>
        <w:rPr>
          <w:rFonts w:ascii="宋体" w:hAnsi="宋体" w:cs="宋体" w:eastAsia="宋体" w:hint="default"/>
          <w:spacing w:val="-42"/>
          <w:sz w:val="16"/>
          <w:szCs w:val="16"/>
        </w:rPr>
        <w:t> </w:t>
      </w:r>
      <w:r>
        <w:rPr>
          <w:rFonts w:ascii="宋体" w:hAnsi="宋体" w:cs="宋体" w:eastAsia="宋体" w:hint="default"/>
          <w:sz w:val="16"/>
          <w:szCs w:val="16"/>
        </w:rPr>
        <w:t>6%</w:t>
      </w:r>
      <w:r>
        <w:rPr>
          <w:rFonts w:ascii="宋体" w:hAnsi="宋体" w:cs="宋体" w:eastAsia="宋体" w:hint="default"/>
          <w:sz w:val="16"/>
          <w:szCs w:val="16"/>
        </w:rPr>
        <w:t>增值税税率。</w:t>
      </w:r>
    </w:p>
    <w:p>
      <w:pPr>
        <w:spacing w:line="357" w:lineRule="auto" w:before="24"/>
        <w:ind w:left="217" w:right="223"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4"/>
          <w:sz w:val="16"/>
          <w:szCs w:val="16"/>
        </w:rPr>
        <w:t> </w:t>
      </w:r>
      <w:r>
        <w:rPr>
          <w:rFonts w:ascii="宋体" w:hAnsi="宋体" w:cs="宋体" w:eastAsia="宋体" w:hint="default"/>
          <w:sz w:val="16"/>
          <w:szCs w:val="16"/>
        </w:rPr>
        <w:t>3</w:t>
      </w:r>
      <w:r>
        <w:rPr>
          <w:rFonts w:ascii="宋体" w:hAnsi="宋体" w:cs="宋体" w:eastAsia="宋体" w:hint="default"/>
          <w:sz w:val="16"/>
          <w:szCs w:val="16"/>
        </w:rPr>
        <w:t>：本公司及子公司分别按照其在地区税务局申报的流转税额的</w:t>
      </w:r>
      <w:r>
        <w:rPr>
          <w:rFonts w:ascii="宋体" w:hAnsi="宋体" w:cs="宋体" w:eastAsia="宋体" w:hint="default"/>
          <w:spacing w:val="-45"/>
          <w:sz w:val="16"/>
          <w:szCs w:val="16"/>
        </w:rPr>
        <w:t> </w:t>
      </w:r>
      <w:r>
        <w:rPr>
          <w:rFonts w:ascii="宋体" w:hAnsi="宋体" w:cs="宋体" w:eastAsia="宋体" w:hint="default"/>
          <w:sz w:val="16"/>
          <w:szCs w:val="16"/>
        </w:rPr>
        <w:t>7%</w:t>
      </w:r>
      <w:r>
        <w:rPr>
          <w:rFonts w:ascii="宋体" w:hAnsi="宋体" w:cs="宋体" w:eastAsia="宋体" w:hint="default"/>
          <w:sz w:val="16"/>
          <w:szCs w:val="16"/>
        </w:rPr>
        <w:t>或</w:t>
      </w:r>
      <w:r>
        <w:rPr>
          <w:rFonts w:ascii="宋体" w:hAnsi="宋体" w:cs="宋体" w:eastAsia="宋体" w:hint="default"/>
          <w:spacing w:val="-44"/>
          <w:sz w:val="16"/>
          <w:szCs w:val="16"/>
        </w:rPr>
        <w:t> </w:t>
      </w:r>
      <w:r>
        <w:rPr>
          <w:rFonts w:ascii="宋体" w:hAnsi="宋体" w:cs="宋体" w:eastAsia="宋体" w:hint="default"/>
          <w:sz w:val="16"/>
          <w:szCs w:val="16"/>
        </w:rPr>
        <w:t>5%</w:t>
      </w:r>
      <w:r>
        <w:rPr>
          <w:rFonts w:ascii="宋体" w:hAnsi="宋体" w:cs="宋体" w:eastAsia="宋体" w:hint="default"/>
          <w:sz w:val="16"/>
          <w:szCs w:val="16"/>
        </w:rPr>
        <w:t>、</w:t>
      </w:r>
      <w:r>
        <w:rPr>
          <w:rFonts w:ascii="宋体" w:hAnsi="宋体" w:cs="宋体" w:eastAsia="宋体" w:hint="default"/>
          <w:sz w:val="16"/>
          <w:szCs w:val="16"/>
        </w:rPr>
        <w:t>3%</w:t>
      </w:r>
      <w:r>
        <w:rPr>
          <w:rFonts w:ascii="宋体" w:hAnsi="宋体" w:cs="宋体" w:eastAsia="宋体" w:hint="default"/>
          <w:sz w:val="16"/>
          <w:szCs w:val="16"/>
        </w:rPr>
        <w:t>、</w:t>
      </w:r>
      <w:r>
        <w:rPr>
          <w:rFonts w:ascii="宋体" w:hAnsi="宋体" w:cs="宋体" w:eastAsia="宋体" w:hint="default"/>
          <w:sz w:val="16"/>
          <w:szCs w:val="16"/>
        </w:rPr>
        <w:t>2%</w:t>
      </w:r>
      <w:r>
        <w:rPr>
          <w:rFonts w:ascii="宋体" w:hAnsi="宋体" w:cs="宋体" w:eastAsia="宋体" w:hint="default"/>
          <w:sz w:val="16"/>
          <w:szCs w:val="16"/>
        </w:rPr>
        <w:t>计算缴纳城市维护建设税、教育费附加</w:t>
      </w:r>
      <w:r>
        <w:rPr>
          <w:rFonts w:ascii="宋体" w:hAnsi="宋体" w:cs="宋体" w:eastAsia="宋体" w:hint="default"/>
          <w:w w:val="100"/>
          <w:sz w:val="16"/>
          <w:szCs w:val="16"/>
        </w:rPr>
        <w:t> </w:t>
      </w:r>
      <w:r>
        <w:rPr>
          <w:rFonts w:ascii="宋体" w:hAnsi="宋体" w:cs="宋体" w:eastAsia="宋体" w:hint="default"/>
          <w:sz w:val="16"/>
          <w:szCs w:val="16"/>
        </w:rPr>
        <w:t>及地方教育费附加。</w:t>
      </w:r>
    </w:p>
    <w:p>
      <w:pPr>
        <w:spacing w:line="357" w:lineRule="auto" w:before="22"/>
        <w:ind w:left="217" w:right="227" w:firstLine="319"/>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3"/>
          <w:sz w:val="16"/>
          <w:szCs w:val="16"/>
        </w:rPr>
        <w:t> </w:t>
      </w:r>
      <w:r>
        <w:rPr>
          <w:rFonts w:ascii="宋体" w:hAnsi="宋体" w:cs="宋体" w:eastAsia="宋体" w:hint="default"/>
          <w:spacing w:val="-1"/>
          <w:sz w:val="16"/>
          <w:szCs w:val="16"/>
        </w:rPr>
        <w:t>4</w:t>
      </w:r>
      <w:r>
        <w:rPr>
          <w:rFonts w:ascii="宋体" w:hAnsi="宋体" w:cs="宋体" w:eastAsia="宋体" w:hint="default"/>
          <w:spacing w:val="-1"/>
          <w:sz w:val="16"/>
          <w:szCs w:val="16"/>
        </w:rPr>
        <w:t>：本公司及除宁波建达起重设备安装有限公司、宁波市明州建筑设计院有限公司、宁波新宇监理有限公司外其他各子</w:t>
      </w:r>
      <w:r>
        <w:rPr>
          <w:rFonts w:ascii="宋体" w:hAnsi="宋体" w:cs="宋体" w:eastAsia="宋体" w:hint="default"/>
          <w:w w:val="100"/>
          <w:sz w:val="16"/>
          <w:szCs w:val="16"/>
        </w:rPr>
        <w:t> </w:t>
      </w:r>
      <w:r>
        <w:rPr>
          <w:rFonts w:ascii="宋体" w:hAnsi="宋体" w:cs="宋体" w:eastAsia="宋体" w:hint="default"/>
          <w:spacing w:val="-1"/>
          <w:sz w:val="16"/>
          <w:szCs w:val="16"/>
        </w:rPr>
        <w:t>公司，报告期均按《中华人民共和国企业所得税法》适用</w:t>
      </w:r>
      <w:r>
        <w:rPr>
          <w:rFonts w:ascii="宋体" w:hAnsi="宋体" w:cs="宋体" w:eastAsia="宋体" w:hint="default"/>
          <w:spacing w:val="-10"/>
          <w:sz w:val="16"/>
          <w:szCs w:val="16"/>
        </w:rPr>
        <w:t> </w:t>
      </w:r>
      <w:r>
        <w:rPr>
          <w:rFonts w:ascii="宋体" w:hAnsi="宋体" w:cs="宋体" w:eastAsia="宋体" w:hint="default"/>
          <w:spacing w:val="-1"/>
          <w:sz w:val="16"/>
          <w:szCs w:val="16"/>
        </w:rPr>
        <w:t>25%</w:t>
      </w:r>
      <w:r>
        <w:rPr>
          <w:rFonts w:ascii="宋体" w:hAnsi="宋体" w:cs="宋体" w:eastAsia="宋体" w:hint="default"/>
          <w:spacing w:val="-1"/>
          <w:sz w:val="16"/>
          <w:szCs w:val="16"/>
        </w:rPr>
        <w:t>的企业所得税税率。</w:t>
      </w:r>
    </w:p>
    <w:p>
      <w:pPr>
        <w:pStyle w:val="BodyText"/>
        <w:spacing w:line="273" w:lineRule="exact" w:before="16"/>
        <w:ind w:left="217" w:right="2465"/>
        <w:jc w:val="left"/>
      </w:pPr>
      <w:r>
        <w:rPr/>
        <w:t>存在不同企业所得税税率纳税主体的，披露情况说明</w:t>
      </w:r>
    </w:p>
    <w:p>
      <w:pPr>
        <w:pStyle w:val="BodyText"/>
        <w:spacing w:line="273" w:lineRule="exact"/>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宁波建达起重设备安装有限公司（注</w:t>
            </w:r>
            <w:r>
              <w:rPr>
                <w:rFonts w:ascii="宋体" w:hAnsi="宋体" w:cs="宋体" w:eastAsia="宋体" w:hint="default"/>
                <w:spacing w:val="-55"/>
                <w:sz w:val="21"/>
                <w:szCs w:val="21"/>
              </w:rPr>
              <w:t> </w:t>
            </w:r>
            <w:r>
              <w:rPr>
                <w:rFonts w:ascii="宋体" w:hAnsi="宋体" w:cs="宋体" w:eastAsia="宋体" w:hint="default"/>
                <w:sz w:val="21"/>
                <w:szCs w:val="21"/>
              </w:rPr>
              <w:t>4-1</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宁波市明州建筑设计院有限公司（注</w:t>
            </w:r>
            <w:r>
              <w:rPr>
                <w:rFonts w:ascii="宋体" w:hAnsi="宋体" w:cs="宋体" w:eastAsia="宋体" w:hint="default"/>
                <w:spacing w:val="-55"/>
                <w:sz w:val="21"/>
                <w:szCs w:val="21"/>
              </w:rPr>
              <w:t> </w:t>
            </w:r>
            <w:r>
              <w:rPr>
                <w:rFonts w:ascii="宋体" w:hAnsi="宋体" w:cs="宋体" w:eastAsia="宋体" w:hint="default"/>
                <w:sz w:val="21"/>
                <w:szCs w:val="21"/>
              </w:rPr>
              <w:t>4-2</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宁波新宇监理有限公司（注</w:t>
            </w:r>
            <w:r>
              <w:rPr>
                <w:rFonts w:ascii="宋体" w:hAnsi="宋体" w:cs="宋体" w:eastAsia="宋体" w:hint="default"/>
                <w:spacing w:val="-54"/>
                <w:sz w:val="21"/>
                <w:szCs w:val="21"/>
              </w:rPr>
              <w:t> </w:t>
            </w:r>
            <w:r>
              <w:rPr>
                <w:rFonts w:ascii="宋体" w:hAnsi="宋体" w:cs="宋体" w:eastAsia="宋体" w:hint="default"/>
                <w:sz w:val="21"/>
                <w:szCs w:val="21"/>
              </w:rPr>
              <w:t>4-3</w:t>
            </w:r>
            <w:r>
              <w:rPr>
                <w:rFonts w:ascii="宋体" w:hAnsi="宋体" w:cs="宋体" w:eastAsia="宋体" w:hint="default"/>
                <w:sz w:val="21"/>
                <w:szCs w:val="21"/>
              </w:rPr>
              <w:t>）</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10</w:t>
            </w:r>
          </w:p>
        </w:tc>
      </w:tr>
    </w:tbl>
    <w:p>
      <w:pPr>
        <w:spacing w:line="183" w:lineRule="exact" w:before="0"/>
        <w:ind w:left="536" w:right="227"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1"/>
          <w:sz w:val="16"/>
          <w:szCs w:val="16"/>
        </w:rPr>
        <w:t> </w:t>
      </w:r>
      <w:r>
        <w:rPr>
          <w:rFonts w:ascii="宋体" w:hAnsi="宋体" w:cs="宋体" w:eastAsia="宋体" w:hint="default"/>
          <w:spacing w:val="-1"/>
          <w:sz w:val="16"/>
          <w:szCs w:val="16"/>
        </w:rPr>
        <w:t>4-1</w:t>
      </w:r>
      <w:r>
        <w:rPr>
          <w:rFonts w:ascii="宋体" w:hAnsi="宋体" w:cs="宋体" w:eastAsia="宋体" w:hint="default"/>
          <w:spacing w:val="-1"/>
          <w:sz w:val="16"/>
          <w:szCs w:val="16"/>
        </w:rPr>
        <w:t>：经宁波市鄞州区地方税务局江东分局审批，该企业属于小型微利企业，按核定征收方式缴纳企业所得税。税务机</w:t>
      </w:r>
    </w:p>
    <w:p>
      <w:pPr>
        <w:spacing w:before="100"/>
        <w:ind w:left="217" w:right="2465" w:firstLine="0"/>
        <w:jc w:val="left"/>
        <w:rPr>
          <w:rFonts w:ascii="宋体" w:hAnsi="宋体" w:cs="宋体" w:eastAsia="宋体" w:hint="default"/>
          <w:sz w:val="16"/>
          <w:szCs w:val="16"/>
        </w:rPr>
      </w:pPr>
      <w:r>
        <w:rPr>
          <w:rFonts w:ascii="宋体" w:hAnsi="宋体" w:cs="宋体" w:eastAsia="宋体" w:hint="default"/>
          <w:sz w:val="16"/>
          <w:szCs w:val="16"/>
        </w:rPr>
        <w:t>关核定的应税所得率为</w:t>
      </w:r>
      <w:r>
        <w:rPr>
          <w:rFonts w:ascii="宋体" w:hAnsi="宋体" w:cs="宋体" w:eastAsia="宋体" w:hint="default"/>
          <w:spacing w:val="-43"/>
          <w:sz w:val="16"/>
          <w:szCs w:val="16"/>
        </w:rPr>
        <w:t> </w:t>
      </w:r>
      <w:r>
        <w:rPr>
          <w:rFonts w:ascii="宋体" w:hAnsi="宋体" w:cs="宋体" w:eastAsia="宋体" w:hint="default"/>
          <w:sz w:val="16"/>
          <w:szCs w:val="16"/>
        </w:rPr>
        <w:t>8%</w:t>
      </w:r>
      <w:r>
        <w:rPr>
          <w:rFonts w:ascii="宋体" w:hAnsi="宋体" w:cs="宋体" w:eastAsia="宋体" w:hint="default"/>
          <w:sz w:val="16"/>
          <w:szCs w:val="16"/>
        </w:rPr>
        <w:t>，应纳税所得额按收入的</w:t>
      </w:r>
      <w:r>
        <w:rPr>
          <w:rFonts w:ascii="宋体" w:hAnsi="宋体" w:cs="宋体" w:eastAsia="宋体" w:hint="default"/>
          <w:spacing w:val="-42"/>
          <w:sz w:val="16"/>
          <w:szCs w:val="16"/>
        </w:rPr>
        <w:t> </w:t>
      </w:r>
      <w:r>
        <w:rPr>
          <w:rFonts w:ascii="宋体" w:hAnsi="宋体" w:cs="宋体" w:eastAsia="宋体" w:hint="default"/>
          <w:sz w:val="16"/>
          <w:szCs w:val="16"/>
        </w:rPr>
        <w:t>8%</w:t>
      </w:r>
      <w:r>
        <w:rPr>
          <w:rFonts w:ascii="宋体" w:hAnsi="宋体" w:cs="宋体" w:eastAsia="宋体" w:hint="default"/>
          <w:sz w:val="16"/>
          <w:szCs w:val="16"/>
        </w:rPr>
        <w:t>计算确定，适用税率为</w:t>
      </w:r>
      <w:r>
        <w:rPr>
          <w:rFonts w:ascii="宋体" w:hAnsi="宋体" w:cs="宋体" w:eastAsia="宋体" w:hint="default"/>
          <w:spacing w:val="-45"/>
          <w:sz w:val="16"/>
          <w:szCs w:val="16"/>
        </w:rPr>
        <w:t> </w:t>
      </w:r>
      <w:r>
        <w:rPr>
          <w:rFonts w:ascii="宋体" w:hAnsi="宋体" w:cs="宋体" w:eastAsia="宋体" w:hint="default"/>
          <w:sz w:val="16"/>
          <w:szCs w:val="16"/>
        </w:rPr>
        <w:t>25%</w:t>
      </w:r>
      <w:r>
        <w:rPr>
          <w:rFonts w:ascii="宋体" w:hAnsi="宋体" w:cs="宋体" w:eastAsia="宋体" w:hint="default"/>
          <w:sz w:val="16"/>
          <w:szCs w:val="16"/>
        </w:rPr>
        <w:t>。</w:t>
      </w:r>
    </w:p>
    <w:p>
      <w:pPr>
        <w:spacing w:line="357" w:lineRule="auto" w:before="102"/>
        <w:ind w:left="217" w:right="227" w:firstLine="319"/>
        <w:jc w:val="left"/>
        <w:rPr>
          <w:rFonts w:ascii="宋体" w:hAnsi="宋体" w:cs="宋体" w:eastAsia="宋体" w:hint="default"/>
          <w:sz w:val="16"/>
          <w:szCs w:val="16"/>
        </w:rPr>
      </w:pPr>
      <w:r>
        <w:rPr>
          <w:rFonts w:ascii="宋体" w:hAnsi="宋体" w:cs="宋体" w:eastAsia="宋体" w:hint="default"/>
          <w:sz w:val="16"/>
          <w:szCs w:val="16"/>
        </w:rPr>
        <w:t>注 </w:t>
      </w:r>
      <w:r>
        <w:rPr>
          <w:rFonts w:ascii="宋体" w:hAnsi="宋体" w:cs="宋体" w:eastAsia="宋体" w:hint="default"/>
          <w:spacing w:val="-2"/>
          <w:sz w:val="16"/>
          <w:szCs w:val="16"/>
        </w:rPr>
        <w:t>4-2</w:t>
      </w:r>
      <w:r>
        <w:rPr>
          <w:rFonts w:ascii="宋体" w:hAnsi="宋体" w:cs="宋体" w:eastAsia="宋体" w:hint="default"/>
          <w:spacing w:val="-2"/>
          <w:sz w:val="16"/>
          <w:szCs w:val="16"/>
        </w:rPr>
        <w:t>：经宁波市海曙区地方税务局审批，按核定征收方式缴纳企业所得税，税务机关核定的应税所得率为</w:t>
      </w:r>
      <w:r>
        <w:rPr>
          <w:rFonts w:ascii="宋体" w:hAnsi="宋体" w:cs="宋体" w:eastAsia="宋体" w:hint="default"/>
          <w:spacing w:val="-31"/>
          <w:sz w:val="16"/>
          <w:szCs w:val="16"/>
        </w:rPr>
        <w:t> </w:t>
      </w:r>
      <w:r>
        <w:rPr>
          <w:rFonts w:ascii="宋体" w:hAnsi="宋体" w:cs="宋体" w:eastAsia="宋体" w:hint="default"/>
          <w:spacing w:val="-3"/>
          <w:sz w:val="16"/>
          <w:szCs w:val="16"/>
        </w:rPr>
        <w:t>15%</w:t>
      </w:r>
      <w:r>
        <w:rPr>
          <w:rFonts w:ascii="宋体" w:hAnsi="宋体" w:cs="宋体" w:eastAsia="宋体" w:hint="default"/>
          <w:spacing w:val="-3"/>
          <w:sz w:val="16"/>
          <w:szCs w:val="16"/>
        </w:rPr>
        <w:t>，应纳税所</w:t>
      </w:r>
      <w:r>
        <w:rPr>
          <w:rFonts w:ascii="宋体" w:hAnsi="宋体" w:cs="宋体" w:eastAsia="宋体" w:hint="default"/>
          <w:w w:val="100"/>
          <w:sz w:val="16"/>
          <w:szCs w:val="16"/>
        </w:rPr>
        <w:t> </w:t>
      </w:r>
      <w:r>
        <w:rPr>
          <w:rFonts w:ascii="宋体" w:hAnsi="宋体" w:cs="宋体" w:eastAsia="宋体" w:hint="default"/>
          <w:sz w:val="16"/>
          <w:szCs w:val="16"/>
        </w:rPr>
        <w:t>得额按收入的</w:t>
      </w:r>
      <w:r>
        <w:rPr>
          <w:rFonts w:ascii="宋体" w:hAnsi="宋体" w:cs="宋体" w:eastAsia="宋体" w:hint="default"/>
          <w:spacing w:val="-43"/>
          <w:sz w:val="16"/>
          <w:szCs w:val="16"/>
        </w:rPr>
        <w:t> </w:t>
      </w:r>
      <w:r>
        <w:rPr>
          <w:rFonts w:ascii="宋体" w:hAnsi="宋体" w:cs="宋体" w:eastAsia="宋体" w:hint="default"/>
          <w:sz w:val="16"/>
          <w:szCs w:val="16"/>
        </w:rPr>
        <w:t>15%</w:t>
      </w:r>
      <w:r>
        <w:rPr>
          <w:rFonts w:ascii="宋体" w:hAnsi="宋体" w:cs="宋体" w:eastAsia="宋体" w:hint="default"/>
          <w:sz w:val="16"/>
          <w:szCs w:val="16"/>
        </w:rPr>
        <w:t>计算确定，适用税率</w:t>
      </w:r>
      <w:r>
        <w:rPr>
          <w:rFonts w:ascii="宋体" w:hAnsi="宋体" w:cs="宋体" w:eastAsia="宋体" w:hint="default"/>
          <w:spacing w:val="-42"/>
          <w:sz w:val="16"/>
          <w:szCs w:val="16"/>
        </w:rPr>
        <w:t> </w:t>
      </w:r>
      <w:r>
        <w:rPr>
          <w:rFonts w:ascii="宋体" w:hAnsi="宋体" w:cs="宋体" w:eastAsia="宋体" w:hint="default"/>
          <w:sz w:val="16"/>
          <w:szCs w:val="16"/>
        </w:rPr>
        <w:t>25</w:t>
      </w:r>
      <w:r>
        <w:rPr>
          <w:rFonts w:ascii="宋体" w:hAnsi="宋体" w:cs="宋体" w:eastAsia="宋体" w:hint="default"/>
          <w:sz w:val="16"/>
          <w:szCs w:val="16"/>
        </w:rPr>
        <w:t>。</w:t>
      </w:r>
    </w:p>
    <w:p>
      <w:pPr>
        <w:spacing w:before="22"/>
        <w:ind w:left="536" w:right="2465" w:firstLine="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3"/>
          <w:sz w:val="16"/>
          <w:szCs w:val="16"/>
        </w:rPr>
        <w:t> </w:t>
      </w:r>
      <w:r>
        <w:rPr>
          <w:rFonts w:ascii="宋体" w:hAnsi="宋体" w:cs="宋体" w:eastAsia="宋体" w:hint="default"/>
          <w:sz w:val="16"/>
          <w:szCs w:val="16"/>
        </w:rPr>
        <w:t>4-3</w:t>
      </w:r>
      <w:r>
        <w:rPr>
          <w:rFonts w:ascii="宋体" w:hAnsi="宋体" w:cs="宋体" w:eastAsia="宋体" w:hint="default"/>
          <w:sz w:val="16"/>
          <w:szCs w:val="16"/>
        </w:rPr>
        <w:t>：公司为小型微利企业，企业所得税率为</w:t>
      </w:r>
      <w:r>
        <w:rPr>
          <w:rFonts w:ascii="宋体" w:hAnsi="宋体" w:cs="宋体" w:eastAsia="宋体" w:hint="default"/>
          <w:spacing w:val="-44"/>
          <w:sz w:val="16"/>
          <w:szCs w:val="16"/>
        </w:rPr>
        <w:t> </w:t>
      </w:r>
      <w:r>
        <w:rPr>
          <w:rFonts w:ascii="宋体" w:hAnsi="宋体" w:cs="宋体" w:eastAsia="宋体" w:hint="default"/>
          <w:sz w:val="16"/>
          <w:szCs w:val="16"/>
        </w:rPr>
        <w:t>10%</w:t>
      </w:r>
      <w:r>
        <w:rPr>
          <w:rFonts w:ascii="宋体" w:hAnsi="宋体" w:cs="宋体" w:eastAsia="宋体" w:hint="default"/>
          <w:sz w:val="16"/>
          <w:szCs w:val="16"/>
        </w:rPr>
        <w:t>。</w:t>
      </w:r>
    </w:p>
    <w:p>
      <w:pPr>
        <w:spacing w:line="240" w:lineRule="auto" w:before="11"/>
        <w:rPr>
          <w:rFonts w:ascii="宋体" w:hAnsi="宋体" w:cs="宋体" w:eastAsia="宋体" w:hint="default"/>
          <w:sz w:val="11"/>
          <w:szCs w:val="11"/>
        </w:rPr>
      </w:pPr>
    </w:p>
    <w:p>
      <w:pPr>
        <w:pStyle w:val="Heading3"/>
        <w:tabs>
          <w:tab w:pos="641" w:val="left" w:leader="none"/>
        </w:tabs>
        <w:spacing w:line="240" w:lineRule="auto" w:before="0"/>
        <w:ind w:right="2465"/>
        <w:jc w:val="left"/>
        <w:rPr>
          <w:b w:val="0"/>
          <w:bCs w:val="0"/>
        </w:rPr>
      </w:pPr>
      <w:r>
        <w:rPr>
          <w:rFonts w:ascii="宋体" w:hAnsi="宋体" w:cs="宋体" w:eastAsia="宋体" w:hint="default"/>
          <w:w w:val="95"/>
        </w:rPr>
        <w:t>2.</w:t>
        <w:tab/>
      </w:r>
      <w:r>
        <w:rPr/>
        <w:t>税收优惠</w:t>
      </w:r>
      <w:r>
        <w:rPr>
          <w:b w:val="0"/>
          <w:bCs w:val="0"/>
        </w:rPr>
      </w:r>
    </w:p>
    <w:p>
      <w:pPr>
        <w:pStyle w:val="BodyText"/>
        <w:tabs>
          <w:tab w:pos="975" w:val="left" w:leader="none"/>
        </w:tabs>
        <w:spacing w:line="240" w:lineRule="auto" w:before="58"/>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46"/>
          <w:pgSz w:w="11910" w:h="16840"/>
          <w:pgMar w:footer="1195" w:header="882" w:top="1120" w:bottom="1380" w:left="1060" w:right="1560"/>
          <w:pgNumType w:start="101"/>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460" w:right="1300"/>
        </w:sectPr>
      </w:pPr>
    </w:p>
    <w:p>
      <w:pPr>
        <w:pStyle w:val="Heading3"/>
        <w:tabs>
          <w:tab w:pos="1242" w:val="left" w:leader="none"/>
        </w:tabs>
        <w:spacing w:line="240" w:lineRule="auto"/>
        <w:ind w:left="817" w:right="0"/>
        <w:jc w:val="left"/>
        <w:rPr>
          <w:b w:val="0"/>
          <w:bCs w:val="0"/>
        </w:rPr>
      </w:pPr>
      <w:r>
        <w:rPr>
          <w:rFonts w:ascii="宋体" w:hAnsi="宋体" w:cs="宋体" w:eastAsia="宋体" w:hint="default"/>
          <w:w w:val="95"/>
        </w:rPr>
        <w:t>3.</w:t>
        <w:tab/>
      </w:r>
      <w:r>
        <w:rPr/>
        <w:t>其他</w:t>
      </w:r>
      <w:r>
        <w:rPr>
          <w:b w:val="0"/>
          <w:bCs w:val="0"/>
        </w:rPr>
      </w:r>
    </w:p>
    <w:p>
      <w:pPr>
        <w:tabs>
          <w:tab w:pos="1575" w:val="left" w:leader="none"/>
        </w:tabs>
        <w:spacing w:line="283" w:lineRule="auto" w:before="56"/>
        <w:ind w:left="817"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1563" w:val="left" w:leader="none"/>
        </w:tabs>
        <w:spacing w:line="240" w:lineRule="auto" w:before="21"/>
        <w:ind w:left="81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1300"/>
          <w:cols w:num="2" w:equalWidth="0">
            <w:col w:w="3352" w:space="3169"/>
            <w:col w:w="3629"/>
          </w:cols>
        </w:sectPr>
      </w:pPr>
    </w:p>
    <w:p>
      <w:pPr>
        <w:spacing w:line="240" w:lineRule="auto" w:before="7"/>
        <w:rPr>
          <w:rFonts w:ascii="宋体" w:hAnsi="宋体" w:cs="宋体" w:eastAsia="宋体" w:hint="default"/>
          <w:sz w:val="2"/>
          <w:szCs w:val="2"/>
        </w:rPr>
      </w:pPr>
    </w:p>
    <w:tbl>
      <w:tblPr>
        <w:tblW w:w="0" w:type="auto"/>
        <w:jc w:val="left"/>
        <w:tblInd w:w="807" w:type="dxa"/>
        <w:tblLayout w:type="fixed"/>
        <w:tblCellMar>
          <w:top w:w="0" w:type="dxa"/>
          <w:left w:w="0" w:type="dxa"/>
          <w:bottom w:w="0" w:type="dxa"/>
          <w:right w:w="0" w:type="dxa"/>
        </w:tblCellMar>
        <w:tblLook w:val="01E0"/>
      </w:tblPr>
      <w:tblGrid>
        <w:gridCol w:w="2223"/>
        <w:gridCol w:w="3299"/>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549,867.00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533,327.16</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1,788,044,865.30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1,544,861,276.85</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553,277,005.48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179,272,795.78</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2,341,871,737.78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1,724,667,399.79</w:t>
            </w:r>
          </w:p>
        </w:tc>
      </w:tr>
      <w:tr>
        <w:trPr>
          <w:trHeight w:val="55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Times New Roman" w:hAnsi="Times New Roman" w:cs="Times New Roman" w:eastAsia="Times New Roman" w:hint="default"/>
                <w:sz w:val="21"/>
                <w:szCs w:val="21"/>
              </w:rPr>
            </w:pPr>
            <w:r>
              <w:rPr>
                <w:rFonts w:ascii="Times New Roman"/>
                <w:spacing w:val="-2"/>
                <w:sz w:val="21"/>
              </w:rPr>
              <w:t>11,852,721.91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Times New Roman" w:hAnsi="Times New Roman" w:cs="Times New Roman" w:eastAsia="Times New Roman" w:hint="default"/>
                <w:sz w:val="21"/>
                <w:szCs w:val="21"/>
              </w:rPr>
            </w:pPr>
            <w:r>
              <w:rPr>
                <w:rFonts w:ascii="Times New Roman"/>
                <w:spacing w:val="-1"/>
                <w:sz w:val="21"/>
              </w:rPr>
              <w:t>12,975,458.37</w:t>
            </w:r>
          </w:p>
        </w:tc>
      </w:tr>
    </w:tbl>
    <w:p>
      <w:pPr>
        <w:pStyle w:val="BodyText"/>
        <w:spacing w:line="240" w:lineRule="exact"/>
        <w:ind w:left="817" w:right="0"/>
        <w:jc w:val="left"/>
      </w:pPr>
      <w:r>
        <w:rPr/>
        <w:t>其他说明</w:t>
      </w:r>
    </w:p>
    <w:p>
      <w:pPr>
        <w:pStyle w:val="BodyText"/>
        <w:spacing w:line="280" w:lineRule="exact"/>
        <w:ind w:left="817" w:right="0"/>
        <w:jc w:val="left"/>
      </w:pPr>
      <w:r>
        <w:rPr>
          <w:spacing w:val="-3"/>
        </w:rPr>
        <w:t>期末因抵押、质押或冻结等对使用有限制的货币资金余额为 </w:t>
      </w:r>
      <w:r>
        <w:rPr>
          <w:rFonts w:ascii="Times New Roman" w:hAnsi="Times New Roman" w:cs="Times New Roman" w:eastAsia="Times New Roman" w:hint="default"/>
        </w:rPr>
        <w:t>84,732,752.28</w:t>
      </w:r>
      <w:r>
        <w:rPr>
          <w:rFonts w:ascii="Times New Roman" w:hAnsi="Times New Roman" w:cs="Times New Roman" w:eastAsia="Times New Roman" w:hint="default"/>
          <w:spacing w:val="16"/>
        </w:rPr>
        <w:t> </w:t>
      </w:r>
      <w:r>
        <w:rPr>
          <w:spacing w:val="-4"/>
        </w:rPr>
        <w:t>元，期末到期日三个月</w:t>
      </w:r>
    </w:p>
    <w:p>
      <w:pPr>
        <w:pStyle w:val="BodyText"/>
        <w:spacing w:line="281" w:lineRule="exact"/>
        <w:ind w:left="817" w:right="0"/>
        <w:jc w:val="left"/>
      </w:pPr>
      <w:r>
        <w:rPr/>
        <w:t>以上的其他货币资金余额为</w:t>
      </w:r>
      <w:r>
        <w:rPr>
          <w:spacing w:val="-53"/>
        </w:rPr>
        <w:t> </w:t>
      </w:r>
      <w:r>
        <w:rPr>
          <w:rFonts w:ascii="Times New Roman" w:hAnsi="Times New Roman" w:cs="Times New Roman" w:eastAsia="Times New Roman" w:hint="default"/>
        </w:rPr>
        <w:t>182,537,040.69 </w:t>
      </w:r>
      <w:r>
        <w:rPr>
          <w:spacing w:val="-3"/>
        </w:rPr>
        <w:t>元。</w:t>
      </w:r>
      <w:r>
        <w:rPr/>
      </w:r>
    </w:p>
    <w:p>
      <w:pPr>
        <w:spacing w:line="240" w:lineRule="auto" w:before="0"/>
        <w:rPr>
          <w:rFonts w:ascii="宋体" w:hAnsi="宋体" w:cs="宋体" w:eastAsia="宋体" w:hint="default"/>
          <w:sz w:val="17"/>
          <w:szCs w:val="17"/>
        </w:rPr>
      </w:pPr>
    </w:p>
    <w:p>
      <w:pPr>
        <w:pStyle w:val="BodyText"/>
        <w:spacing w:line="240" w:lineRule="auto"/>
        <w:ind w:left="8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460" w:right="1300"/>
        </w:sectPr>
      </w:pPr>
    </w:p>
    <w:p>
      <w:pPr>
        <w:pStyle w:val="Heading3"/>
        <w:spacing w:line="240" w:lineRule="auto"/>
        <w:ind w:left="817" w:right="-19"/>
        <w:jc w:val="left"/>
        <w:rPr>
          <w:b w:val="0"/>
          <w:bCs w:val="0"/>
        </w:rPr>
      </w:pPr>
      <w:r>
        <w:rPr>
          <w:rFonts w:ascii="宋体" w:hAnsi="宋体" w:cs="宋体" w:eastAsia="宋体" w:hint="default"/>
        </w:rPr>
        <w:t>2</w:t>
      </w:r>
      <w:r>
        <w:rPr/>
        <w:t>、</w:t>
      </w:r>
      <w:r>
        <w:rPr>
          <w:spacing w:val="-2"/>
        </w:rPr>
        <w:t> </w:t>
      </w:r>
      <w:r>
        <w:rPr/>
        <w:t>应收票据</w:t>
      </w:r>
      <w:r>
        <w:rPr>
          <w:b w:val="0"/>
          <w:bCs w:val="0"/>
        </w:rPr>
      </w:r>
    </w:p>
    <w:p>
      <w:pPr>
        <w:pStyle w:val="Heading3"/>
        <w:spacing w:line="240" w:lineRule="auto" w:before="56"/>
        <w:ind w:left="81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8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1300"/>
          <w:cols w:num="2" w:equalWidth="0">
            <w:col w:w="3035" w:space="3486"/>
            <w:col w:w="3629"/>
          </w:cols>
        </w:sectPr>
      </w:pPr>
    </w:p>
    <w:p>
      <w:pPr>
        <w:spacing w:line="240" w:lineRule="auto" w:before="4"/>
        <w:rPr>
          <w:rFonts w:ascii="宋体" w:hAnsi="宋体" w:cs="宋体" w:eastAsia="宋体" w:hint="default"/>
          <w:sz w:val="2"/>
          <w:szCs w:val="2"/>
        </w:rPr>
      </w:pPr>
    </w:p>
    <w:tbl>
      <w:tblPr>
        <w:tblW w:w="0" w:type="auto"/>
        <w:jc w:val="left"/>
        <w:tblInd w:w="670"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30,223,679.24</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18,777,173.10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128,822,968.94</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6"/>
              <w:jc w:val="right"/>
              <w:rPr>
                <w:rFonts w:ascii="Times New Roman" w:hAnsi="Times New Roman" w:cs="Times New Roman" w:eastAsia="Times New Roman" w:hint="default"/>
                <w:sz w:val="21"/>
                <w:szCs w:val="21"/>
              </w:rPr>
            </w:pPr>
            <w:r>
              <w:rPr>
                <w:rFonts w:ascii="Times New Roman"/>
                <w:spacing w:val="-1"/>
                <w:sz w:val="21"/>
              </w:rPr>
              <w:t>35,285,177.56</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159,046,648.18</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54,062,350.66</w:t>
            </w:r>
          </w:p>
        </w:tc>
      </w:tr>
    </w:tbl>
    <w:p>
      <w:pPr>
        <w:pStyle w:val="BodyText"/>
        <w:spacing w:line="248" w:lineRule="exact"/>
        <w:ind w:left="817" w:right="0"/>
        <w:jc w:val="left"/>
      </w:pPr>
      <w:r>
        <w:rPr/>
        <w:t>期末已终止确认的已背书在资产负债表日尚未到期的银行承兑汇票金额为 </w:t>
      </w:r>
      <w:r>
        <w:rPr>
          <w:rFonts w:ascii="Times New Roman" w:hAnsi="Times New Roman" w:cs="Times New Roman" w:eastAsia="Times New Roman" w:hint="default"/>
        </w:rPr>
        <w:t>416,377,514.35</w:t>
      </w:r>
      <w:r>
        <w:rPr>
          <w:rFonts w:ascii="Times New Roman" w:hAnsi="Times New Roman" w:cs="Times New Roman" w:eastAsia="Times New Roman" w:hint="default"/>
          <w:spacing w:val="1"/>
        </w:rPr>
        <w:t> </w:t>
      </w:r>
      <w:r>
        <w:rPr/>
        <w:t>元，期</w:t>
      </w:r>
    </w:p>
    <w:p>
      <w:pPr>
        <w:pStyle w:val="BodyText"/>
        <w:spacing w:line="282" w:lineRule="exact"/>
        <w:ind w:left="817" w:right="0"/>
        <w:jc w:val="left"/>
      </w:pPr>
      <w:r>
        <w:rPr/>
        <w:t>末未终止确认的已背书在资产负债表日尚未到期的商业承兑汇票金额为</w:t>
      </w:r>
      <w:r>
        <w:rPr>
          <w:spacing w:val="-56"/>
        </w:rPr>
        <w:t> </w:t>
      </w:r>
      <w:r>
        <w:rPr>
          <w:rFonts w:ascii="Times New Roman" w:hAnsi="Times New Roman" w:cs="Times New Roman" w:eastAsia="Times New Roman" w:hint="default"/>
        </w:rPr>
        <w:t>90,723,753.17</w:t>
      </w:r>
      <w:r>
        <w:rPr>
          <w:rFonts w:ascii="Times New Roman" w:hAnsi="Times New Roman" w:cs="Times New Roman" w:eastAsia="Times New Roman" w:hint="default"/>
          <w:spacing w:val="-3"/>
        </w:rPr>
        <w:t> </w:t>
      </w:r>
      <w:r>
        <w:rPr>
          <w:spacing w:val="-3"/>
        </w:rPr>
        <w:t>元。</w:t>
      </w:r>
      <w:r>
        <w:rPr/>
      </w:r>
    </w:p>
    <w:p>
      <w:pPr>
        <w:pStyle w:val="Heading3"/>
        <w:spacing w:line="240" w:lineRule="auto" w:before="40"/>
        <w:ind w:left="817"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8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49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2879"/>
        <w:gridCol w:w="3051"/>
        <w:gridCol w:w="3121"/>
      </w:tblGrid>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416,377,514.35</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90,723,753.17</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416,377,514.35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90,723,753.17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460" w:right="1300"/>
        </w:sectPr>
      </w:pPr>
    </w:p>
    <w:p>
      <w:pPr>
        <w:pStyle w:val="Heading3"/>
        <w:spacing w:line="240" w:lineRule="auto"/>
        <w:ind w:left="817" w:right="-20"/>
        <w:jc w:val="left"/>
        <w:rPr>
          <w:b w:val="0"/>
          <w:bCs w:val="0"/>
        </w:rPr>
      </w:pPr>
      <w:r>
        <w:rPr>
          <w:rFonts w:ascii="宋体" w:hAnsi="宋体" w:cs="宋体" w:eastAsia="宋体" w:hint="default"/>
        </w:rPr>
        <w:t>3</w:t>
      </w:r>
      <w:r>
        <w:rPr/>
        <w:t>、</w:t>
      </w:r>
      <w:r>
        <w:rPr>
          <w:spacing w:val="-2"/>
        </w:rPr>
        <w:t> </w:t>
      </w:r>
      <w:r>
        <w:rPr/>
        <w:t>应收账款</w:t>
      </w:r>
      <w:r>
        <w:rPr>
          <w:b w:val="0"/>
          <w:bCs w:val="0"/>
        </w:rPr>
      </w:r>
    </w:p>
    <w:p>
      <w:pPr>
        <w:pStyle w:val="Heading3"/>
        <w:spacing w:line="240" w:lineRule="auto" w:before="58"/>
        <w:ind w:left="817"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left="81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1300"/>
          <w:cols w:num="2" w:equalWidth="0">
            <w:col w:w="3081" w:space="3338"/>
            <w:col w:w="373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08"/>
        <w:gridCol w:w="1262"/>
        <w:gridCol w:w="439"/>
        <w:gridCol w:w="1124"/>
        <w:gridCol w:w="439"/>
        <w:gridCol w:w="1274"/>
        <w:gridCol w:w="1265"/>
        <w:gridCol w:w="437"/>
        <w:gridCol w:w="1135"/>
        <w:gridCol w:w="569"/>
        <w:gridCol w:w="1270"/>
      </w:tblGrid>
      <w:tr>
        <w:trPr>
          <w:trHeight w:val="269"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5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708"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82" w:right="47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9" w:right="47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708"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6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274"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1" w:right="51" w:hanging="3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27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60" w:right="13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708"/>
        <w:gridCol w:w="1262"/>
        <w:gridCol w:w="439"/>
        <w:gridCol w:w="1124"/>
        <w:gridCol w:w="439"/>
        <w:gridCol w:w="1274"/>
        <w:gridCol w:w="1265"/>
        <w:gridCol w:w="437"/>
        <w:gridCol w:w="1135"/>
        <w:gridCol w:w="569"/>
        <w:gridCol w:w="1270"/>
      </w:tblGrid>
      <w:tr>
        <w:trPr>
          <w:trHeight w:val="98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3" w:right="70"/>
              <w:jc w:val="both"/>
              <w:rPr>
                <w:rFonts w:ascii="宋体" w:hAnsi="宋体" w:cs="宋体" w:eastAsia="宋体" w:hint="default"/>
                <w:sz w:val="15"/>
                <w:szCs w:val="15"/>
              </w:rPr>
            </w:pPr>
            <w:r>
              <w:rPr>
                <w:rFonts w:ascii="宋体" w:hAnsi="宋体" w:cs="宋体" w:eastAsia="宋体" w:hint="default"/>
                <w:sz w:val="15"/>
                <w:szCs w:val="15"/>
              </w:rPr>
              <w:t>重大并单</w:t>
            </w:r>
            <w:r>
              <w:rPr>
                <w:rFonts w:ascii="宋体" w:hAnsi="宋体" w:cs="宋体" w:eastAsia="宋体" w:hint="default"/>
                <w:w w:val="100"/>
                <w:sz w:val="15"/>
                <w:szCs w:val="15"/>
              </w:rPr>
              <w:t> </w:t>
            </w:r>
            <w:r>
              <w:rPr>
                <w:rFonts w:ascii="宋体" w:hAnsi="宋体" w:cs="宋体" w:eastAsia="宋体" w:hint="default"/>
                <w:sz w:val="15"/>
                <w:szCs w:val="15"/>
              </w:rPr>
              <w:t>独计提坏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295,476,038.79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sz w:val="15"/>
              </w:rPr>
              <w:t>8.11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120,860,679.59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40.90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174,615,359.20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472,145,931.01</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10.90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120,062,324.74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25.43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352,083,606.27</w:t>
            </w:r>
          </w:p>
        </w:tc>
      </w:tr>
      <w:tr>
        <w:trPr>
          <w:trHeight w:val="98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3" w:right="0"/>
              <w:jc w:val="both"/>
              <w:rPr>
                <w:rFonts w:ascii="宋体" w:hAnsi="宋体" w:cs="宋体" w:eastAsia="宋体" w:hint="default"/>
                <w:sz w:val="15"/>
                <w:szCs w:val="15"/>
              </w:rPr>
            </w:pPr>
            <w:r>
              <w:rPr>
                <w:rFonts w:ascii="宋体" w:hAnsi="宋体" w:cs="宋体" w:eastAsia="宋体" w:hint="default"/>
                <w:sz w:val="15"/>
                <w:szCs w:val="15"/>
              </w:rPr>
              <w:t>按信用风</w:t>
            </w:r>
          </w:p>
          <w:p>
            <w:pPr>
              <w:pStyle w:val="TableParagraph"/>
              <w:spacing w:line="240" w:lineRule="auto"/>
              <w:ind w:left="23" w:right="70"/>
              <w:jc w:val="both"/>
              <w:rPr>
                <w:rFonts w:ascii="宋体" w:hAnsi="宋体" w:cs="宋体" w:eastAsia="宋体" w:hint="default"/>
                <w:sz w:val="15"/>
                <w:szCs w:val="15"/>
              </w:rPr>
            </w:pPr>
            <w:r>
              <w:rPr>
                <w:rFonts w:ascii="宋体" w:hAnsi="宋体" w:cs="宋体" w:eastAsia="宋体" w:hint="default"/>
                <w:sz w:val="15"/>
                <w:szCs w:val="15"/>
              </w:rPr>
              <w:t>险特征组</w:t>
            </w:r>
            <w:r>
              <w:rPr>
                <w:rFonts w:ascii="宋体" w:hAnsi="宋体" w:cs="宋体" w:eastAsia="宋体" w:hint="default"/>
                <w:w w:val="100"/>
                <w:sz w:val="15"/>
                <w:szCs w:val="15"/>
              </w:rPr>
              <w:t> </w:t>
            </w:r>
            <w:r>
              <w:rPr>
                <w:rFonts w:ascii="宋体" w:hAnsi="宋体" w:cs="宋体" w:eastAsia="宋体" w:hint="default"/>
                <w:sz w:val="15"/>
                <w:szCs w:val="15"/>
              </w:rPr>
              <w:t>合计提坏</w:t>
            </w:r>
            <w:r>
              <w:rPr>
                <w:rFonts w:ascii="宋体" w:hAnsi="宋体" w:cs="宋体" w:eastAsia="宋体" w:hint="default"/>
                <w:w w:val="100"/>
                <w:sz w:val="15"/>
                <w:szCs w:val="15"/>
              </w:rPr>
              <w:t> </w:t>
            </w:r>
            <w:r>
              <w:rPr>
                <w:rFonts w:ascii="宋体" w:hAnsi="宋体" w:cs="宋体" w:eastAsia="宋体" w:hint="default"/>
                <w:sz w:val="15"/>
                <w:szCs w:val="15"/>
              </w:rPr>
              <w:t>账准备的</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3,310,537,671.32</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sz w:val="15"/>
              </w:rPr>
              <w:t>90.88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198,594,286.16</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7" w:right="0"/>
              <w:jc w:val="center"/>
              <w:rPr>
                <w:rFonts w:ascii="宋体" w:hAnsi="宋体" w:cs="宋体" w:eastAsia="宋体" w:hint="default"/>
                <w:sz w:val="15"/>
                <w:szCs w:val="15"/>
              </w:rPr>
            </w:pPr>
            <w:r>
              <w:rPr>
                <w:rFonts w:ascii="宋体"/>
                <w:sz w:val="15"/>
              </w:rPr>
              <w:t>6.00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3,111,943,385.16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3,839,265,752.87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sz w:val="15"/>
              </w:rPr>
              <w:t>88.65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220,389,895.31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5.74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3,618,875,857.56</w:t>
            </w:r>
          </w:p>
        </w:tc>
      </w:tr>
      <w:tr>
        <w:trPr>
          <w:trHeight w:val="117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单项金额</w:t>
            </w:r>
          </w:p>
          <w:p>
            <w:pPr>
              <w:pStyle w:val="TableParagraph"/>
              <w:spacing w:line="240" w:lineRule="auto"/>
              <w:ind w:left="23" w:right="70"/>
              <w:jc w:val="both"/>
              <w:rPr>
                <w:rFonts w:ascii="宋体" w:hAnsi="宋体" w:cs="宋体" w:eastAsia="宋体" w:hint="default"/>
                <w:sz w:val="15"/>
                <w:szCs w:val="15"/>
              </w:rPr>
            </w:pPr>
            <w:r>
              <w:rPr>
                <w:rFonts w:ascii="宋体" w:hAnsi="宋体" w:cs="宋体" w:eastAsia="宋体" w:hint="default"/>
                <w:sz w:val="15"/>
                <w:szCs w:val="15"/>
              </w:rPr>
              <w:t>不重大但</w:t>
            </w:r>
            <w:r>
              <w:rPr>
                <w:rFonts w:ascii="宋体" w:hAnsi="宋体" w:cs="宋体" w:eastAsia="宋体" w:hint="default"/>
                <w:w w:val="100"/>
                <w:sz w:val="15"/>
                <w:szCs w:val="15"/>
              </w:rPr>
              <w:t> </w:t>
            </w:r>
            <w:r>
              <w:rPr>
                <w:rFonts w:ascii="宋体" w:hAnsi="宋体" w:cs="宋体" w:eastAsia="宋体" w:hint="default"/>
                <w:sz w:val="15"/>
                <w:szCs w:val="15"/>
              </w:rPr>
              <w:t>单独计提</w:t>
            </w:r>
            <w:r>
              <w:rPr>
                <w:rFonts w:ascii="宋体" w:hAnsi="宋体" w:cs="宋体" w:eastAsia="宋体" w:hint="default"/>
                <w:w w:val="100"/>
                <w:sz w:val="15"/>
                <w:szCs w:val="15"/>
              </w:rPr>
              <w:t> </w:t>
            </w:r>
            <w:r>
              <w:rPr>
                <w:rFonts w:ascii="宋体" w:hAnsi="宋体" w:cs="宋体" w:eastAsia="宋体" w:hint="default"/>
                <w:sz w:val="15"/>
                <w:szCs w:val="15"/>
              </w:rPr>
              <w:t>坏账准备</w:t>
            </w:r>
            <w:r>
              <w:rPr>
                <w:rFonts w:ascii="宋体" w:hAnsi="宋体" w:cs="宋体" w:eastAsia="宋体" w:hint="default"/>
                <w:w w:val="100"/>
                <w:sz w:val="15"/>
                <w:szCs w:val="15"/>
              </w:rPr>
              <w:t> </w:t>
            </w:r>
            <w:r>
              <w:rPr>
                <w:rFonts w:ascii="宋体" w:hAnsi="宋体" w:cs="宋体" w:eastAsia="宋体" w:hint="default"/>
                <w:sz w:val="15"/>
                <w:szCs w:val="15"/>
              </w:rPr>
              <w:t>的应收账</w:t>
            </w:r>
            <w:r>
              <w:rPr>
                <w:rFonts w:ascii="宋体" w:hAnsi="宋体" w:cs="宋体" w:eastAsia="宋体" w:hint="default"/>
                <w:w w:val="100"/>
                <w:sz w:val="15"/>
                <w:szCs w:val="15"/>
              </w:rPr>
              <w:t> </w:t>
            </w:r>
            <w:r>
              <w:rPr>
                <w:rFonts w:ascii="宋体" w:hAnsi="宋体" w:cs="宋体" w:eastAsia="宋体" w:hint="default"/>
                <w:sz w:val="15"/>
                <w:szCs w:val="15"/>
              </w:rPr>
              <w:t>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36,722,178.09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8" w:right="0"/>
              <w:jc w:val="center"/>
              <w:rPr>
                <w:rFonts w:ascii="宋体" w:hAnsi="宋体" w:cs="宋体" w:eastAsia="宋体" w:hint="default"/>
                <w:sz w:val="15"/>
                <w:szCs w:val="15"/>
              </w:rPr>
            </w:pPr>
            <w:r>
              <w:rPr>
                <w:rFonts w:ascii="宋体"/>
                <w:sz w:val="15"/>
              </w:rPr>
              <w:t>1.01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26,600,140.49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72.44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10,122,037.60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19,479,286.47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0.45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16,077,248.02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82.54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3,402,038.45</w:t>
            </w:r>
          </w:p>
        </w:tc>
      </w:tr>
      <w:tr>
        <w:trPr>
          <w:trHeight w:val="2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9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3,642,735,888.20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346,055,106.24</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3,296,680,781.96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4,330,890,970.35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356,529,468.07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3,974,361,502.28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460" w:right="1300"/>
        </w:sectPr>
      </w:pPr>
    </w:p>
    <w:p>
      <w:pPr>
        <w:pStyle w:val="BodyText"/>
        <w:spacing w:line="273" w:lineRule="exact" w:before="36"/>
        <w:ind w:left="817" w:right="0"/>
        <w:jc w:val="left"/>
      </w:pPr>
      <w:r>
        <w:rPr>
          <w:spacing w:val="-2"/>
        </w:rPr>
        <w:t>期末单项金额重大并单项计提坏帐准备的应收账款</w:t>
      </w:r>
    </w:p>
    <w:p>
      <w:pPr>
        <w:pStyle w:val="BodyText"/>
        <w:spacing w:line="273" w:lineRule="exact"/>
        <w:ind w:left="8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1300"/>
          <w:cols w:num="2" w:equalWidth="0">
            <w:col w:w="5443" w:space="1078"/>
            <w:col w:w="3629"/>
          </w:cols>
        </w:sectPr>
      </w:pPr>
    </w:p>
    <w:p>
      <w:pPr>
        <w:spacing w:line="240" w:lineRule="auto" w:before="4"/>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1973"/>
        <w:gridCol w:w="1712"/>
        <w:gridCol w:w="1899"/>
        <w:gridCol w:w="1752"/>
        <w:gridCol w:w="1714"/>
      </w:tblGrid>
      <w:tr>
        <w:trPr>
          <w:trHeight w:val="283" w:hRule="exact"/>
        </w:trPr>
        <w:tc>
          <w:tcPr>
            <w:tcW w:w="1973" w:type="dxa"/>
            <w:vMerge w:val="restart"/>
            <w:tcBorders>
              <w:top w:val="single" w:sz="4" w:space="0" w:color="000000"/>
              <w:left w:val="single" w:sz="4" w:space="0" w:color="000000"/>
              <w:right w:val="single" w:sz="4" w:space="0" w:color="000000"/>
            </w:tcBorders>
          </w:tcPr>
          <w:p>
            <w:pPr>
              <w:pStyle w:val="TableParagraph"/>
              <w:spacing w:line="245" w:lineRule="exact"/>
              <w:ind w:left="3"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973"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盛宏永（九江）实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22,300,000.00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6,690,000.00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太仓康来特房地产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19,200,000.00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宁波香格房地产开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19,454,455.00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9,727,227.50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苍南浙福数码家电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城开发有限公司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55,214,172.38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16,564,251.71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浙江华越置业有限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74,600,000.00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29,840,000.00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9"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兰溪市喜瑞地产发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23,312,270.00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11,656,135.00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浙江缙云路网物流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13,230,000.00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6,615,000.00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杭州森淼房地产开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18,331,089.33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18,331,089.33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镇江深国投商用置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17,738,693.30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8,933,995.34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宁波广隆房地产开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20,875,814.00</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4,175,162.80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涉及诉讼，按谨</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慎性原则计提坏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舟山凤凰岛置业发</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11,219,544.78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4,487,817.91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sz w:val="21"/>
                <w:szCs w:val="21"/>
              </w:rPr>
              <w:t>涉及诉讼，按谨</w:t>
            </w:r>
          </w:p>
        </w:tc>
      </w:tr>
    </w:tbl>
    <w:p>
      <w:pPr>
        <w:spacing w:after="0" w:line="243" w:lineRule="exact"/>
        <w:jc w:val="center"/>
        <w:rPr>
          <w:rFonts w:ascii="宋体" w:hAnsi="宋体" w:cs="宋体" w:eastAsia="宋体" w:hint="default"/>
          <w:sz w:val="21"/>
          <w:szCs w:val="21"/>
        </w:rPr>
        <w:sectPr>
          <w:type w:val="continuous"/>
          <w:pgSz w:w="11910" w:h="16840"/>
          <w:pgMar w:top="1120" w:bottom="1380" w:left="460" w:right="1300"/>
        </w:sectPr>
      </w:pPr>
    </w:p>
    <w:p>
      <w:pPr>
        <w:spacing w:line="240" w:lineRule="auto" w:before="0"/>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973"/>
        <w:gridCol w:w="1712"/>
        <w:gridCol w:w="1899"/>
        <w:gridCol w:w="1752"/>
        <w:gridCol w:w="1714"/>
      </w:tblGrid>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4"/>
              <w:jc w:val="right"/>
              <w:rPr>
                <w:rFonts w:ascii="宋体" w:hAnsi="宋体" w:cs="宋体" w:eastAsia="宋体" w:hint="default"/>
                <w:sz w:val="21"/>
                <w:szCs w:val="21"/>
              </w:rPr>
            </w:pPr>
            <w:r>
              <w:rPr>
                <w:rFonts w:ascii="宋体" w:hAnsi="宋体" w:cs="宋体" w:eastAsia="宋体" w:hint="default"/>
                <w:spacing w:val="-1"/>
                <w:sz w:val="21"/>
                <w:szCs w:val="21"/>
              </w:rPr>
              <w:t>展有限公司</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慎性原则计提坏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账</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8"/>
              <w:jc w:val="right"/>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295,476,038.79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120,860,679.59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20" w:right="1540"/>
        </w:sectPr>
      </w:pPr>
    </w:p>
    <w:p>
      <w:pPr>
        <w:pStyle w:val="BodyText"/>
        <w:spacing w:line="273" w:lineRule="exact" w:before="36"/>
        <w:ind w:left="257" w:right="0"/>
        <w:jc w:val="left"/>
      </w:pPr>
      <w:r>
        <w:rPr>
          <w:spacing w:val="-2"/>
        </w:rPr>
        <w:t>组合中，按账龄分析法计提坏账准备的应收账款：</w:t>
      </w:r>
    </w:p>
    <w:p>
      <w:pPr>
        <w:pStyle w:val="BodyText"/>
        <w:spacing w:line="273"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4883" w:space="1638"/>
            <w:col w:w="2829"/>
          </w:cols>
        </w:sectPr>
      </w:pPr>
    </w:p>
    <w:p>
      <w:pPr>
        <w:spacing w:line="240" w:lineRule="auto" w:before="4"/>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9"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9"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1,976,266,212.98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59,287,986.36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1,976,266,212.98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59,287,986.36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690,866,372.47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69,086,637.26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188,309,982.14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28,246,497.33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73,854,005.14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14,770,801.02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71,881,584.80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14,376,316.97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64,130,236.13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12,826,047.22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3,065,308,393.66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198,594,286.16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57" w:right="0"/>
        <w:jc w:val="left"/>
      </w:pPr>
      <w:r>
        <w:rPr/>
        <w:t>组合中，采用其他方法计提坏账准备的应收账款：</w:t>
      </w:r>
    </w:p>
    <w:p>
      <w:pPr>
        <w:pStyle w:val="BodyText"/>
        <w:tabs>
          <w:tab w:pos="1099" w:val="left" w:leader="none"/>
        </w:tabs>
        <w:spacing w:line="273" w:lineRule="exact"/>
        <w:ind w:left="257"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20" w:type="dxa"/>
        <w:tblLayout w:type="fixed"/>
        <w:tblCellMar>
          <w:top w:w="0" w:type="dxa"/>
          <w:left w:w="0" w:type="dxa"/>
          <w:bottom w:w="0" w:type="dxa"/>
          <w:right w:w="0" w:type="dxa"/>
        </w:tblCellMar>
        <w:tblLook w:val="01E0"/>
      </w:tblPr>
      <w:tblGrid>
        <w:gridCol w:w="2033"/>
        <w:gridCol w:w="1477"/>
        <w:gridCol w:w="1085"/>
        <w:gridCol w:w="989"/>
        <w:gridCol w:w="1476"/>
        <w:gridCol w:w="1088"/>
        <w:gridCol w:w="917"/>
      </w:tblGrid>
      <w:tr>
        <w:trPr>
          <w:trHeight w:val="360" w:hRule="exact"/>
        </w:trPr>
        <w:tc>
          <w:tcPr>
            <w:tcW w:w="2033"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624"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355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7"/>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48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1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530" w:hRule="exact"/>
        </w:trPr>
        <w:tc>
          <w:tcPr>
            <w:tcW w:w="2033"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余额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计提比例</w:t>
            </w:r>
          </w:p>
          <w:p>
            <w:pPr>
              <w:pStyle w:val="TableParagraph"/>
              <w:spacing w:line="235" w:lineRule="exact"/>
              <w:ind w:left="4" w:right="0"/>
              <w:jc w:val="center"/>
              <w:rPr>
                <w:rFonts w:ascii="宋体" w:hAnsi="宋体" w:cs="宋体" w:eastAsia="宋体" w:hint="default"/>
                <w:sz w:val="18"/>
                <w:szCs w:val="18"/>
              </w:rPr>
            </w:pPr>
            <w:r>
              <w:rPr>
                <w:rFonts w:ascii="宋体"/>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坏账准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账面</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余额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0"/>
                <w:szCs w:val="20"/>
              </w:rPr>
            </w:pPr>
            <w:r>
              <w:rPr>
                <w:rFonts w:ascii="宋体" w:hAnsi="宋体" w:cs="宋体" w:eastAsia="宋体" w:hint="default"/>
                <w:sz w:val="20"/>
                <w:szCs w:val="20"/>
              </w:rPr>
              <w:t>计提比例</w:t>
            </w:r>
          </w:p>
          <w:p>
            <w:pPr>
              <w:pStyle w:val="TableParagraph"/>
              <w:spacing w:line="235" w:lineRule="exact"/>
              <w:ind w:right="2"/>
              <w:jc w:val="center"/>
              <w:rPr>
                <w:rFonts w:ascii="宋体" w:hAnsi="宋体" w:cs="宋体" w:eastAsia="宋体" w:hint="default"/>
                <w:sz w:val="18"/>
                <w:szCs w:val="18"/>
              </w:rPr>
            </w:pPr>
            <w:r>
              <w:rPr>
                <w:rFonts w:ascii="宋体"/>
                <w:sz w:val="18"/>
              </w:rPr>
              <w:t>(%)</w:t>
            </w:r>
          </w:p>
        </w:tc>
        <w:tc>
          <w:tcPr>
            <w:tcW w:w="917"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52" w:right="0"/>
              <w:jc w:val="left"/>
              <w:rPr>
                <w:rFonts w:ascii="宋体" w:hAnsi="宋体" w:cs="宋体" w:eastAsia="宋体" w:hint="default"/>
                <w:sz w:val="20"/>
                <w:szCs w:val="20"/>
              </w:rPr>
            </w:pPr>
            <w:r>
              <w:rPr>
                <w:rFonts w:ascii="宋体" w:hAnsi="宋体" w:cs="宋体" w:eastAsia="宋体" w:hint="default"/>
                <w:sz w:val="20"/>
                <w:szCs w:val="20"/>
              </w:rPr>
              <w:t>坏账</w:t>
            </w:r>
          </w:p>
          <w:p>
            <w:pPr>
              <w:pStyle w:val="TableParagraph"/>
              <w:spacing w:line="260" w:lineRule="exact"/>
              <w:ind w:left="252" w:right="0"/>
              <w:jc w:val="left"/>
              <w:rPr>
                <w:rFonts w:ascii="宋体" w:hAnsi="宋体" w:cs="宋体" w:eastAsia="宋体" w:hint="default"/>
                <w:sz w:val="20"/>
                <w:szCs w:val="20"/>
              </w:rPr>
            </w:pPr>
            <w:r>
              <w:rPr>
                <w:rFonts w:ascii="宋体" w:hAnsi="宋体" w:cs="宋体" w:eastAsia="宋体" w:hint="default"/>
                <w:sz w:val="20"/>
                <w:szCs w:val="20"/>
              </w:rPr>
              <w:t>准备</w:t>
            </w:r>
          </w:p>
        </w:tc>
      </w:tr>
      <w:tr>
        <w:trPr>
          <w:trHeight w:val="350" w:hRule="exact"/>
        </w:trPr>
        <w:tc>
          <w:tcPr>
            <w:tcW w:w="2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245,229,277.66</w:t>
            </w:r>
          </w:p>
        </w:tc>
        <w:tc>
          <w:tcPr>
            <w:tcW w:w="10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137,093,979.06</w:t>
            </w:r>
          </w:p>
        </w:tc>
        <w:tc>
          <w:tcPr>
            <w:tcW w:w="108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0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7"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245,229,277.66</w:t>
            </w:r>
          </w:p>
        </w:tc>
        <w:tc>
          <w:tcPr>
            <w:tcW w:w="1085" w:type="dxa"/>
            <w:tcBorders>
              <w:top w:val="single" w:sz="4" w:space="0" w:color="000000"/>
              <w:left w:val="single" w:sz="4" w:space="0" w:color="000000"/>
              <w:bottom w:val="single" w:sz="12" w:space="0" w:color="000000"/>
              <w:right w:val="single" w:sz="4" w:space="0" w:color="000000"/>
            </w:tcBorders>
          </w:tcPr>
          <w:p>
            <w:pPr/>
          </w:p>
        </w:tc>
        <w:tc>
          <w:tcPr>
            <w:tcW w:w="989"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sz w:val="18"/>
              </w:rPr>
              <w:t>137,093,979.06</w:t>
            </w:r>
          </w:p>
        </w:tc>
        <w:tc>
          <w:tcPr>
            <w:tcW w:w="1088" w:type="dxa"/>
            <w:tcBorders>
              <w:top w:val="single" w:sz="4" w:space="0" w:color="000000"/>
              <w:left w:val="single" w:sz="4" w:space="0" w:color="000000"/>
              <w:bottom w:val="single" w:sz="12" w:space="0" w:color="000000"/>
              <w:right w:val="single" w:sz="4" w:space="0" w:color="000000"/>
            </w:tcBorders>
          </w:tcPr>
          <w:p>
            <w:pPr/>
          </w:p>
        </w:tc>
        <w:tc>
          <w:tcPr>
            <w:tcW w:w="917" w:type="dxa"/>
            <w:tcBorders>
              <w:top w:val="single" w:sz="4" w:space="0" w:color="000000"/>
              <w:left w:val="single" w:sz="4" w:space="0" w:color="000000"/>
              <w:bottom w:val="single" w:sz="12" w:space="0" w:color="000000"/>
              <w:right w:val="nil" w:sz="6" w:space="0" w:color="auto"/>
            </w:tcBorders>
          </w:tcPr>
          <w:p>
            <w:pPr/>
          </w:p>
        </w:tc>
      </w:tr>
    </w:tbl>
    <w:p>
      <w:pPr>
        <w:pStyle w:val="BodyText"/>
        <w:spacing w:line="241" w:lineRule="exact"/>
        <w:ind w:left="257" w:right="0"/>
        <w:jc w:val="left"/>
      </w:pPr>
      <w:r>
        <w:rPr/>
        <w:t>期末单项金额虽不重大但单项计提坏账准备的应收账款</w:t>
      </w:r>
    </w:p>
    <w:p>
      <w:pPr>
        <w:spacing w:line="240" w:lineRule="auto" w:before="3"/>
        <w:rPr>
          <w:rFonts w:ascii="宋体" w:hAnsi="宋体" w:cs="宋体" w:eastAsia="宋体" w:hint="default"/>
          <w:sz w:val="23"/>
          <w:szCs w:val="23"/>
        </w:rPr>
      </w:pPr>
    </w:p>
    <w:tbl>
      <w:tblPr>
        <w:tblW w:w="0" w:type="auto"/>
        <w:jc w:val="left"/>
        <w:tblInd w:w="120" w:type="dxa"/>
        <w:tblLayout w:type="fixed"/>
        <w:tblCellMar>
          <w:top w:w="0" w:type="dxa"/>
          <w:left w:w="0" w:type="dxa"/>
          <w:bottom w:w="0" w:type="dxa"/>
          <w:right w:w="0" w:type="dxa"/>
        </w:tblCellMar>
        <w:tblLook w:val="01E0"/>
      </w:tblPr>
      <w:tblGrid>
        <w:gridCol w:w="2120"/>
        <w:gridCol w:w="1385"/>
        <w:gridCol w:w="1387"/>
        <w:gridCol w:w="963"/>
        <w:gridCol w:w="814"/>
        <w:gridCol w:w="2396"/>
      </w:tblGrid>
      <w:tr>
        <w:trPr>
          <w:trHeight w:val="492" w:hRule="exact"/>
        </w:trPr>
        <w:tc>
          <w:tcPr>
            <w:tcW w:w="212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7"/>
              <w:ind w:left="617"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left="32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96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814"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left="168"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2396"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7"/>
              <w:ind w:right="1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8"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金行大酒店有限公司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8,950,000.00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pacing w:val="-1"/>
                <w:sz w:val="18"/>
              </w:rPr>
              <w:t>8,950,000.00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7"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浙江强盛建设工程有限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1,530,752.89</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1,530,752.89</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5"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宁波东钱湖投资开发有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78,001.80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78,001.80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宁波鄞州工业园区开发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建设有限公司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70,714.00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70,714.00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账龄较长，估计难以收回，</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按谨慎性原则计提坏账</w:t>
            </w:r>
          </w:p>
        </w:tc>
      </w:tr>
      <w:tr>
        <w:trPr>
          <w:trHeight w:val="487"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宁波第五医院</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1,065,047.00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213,009.40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42" w:right="0"/>
              <w:jc w:val="center"/>
              <w:rPr>
                <w:rFonts w:ascii="宋体" w:hAnsi="宋体" w:cs="宋体" w:eastAsia="宋体" w:hint="default"/>
                <w:sz w:val="18"/>
                <w:szCs w:val="18"/>
              </w:rPr>
            </w:pPr>
            <w:r>
              <w:rPr>
                <w:rFonts w:ascii="宋体"/>
                <w:sz w:val="18"/>
              </w:rPr>
              <w:t>20.00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487"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宁波佳泰机械工程有限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1,637,895.30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1,637,895.30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88"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山东荷泽热电公司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7,444,767.10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7,444,767.10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企业经营状况恶化，按谨慎</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性原则计提坏账</w:t>
            </w:r>
          </w:p>
        </w:tc>
      </w:tr>
      <w:tr>
        <w:trPr>
          <w:trHeight w:val="492" w:hRule="exact"/>
        </w:trPr>
        <w:tc>
          <w:tcPr>
            <w:tcW w:w="2120"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中顺汽车控股有限公司</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4,545,000.00</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4,545,000.00</w:t>
            </w:r>
          </w:p>
        </w:tc>
        <w:tc>
          <w:tcPr>
            <w:tcW w:w="96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left="53" w:right="0"/>
              <w:jc w:val="center"/>
              <w:rPr>
                <w:rFonts w:ascii="宋体" w:hAnsi="宋体" w:cs="宋体" w:eastAsia="宋体" w:hint="default"/>
                <w:sz w:val="18"/>
                <w:szCs w:val="18"/>
              </w:rPr>
            </w:pPr>
            <w:r>
              <w:rPr>
                <w:rFonts w:ascii="宋体"/>
                <w:sz w:val="18"/>
              </w:rPr>
              <w:t>100.00</w:t>
            </w:r>
          </w:p>
        </w:tc>
        <w:tc>
          <w:tcPr>
            <w:tcW w:w="2396" w:type="dxa"/>
            <w:tcBorders>
              <w:top w:val="single" w:sz="8" w:space="0" w:color="000000"/>
              <w:left w:val="single" w:sz="8" w:space="0" w:color="000000"/>
              <w:bottom w:val="single" w:sz="12" w:space="0" w:color="000000"/>
              <w:right w:val="nil" w:sz="6" w:space="0" w:color="auto"/>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业主经营恶化，按谨慎性原</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则计提</w:t>
            </w:r>
          </w:p>
        </w:tc>
      </w:tr>
    </w:tbl>
    <w:p>
      <w:pPr>
        <w:spacing w:after="0" w:line="240" w:lineRule="auto"/>
        <w:jc w:val="left"/>
        <w:rPr>
          <w:rFonts w:ascii="宋体" w:hAnsi="宋体" w:cs="宋体" w:eastAsia="宋体" w:hint="default"/>
          <w:sz w:val="18"/>
          <w:szCs w:val="18"/>
        </w:rPr>
        <w:sectPr>
          <w:type w:val="continuous"/>
          <w:pgSz w:w="11910" w:h="16840"/>
          <w:pgMar w:top="1120" w:bottom="1380" w:left="1020" w:right="154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20"/>
        <w:gridCol w:w="1385"/>
        <w:gridCol w:w="1387"/>
        <w:gridCol w:w="963"/>
        <w:gridCol w:w="814"/>
        <w:gridCol w:w="2396"/>
      </w:tblGrid>
      <w:tr>
        <w:trPr>
          <w:trHeight w:val="488"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宁波日地太阳能电力有</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3,300,000.00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660,000.00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487"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宁波康来特房地产开发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5,100,000.00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1,020,000.00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年内</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487" w:hRule="exact"/>
        </w:trPr>
        <w:tc>
          <w:tcPr>
            <w:tcW w:w="212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right="62"/>
              <w:jc w:val="center"/>
              <w:rPr>
                <w:rFonts w:ascii="宋体" w:hAnsi="宋体" w:cs="宋体" w:eastAsia="宋体" w:hint="default"/>
                <w:sz w:val="18"/>
                <w:szCs w:val="18"/>
              </w:rPr>
            </w:pPr>
            <w:r>
              <w:rPr>
                <w:rFonts w:ascii="宋体" w:hAnsi="宋体" w:cs="宋体" w:eastAsia="宋体" w:hint="default"/>
                <w:sz w:val="18"/>
                <w:szCs w:val="18"/>
              </w:rPr>
              <w:t>宁波南南置业有限公司</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3,000,000.00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450,000.00</w:t>
            </w:r>
          </w:p>
        </w:tc>
        <w:tc>
          <w:tcPr>
            <w:tcW w:w="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15.00</w:t>
            </w:r>
          </w:p>
        </w:tc>
        <w:tc>
          <w:tcPr>
            <w:tcW w:w="2396"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涉及诉讼，按谨慎性原则计</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提坏账</w:t>
            </w:r>
          </w:p>
        </w:tc>
      </w:tr>
      <w:tr>
        <w:trPr>
          <w:trHeight w:val="365" w:hRule="exact"/>
        </w:trPr>
        <w:tc>
          <w:tcPr>
            <w:tcW w:w="2120" w:type="dxa"/>
            <w:tcBorders>
              <w:top w:val="single" w:sz="8" w:space="0" w:color="000000"/>
              <w:left w:val="nil" w:sz="6" w:space="0" w:color="auto"/>
              <w:bottom w:val="single" w:sz="12" w:space="0" w:color="000000"/>
              <w:right w:val="single" w:sz="8"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36,722,178.09</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26,600,140.49</w:t>
            </w:r>
          </w:p>
        </w:tc>
        <w:tc>
          <w:tcPr>
            <w:tcW w:w="963" w:type="dxa"/>
            <w:tcBorders>
              <w:top w:val="single" w:sz="8" w:space="0" w:color="000000"/>
              <w:left w:val="single" w:sz="8" w:space="0" w:color="000000"/>
              <w:bottom w:val="single" w:sz="12" w:space="0" w:color="000000"/>
              <w:right w:val="single" w:sz="8" w:space="0" w:color="000000"/>
            </w:tcBorders>
          </w:tcPr>
          <w:p>
            <w:pPr/>
          </w:p>
        </w:tc>
        <w:tc>
          <w:tcPr>
            <w:tcW w:w="814" w:type="dxa"/>
            <w:tcBorders>
              <w:top w:val="single" w:sz="8" w:space="0" w:color="000000"/>
              <w:left w:val="single" w:sz="8" w:space="0" w:color="000000"/>
              <w:bottom w:val="single" w:sz="12" w:space="0" w:color="000000"/>
              <w:right w:val="single" w:sz="8" w:space="0" w:color="000000"/>
            </w:tcBorders>
          </w:tcPr>
          <w:p>
            <w:pPr/>
          </w:p>
        </w:tc>
        <w:tc>
          <w:tcPr>
            <w:tcW w:w="2396"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257" w:right="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257" w:right="0"/>
        <w:jc w:val="left"/>
      </w:pPr>
      <w:r>
        <w:rPr/>
        <w:t>本期计提坏账准备金额</w:t>
      </w:r>
      <w:r>
        <w:rPr>
          <w:spacing w:val="-55"/>
        </w:rPr>
        <w:t> </w:t>
      </w:r>
      <w:r>
        <w:rPr>
          <w:rFonts w:ascii="Times New Roman" w:hAnsi="Times New Roman" w:cs="Times New Roman" w:eastAsia="Times New Roman" w:hint="default"/>
        </w:rPr>
        <w:t>20,354,267.72</w:t>
      </w:r>
      <w:r>
        <w:rPr>
          <w:rFonts w:ascii="Times New Roman" w:hAnsi="Times New Roman" w:cs="Times New Roman" w:eastAsia="Times New Roman" w:hint="default"/>
          <w:spacing w:val="-4"/>
        </w:rPr>
        <w:t> </w:t>
      </w:r>
      <w:r>
        <w:rPr/>
        <w:t>元；本期收回或转回坏账准备金额</w:t>
      </w:r>
      <w:r>
        <w:rPr>
          <w:spacing w:val="-55"/>
        </w:rPr>
        <w:t> </w:t>
      </w:r>
      <w:r>
        <w:rPr>
          <w:rFonts w:ascii="Times New Roman" w:hAnsi="Times New Roman" w:cs="Times New Roman" w:eastAsia="Times New Roman" w:hint="default"/>
        </w:rPr>
        <w:t>30,240,873.05</w:t>
      </w:r>
      <w:r>
        <w:rPr>
          <w:rFonts w:ascii="Times New Roman" w:hAnsi="Times New Roman" w:cs="Times New Roman" w:eastAsia="Times New Roman" w:hint="default"/>
          <w:spacing w:val="-2"/>
        </w:rPr>
        <w:t> </w:t>
      </w:r>
      <w:r>
        <w:rPr>
          <w:spacing w:val="-3"/>
        </w:rPr>
        <w:t>元。</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20" w:right="1540"/>
        </w:sectPr>
      </w:pPr>
    </w:p>
    <w:p>
      <w:pPr>
        <w:pStyle w:val="Heading3"/>
        <w:spacing w:line="240" w:lineRule="auto"/>
        <w:ind w:left="257"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5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3573" w:space="2949"/>
            <w:col w:w="2828"/>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587,756.50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20" w:right="1540"/>
        </w:sectPr>
      </w:pPr>
    </w:p>
    <w:p>
      <w:pPr>
        <w:pStyle w:val="BodyText"/>
        <w:spacing w:line="274" w:lineRule="exact" w:before="36"/>
        <w:ind w:left="257" w:right="0"/>
        <w:jc w:val="left"/>
      </w:pPr>
      <w:r>
        <w:rPr>
          <w:spacing w:val="-2"/>
        </w:rPr>
        <w:t>其中重要的应收账款核销情况</w:t>
      </w:r>
    </w:p>
    <w:p>
      <w:pPr>
        <w:pStyle w:val="BodyText"/>
        <w:spacing w:line="290" w:lineRule="exact"/>
        <w:ind w:left="25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2992" w:space="3530"/>
            <w:col w:w="2828"/>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361"/>
        <w:gridCol w:w="1361"/>
        <w:gridCol w:w="1358"/>
        <w:gridCol w:w="1361"/>
        <w:gridCol w:w="1728"/>
        <w:gridCol w:w="1726"/>
      </w:tblGrid>
      <w:tr>
        <w:trPr>
          <w:trHeight w:val="55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88"/>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5"/>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3" w:lineRule="exact"/>
              <w:ind w:right="77"/>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2"/>
              <w:jc w:val="right"/>
              <w:rPr>
                <w:rFonts w:ascii="宋体" w:hAnsi="宋体" w:cs="宋体" w:eastAsia="宋体" w:hint="default"/>
                <w:sz w:val="18"/>
                <w:szCs w:val="18"/>
              </w:rPr>
            </w:pPr>
            <w:r>
              <w:rPr>
                <w:rFonts w:ascii="宋体" w:hAnsi="宋体" w:cs="宋体" w:eastAsia="宋体" w:hint="default"/>
                <w:sz w:val="18"/>
                <w:szCs w:val="18"/>
              </w:rPr>
              <w:t>小额应收款项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25"/>
              <w:jc w:val="right"/>
              <w:rPr>
                <w:rFonts w:ascii="宋体" w:hAnsi="宋体" w:cs="宋体" w:eastAsia="宋体" w:hint="default"/>
                <w:sz w:val="18"/>
                <w:szCs w:val="18"/>
              </w:rPr>
            </w:pPr>
            <w:r>
              <w:rPr>
                <w:rFonts w:ascii="宋体" w:hAnsi="宋体" w:cs="宋体" w:eastAsia="宋体" w:hint="default"/>
                <w:sz w:val="18"/>
                <w:szCs w:val="18"/>
              </w:rPr>
              <w:t>应收工程款</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587,756.50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款项已无法收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经管理层批准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587,756.50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3"/>
        <w:rPr>
          <w:rFonts w:ascii="宋体" w:hAnsi="宋体" w:cs="宋体" w:eastAsia="宋体" w:hint="default"/>
          <w:sz w:val="12"/>
          <w:szCs w:val="12"/>
        </w:rPr>
      </w:pPr>
    </w:p>
    <w:p>
      <w:pPr>
        <w:pStyle w:val="BodyText"/>
        <w:spacing w:line="274" w:lineRule="exact" w:before="36"/>
        <w:ind w:left="257" w:right="0"/>
        <w:jc w:val="left"/>
      </w:pPr>
      <w:r>
        <w:rPr/>
        <w:t>应收账款核销说明</w:t>
      </w:r>
    </w:p>
    <w:p>
      <w:pPr>
        <w:pStyle w:val="BodyText"/>
        <w:spacing w:line="290" w:lineRule="exact"/>
        <w:ind w:left="25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3"/>
        <w:spacing w:line="240" w:lineRule="auto" w:before="0"/>
        <w:ind w:left="257"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03" w:val="left" w:leader="none"/>
        </w:tabs>
        <w:spacing w:line="240" w:lineRule="auto" w:before="56"/>
        <w:ind w:left="25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3951"/>
        <w:gridCol w:w="1702"/>
        <w:gridCol w:w="1558"/>
        <w:gridCol w:w="1524"/>
      </w:tblGrid>
      <w:tr>
        <w:trPr>
          <w:trHeight w:val="487" w:hRule="exact"/>
        </w:trPr>
        <w:tc>
          <w:tcPr>
            <w:tcW w:w="39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5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216"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1"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正阳县军耕新能源科技有限公司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106,679,619.17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2.93</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4,831,762.50</w:t>
            </w:r>
          </w:p>
        </w:tc>
      </w:tr>
      <w:tr>
        <w:trPr>
          <w:trHeight w:val="35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中电投融和融资租赁有限公司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95,270,750.65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2.62</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2,858,122.52</w:t>
            </w:r>
          </w:p>
        </w:tc>
      </w:tr>
      <w:tr>
        <w:trPr>
          <w:trHeight w:val="35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鄞州区高桥镇保障性住房建设办公室</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91,650,000.00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2.52</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9,165,000.00</w:t>
            </w:r>
          </w:p>
        </w:tc>
      </w:tr>
      <w:tr>
        <w:trPr>
          <w:trHeight w:val="35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浙江华越置业有限公司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74,600,000.00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2.05</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40" w:right="0"/>
              <w:jc w:val="left"/>
              <w:rPr>
                <w:rFonts w:ascii="宋体" w:hAnsi="宋体" w:cs="宋体" w:eastAsia="宋体" w:hint="default"/>
                <w:sz w:val="18"/>
                <w:szCs w:val="18"/>
              </w:rPr>
            </w:pPr>
            <w:r>
              <w:rPr>
                <w:rFonts w:ascii="宋体"/>
                <w:sz w:val="18"/>
              </w:rPr>
              <w:t>29,840,000.00</w:t>
            </w:r>
          </w:p>
        </w:tc>
      </w:tr>
      <w:tr>
        <w:trPr>
          <w:trHeight w:val="350"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中经云数据存储科技（北京）有限公司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57,468,468.47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1.58</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3,824,054.05</w:t>
            </w:r>
          </w:p>
        </w:tc>
      </w:tr>
      <w:tr>
        <w:trPr>
          <w:trHeight w:val="360" w:hRule="exact"/>
        </w:trPr>
        <w:tc>
          <w:tcPr>
            <w:tcW w:w="395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425,668,838.29</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11.70</w:t>
            </w:r>
          </w:p>
        </w:tc>
        <w:tc>
          <w:tcPr>
            <w:tcW w:w="1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240" w:right="0"/>
              <w:jc w:val="left"/>
              <w:rPr>
                <w:rFonts w:ascii="宋体" w:hAnsi="宋体" w:cs="宋体" w:eastAsia="宋体" w:hint="default"/>
                <w:sz w:val="18"/>
                <w:szCs w:val="18"/>
              </w:rPr>
            </w:pPr>
            <w:r>
              <w:rPr>
                <w:rFonts w:ascii="宋体"/>
                <w:sz w:val="18"/>
              </w:rPr>
              <w:t>50,518,939.07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ind w:left="257"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03" w:val="left" w:leader="none"/>
        </w:tabs>
        <w:spacing w:line="240" w:lineRule="auto" w:before="56"/>
        <w:ind w:left="25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2194"/>
        <w:gridCol w:w="2182"/>
        <w:gridCol w:w="2180"/>
        <w:gridCol w:w="2180"/>
      </w:tblGrid>
      <w:tr>
        <w:trPr>
          <w:trHeight w:val="497" w:hRule="exact"/>
        </w:trPr>
        <w:tc>
          <w:tcPr>
            <w:tcW w:w="219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21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180" w:type="dxa"/>
            <w:tcBorders>
              <w:top w:val="single" w:sz="12" w:space="0" w:color="000000"/>
              <w:left w:val="single" w:sz="4" w:space="0" w:color="000000"/>
              <w:bottom w:val="single" w:sz="12" w:space="0" w:color="000000"/>
              <w:right w:val="nil" w:sz="6" w:space="0" w:color="auto"/>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与终止确认相关的利得</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或损失</w:t>
            </w:r>
          </w:p>
        </w:tc>
      </w:tr>
    </w:tbl>
    <w:p>
      <w:pPr>
        <w:spacing w:after="0" w:line="234" w:lineRule="exact"/>
        <w:jc w:val="center"/>
        <w:rPr>
          <w:rFonts w:ascii="宋体" w:hAnsi="宋体" w:cs="宋体" w:eastAsia="宋体" w:hint="default"/>
          <w:sz w:val="18"/>
          <w:szCs w:val="18"/>
        </w:rPr>
        <w:sectPr>
          <w:type w:val="continuous"/>
          <w:pgSz w:w="11910" w:h="16840"/>
          <w:pgMar w:top="1120" w:bottom="1380" w:left="1020" w:right="154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94"/>
        <w:gridCol w:w="2182"/>
        <w:gridCol w:w="2180"/>
        <w:gridCol w:w="2180"/>
      </w:tblGrid>
      <w:tr>
        <w:trPr>
          <w:trHeight w:val="488"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21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3"/>
              <w:jc w:val="center"/>
              <w:rPr>
                <w:rFonts w:ascii="宋体" w:hAnsi="宋体" w:cs="宋体" w:eastAsia="宋体" w:hint="default"/>
                <w:sz w:val="18"/>
                <w:szCs w:val="18"/>
              </w:rPr>
            </w:pPr>
            <w:r>
              <w:rPr>
                <w:rFonts w:ascii="宋体" w:hAnsi="宋体" w:cs="宋体" w:eastAsia="宋体" w:hint="default"/>
                <w:sz w:val="18"/>
                <w:szCs w:val="18"/>
              </w:rPr>
              <w:t>与终止确认相关的利得</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或损失</w:t>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应收工程款</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无追索权保理</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100,780,743.58</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4,906,697.04</w:t>
            </w:r>
          </w:p>
        </w:tc>
      </w:tr>
      <w:tr>
        <w:trPr>
          <w:trHeight w:val="360"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2" w:type="dxa"/>
            <w:tcBorders>
              <w:top w:val="single" w:sz="4" w:space="0" w:color="000000"/>
              <w:left w:val="single" w:sz="4" w:space="0" w:color="000000"/>
              <w:bottom w:val="single" w:sz="12" w:space="0" w:color="000000"/>
              <w:right w:val="single" w:sz="4" w:space="0" w:color="000000"/>
            </w:tcBorders>
          </w:tcPr>
          <w:p>
            <w:pP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6"/>
              <w:jc w:val="right"/>
              <w:rPr>
                <w:rFonts w:ascii="宋体" w:hAnsi="宋体" w:cs="宋体" w:eastAsia="宋体" w:hint="default"/>
                <w:sz w:val="18"/>
                <w:szCs w:val="18"/>
              </w:rPr>
            </w:pPr>
            <w:r>
              <w:rPr>
                <w:rFonts w:ascii="宋体"/>
                <w:spacing w:val="-1"/>
                <w:sz w:val="18"/>
              </w:rPr>
              <w:t>100,780,743.58</w:t>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pacing w:val="-1"/>
                <w:sz w:val="18"/>
              </w:rPr>
              <w:t>4,906,697.04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20" w:right="1640"/>
        </w:sectPr>
      </w:pPr>
    </w:p>
    <w:p>
      <w:pPr>
        <w:pStyle w:val="Heading3"/>
        <w:spacing w:line="240" w:lineRule="auto"/>
        <w:ind w:left="257" w:right="-19"/>
        <w:jc w:val="left"/>
        <w:rPr>
          <w:b w:val="0"/>
          <w:bCs w:val="0"/>
        </w:rPr>
      </w:pPr>
      <w:r>
        <w:rPr>
          <w:rFonts w:ascii="宋体" w:hAnsi="宋体" w:cs="宋体" w:eastAsia="宋体" w:hint="default"/>
        </w:rPr>
        <w:t>4</w:t>
      </w:r>
      <w:r>
        <w:rPr/>
        <w:t>、</w:t>
      </w:r>
      <w:r>
        <w:rPr>
          <w:spacing w:val="-2"/>
        </w:rPr>
        <w:t> </w:t>
      </w:r>
      <w:r>
        <w:rPr/>
        <w:t>预付款项</w:t>
      </w:r>
      <w:r>
        <w:rPr>
          <w:b w:val="0"/>
          <w:bCs w:val="0"/>
        </w:rPr>
      </w:r>
    </w:p>
    <w:p>
      <w:pPr>
        <w:pStyle w:val="Heading3"/>
        <w:spacing w:line="240" w:lineRule="auto" w:before="58"/>
        <w:ind w:left="257"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03" w:val="left" w:leader="none"/>
        </w:tabs>
        <w:spacing w:line="240" w:lineRule="auto" w:before="56"/>
        <w:ind w:left="25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640"/>
          <w:cols w:num="2" w:equalWidth="0">
            <w:col w:w="2775" w:space="3746"/>
            <w:col w:w="2729"/>
          </w:cols>
        </w:sectPr>
      </w:pPr>
    </w:p>
    <w:p>
      <w:pPr>
        <w:spacing w:line="240" w:lineRule="auto" w:before="4"/>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289,608,910.36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z w:val="21"/>
              </w:rPr>
              <w:t>73.50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411,706,645.18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80.47</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46,455,580.28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2"/>
                <w:sz w:val="21"/>
              </w:rPr>
              <w:t>11.79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70,121,034.75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13.71</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43,378,818.20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2"/>
                <w:sz w:val="21"/>
              </w:rPr>
              <w:t>11.01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10,343,447.88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2.02</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14,604,443.03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z w:val="21"/>
              </w:rPr>
              <w:t>3.70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19,417,635.06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3.80</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394,047,751.87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511,588,762.87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BodyText"/>
        <w:spacing w:line="240" w:lineRule="auto" w:before="36"/>
        <w:ind w:left="257" w:right="0"/>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8"/>
        <w:rPr>
          <w:rFonts w:ascii="宋体" w:hAnsi="宋体" w:cs="宋体" w:eastAsia="宋体"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2072"/>
        <w:gridCol w:w="2446"/>
        <w:gridCol w:w="1419"/>
        <w:gridCol w:w="859"/>
        <w:gridCol w:w="1940"/>
      </w:tblGrid>
      <w:tr>
        <w:trPr>
          <w:trHeight w:val="360" w:hRule="exact"/>
        </w:trPr>
        <w:tc>
          <w:tcPr>
            <w:tcW w:w="20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24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6"/>
              <w:jc w:val="center"/>
              <w:rPr>
                <w:rFonts w:ascii="宋体" w:hAnsi="宋体" w:cs="宋体" w:eastAsia="宋体" w:hint="default"/>
                <w:sz w:val="18"/>
                <w:szCs w:val="18"/>
              </w:rPr>
            </w:pPr>
            <w:r>
              <w:rPr>
                <w:rFonts w:ascii="宋体" w:hAnsi="宋体" w:cs="宋体" w:eastAsia="宋体" w:hint="default"/>
                <w:sz w:val="18"/>
                <w:szCs w:val="18"/>
              </w:rPr>
              <w:t>账龄</w:t>
            </w:r>
          </w:p>
        </w:tc>
        <w:tc>
          <w:tcPr>
            <w:tcW w:w="19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8"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宁波市政工程建设集团</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宁波市东城华泰石业有限公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35,636,746.67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6"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宁波建工工程集团有限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宁波甬城配电网建设有限公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司江北分公司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6,976,950.00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宁波建工建乐工程有限</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四川省南充市水电工程有限</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4,770,000.00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宁波建工工程集团有限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兰溪市希亮花岗石厂</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3,561,360.00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5"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宁波市政工程建设集团</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苏州金旺土方工程有限公司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3,126,066.81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宁波市政工程建设集团</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中跃市政工程有限公司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2,680,000.00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8"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宁波建工建乐工程有限</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宁波江东朗阁门业有限公司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2,253,018.00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475"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宁波建工建乐工程有限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山西弘桥电力工程有限公司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2,000,000.00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工程项目未到结算期</w:t>
            </w:r>
          </w:p>
        </w:tc>
      </w:tr>
      <w:tr>
        <w:trPr>
          <w:trHeight w:val="363" w:hRule="exact"/>
        </w:trPr>
        <w:tc>
          <w:tcPr>
            <w:tcW w:w="20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6"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61,004,141.48</w:t>
            </w:r>
          </w:p>
        </w:tc>
        <w:tc>
          <w:tcPr>
            <w:tcW w:w="859" w:type="dxa"/>
            <w:tcBorders>
              <w:top w:val="single" w:sz="4" w:space="0" w:color="000000"/>
              <w:left w:val="single" w:sz="4" w:space="0" w:color="000000"/>
              <w:bottom w:val="single" w:sz="12" w:space="0" w:color="000000"/>
              <w:right w:val="single" w:sz="4" w:space="0" w:color="000000"/>
            </w:tcBorders>
          </w:tcPr>
          <w:p>
            <w:pPr/>
          </w:p>
        </w:tc>
        <w:tc>
          <w:tcPr>
            <w:tcW w:w="194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257"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03" w:val="left" w:leader="none"/>
        </w:tabs>
        <w:spacing w:line="240" w:lineRule="auto" w:before="58"/>
        <w:ind w:left="25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20" w:type="dxa"/>
        <w:tblLayout w:type="fixed"/>
        <w:tblCellMar>
          <w:top w:w="0" w:type="dxa"/>
          <w:left w:w="0" w:type="dxa"/>
          <w:bottom w:w="0" w:type="dxa"/>
          <w:right w:w="0" w:type="dxa"/>
        </w:tblCellMar>
        <w:tblLook w:val="01E0"/>
      </w:tblPr>
      <w:tblGrid>
        <w:gridCol w:w="3243"/>
        <w:gridCol w:w="2268"/>
        <w:gridCol w:w="3224"/>
      </w:tblGrid>
      <w:tr>
        <w:trPr>
          <w:trHeight w:val="360" w:hRule="exact"/>
        </w:trPr>
        <w:tc>
          <w:tcPr>
            <w:tcW w:w="32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68"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5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浙江金乐太阳能科技有限公司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107,010,567.62</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27.16</w:t>
            </w:r>
          </w:p>
        </w:tc>
      </w:tr>
      <w:tr>
        <w:trPr>
          <w:trHeight w:val="34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宁波市东城华泰石业有限公司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35,636,746.67</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9.04</w:t>
            </w:r>
          </w:p>
        </w:tc>
      </w:tr>
      <w:tr>
        <w:trPr>
          <w:trHeight w:val="35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浙江现代建工集团有限公司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18,192,092.60</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4.62</w:t>
            </w:r>
          </w:p>
        </w:tc>
      </w:tr>
      <w:tr>
        <w:trPr>
          <w:trHeight w:val="351"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中基宁波集团股份有限公司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9,330,332.23</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2.37</w:t>
            </w:r>
          </w:p>
        </w:tc>
      </w:tr>
      <w:tr>
        <w:trPr>
          <w:trHeight w:val="360" w:hRule="exact"/>
        </w:trPr>
        <w:tc>
          <w:tcPr>
            <w:tcW w:w="32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宁波晶盛物资有限公司</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8,412,348.09</w:t>
            </w:r>
          </w:p>
        </w:tc>
        <w:tc>
          <w:tcPr>
            <w:tcW w:w="3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2.13</w:t>
            </w:r>
          </w:p>
        </w:tc>
      </w:tr>
    </w:tbl>
    <w:p>
      <w:pPr>
        <w:spacing w:after="0" w:line="240" w:lineRule="auto"/>
        <w:jc w:val="right"/>
        <w:rPr>
          <w:rFonts w:ascii="宋体" w:hAnsi="宋体" w:cs="宋体" w:eastAsia="宋体" w:hint="default"/>
          <w:sz w:val="18"/>
          <w:szCs w:val="18"/>
        </w:rPr>
        <w:sectPr>
          <w:type w:val="continuous"/>
          <w:pgSz w:w="11910" w:h="16840"/>
          <w:pgMar w:top="1120" w:bottom="1380" w:left="1020" w:right="1640"/>
        </w:sectPr>
      </w:pPr>
    </w:p>
    <w:p>
      <w:pPr>
        <w:spacing w:line="240" w:lineRule="auto" w:before="0"/>
        <w:rPr>
          <w:rFonts w:ascii="宋体" w:hAnsi="宋体" w:cs="宋体" w:eastAsia="宋体" w:hint="default"/>
          <w:sz w:val="24"/>
          <w:szCs w:val="24"/>
        </w:rPr>
      </w:pPr>
    </w:p>
    <w:tbl>
      <w:tblPr>
        <w:tblW w:w="0" w:type="auto"/>
        <w:jc w:val="left"/>
        <w:tblInd w:w="820" w:type="dxa"/>
        <w:tblLayout w:type="fixed"/>
        <w:tblCellMar>
          <w:top w:w="0" w:type="dxa"/>
          <w:left w:w="0" w:type="dxa"/>
          <w:bottom w:w="0" w:type="dxa"/>
          <w:right w:w="0" w:type="dxa"/>
        </w:tblCellMar>
        <w:tblLook w:val="01E0"/>
      </w:tblPr>
      <w:tblGrid>
        <w:gridCol w:w="3243"/>
        <w:gridCol w:w="2268"/>
        <w:gridCol w:w="3224"/>
      </w:tblGrid>
      <w:tr>
        <w:trPr>
          <w:trHeight w:val="360" w:hRule="exact"/>
        </w:trPr>
        <w:tc>
          <w:tcPr>
            <w:tcW w:w="32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568"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62" w:hRule="exact"/>
        </w:trPr>
        <w:tc>
          <w:tcPr>
            <w:tcW w:w="32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892" w:right="0"/>
              <w:jc w:val="left"/>
              <w:rPr>
                <w:rFonts w:ascii="宋体" w:hAnsi="宋体" w:cs="宋体" w:eastAsia="宋体" w:hint="default"/>
                <w:sz w:val="18"/>
                <w:szCs w:val="18"/>
              </w:rPr>
            </w:pPr>
            <w:r>
              <w:rPr>
                <w:rFonts w:ascii="宋体"/>
                <w:sz w:val="18"/>
              </w:rPr>
              <w:t>178,582,087.21</w:t>
            </w:r>
          </w:p>
        </w:tc>
        <w:tc>
          <w:tcPr>
            <w:tcW w:w="3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45.32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320" w:right="580"/>
        </w:sectPr>
      </w:pPr>
    </w:p>
    <w:p>
      <w:pPr>
        <w:pStyle w:val="Heading3"/>
        <w:spacing w:line="240" w:lineRule="auto"/>
        <w:ind w:left="957" w:right="-19"/>
        <w:jc w:val="left"/>
        <w:rPr>
          <w:b w:val="0"/>
          <w:bCs w:val="0"/>
        </w:rPr>
      </w:pPr>
      <w:r>
        <w:rPr>
          <w:rFonts w:ascii="宋体" w:hAnsi="宋体" w:cs="宋体" w:eastAsia="宋体" w:hint="default"/>
        </w:rPr>
        <w:t>5</w:t>
      </w:r>
      <w:r>
        <w:rPr/>
        <w:t>、</w:t>
      </w:r>
      <w:r>
        <w:rPr>
          <w:spacing w:val="-1"/>
        </w:rPr>
        <w:t> </w:t>
      </w:r>
      <w:r>
        <w:rPr/>
        <w:t>其他应收款</w:t>
      </w:r>
      <w:r>
        <w:rPr>
          <w:b w:val="0"/>
          <w:bCs w:val="0"/>
        </w:rPr>
      </w:r>
    </w:p>
    <w:p>
      <w:pPr>
        <w:pStyle w:val="Heading3"/>
        <w:spacing w:line="240" w:lineRule="auto" w:before="56"/>
        <w:ind w:left="957"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left="95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580"/>
          <w:cols w:num="2" w:equalWidth="0">
            <w:col w:w="3447" w:space="2972"/>
            <w:col w:w="459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19"/>
        <w:gridCol w:w="1277"/>
        <w:gridCol w:w="427"/>
        <w:gridCol w:w="1133"/>
        <w:gridCol w:w="569"/>
        <w:gridCol w:w="1292"/>
        <w:gridCol w:w="1277"/>
        <w:gridCol w:w="427"/>
        <w:gridCol w:w="1117"/>
        <w:gridCol w:w="710"/>
        <w:gridCol w:w="1130"/>
      </w:tblGrid>
      <w:tr>
        <w:trPr>
          <w:trHeight w:val="293"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6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19" w:type="dxa"/>
            <w:vMerge/>
            <w:tcBorders>
              <w:left w:val="single" w:sz="4" w:space="0" w:color="000000"/>
              <w:right w:val="single" w:sz="4" w:space="0" w:color="000000"/>
            </w:tcBorders>
          </w:tcPr>
          <w:p>
            <w:pP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429" w:right="42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350" w:right="3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141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50" w:right="0"/>
              <w:jc w:val="left"/>
              <w:rPr>
                <w:rFonts w:ascii="Times New Roman" w:hAnsi="Times New Roman" w:cs="Times New Roman" w:eastAsia="Times New Roman" w:hint="default"/>
                <w:sz w:val="21"/>
                <w:szCs w:val="21"/>
              </w:rPr>
            </w:pPr>
            <w:r>
              <w:rPr>
                <w:rFonts w:ascii="Times New Roman"/>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19" w:right="0"/>
              <w:jc w:val="left"/>
              <w:rPr>
                <w:rFonts w:ascii="Times New Roman" w:hAnsi="Times New Roman" w:cs="Times New Roman" w:eastAsia="Times New Roman" w:hint="default"/>
                <w:sz w:val="21"/>
                <w:szCs w:val="21"/>
              </w:rPr>
            </w:pPr>
            <w:r>
              <w:rPr>
                <w:rFonts w:ascii="Times New Roman"/>
                <w:sz w:val="21"/>
              </w:rPr>
              <w:t>(%)</w:t>
            </w:r>
          </w:p>
        </w:tc>
        <w:tc>
          <w:tcPr>
            <w:tcW w:w="1292"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50" w:right="0"/>
              <w:jc w:val="left"/>
              <w:rPr>
                <w:rFonts w:ascii="Times New Roman" w:hAnsi="Times New Roman" w:cs="Times New Roman" w:eastAsia="Times New Roman" w:hint="default"/>
                <w:sz w:val="21"/>
                <w:szCs w:val="21"/>
              </w:rPr>
            </w:pPr>
            <w:r>
              <w:rPr>
                <w:rFonts w:ascii="Times New Roman"/>
                <w:sz w:val="21"/>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86" w:right="3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0" w:type="dxa"/>
            <w:vMerge/>
            <w:tcBorders>
              <w:left w:val="single" w:sz="4" w:space="0" w:color="000000"/>
              <w:bottom w:val="single" w:sz="4" w:space="0" w:color="000000"/>
              <w:right w:val="single" w:sz="4" w:space="0" w:color="000000"/>
            </w:tcBorders>
          </w:tcPr>
          <w:p>
            <w:pP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8"/>
                <w:sz w:val="16"/>
                <w:szCs w:val="16"/>
              </w:rPr>
              <w:t>单项金额重大并单</w:t>
            </w:r>
            <w:r>
              <w:rPr>
                <w:rFonts w:ascii="宋体" w:hAnsi="宋体" w:cs="宋体" w:eastAsia="宋体" w:hint="default"/>
                <w:sz w:val="16"/>
                <w:szCs w:val="16"/>
              </w:rPr>
            </w:r>
          </w:p>
          <w:p>
            <w:pPr>
              <w:pStyle w:val="TableParagraph"/>
              <w:spacing w:line="206" w:lineRule="exact" w:before="21"/>
              <w:ind w:left="26" w:right="17"/>
              <w:jc w:val="left"/>
              <w:rPr>
                <w:rFonts w:ascii="宋体" w:hAnsi="宋体" w:cs="宋体" w:eastAsia="宋体" w:hint="default"/>
                <w:sz w:val="16"/>
                <w:szCs w:val="16"/>
              </w:rPr>
            </w:pPr>
            <w:r>
              <w:rPr>
                <w:rFonts w:ascii="宋体" w:hAnsi="宋体" w:cs="宋体" w:eastAsia="宋体" w:hint="default"/>
                <w:spacing w:val="8"/>
                <w:sz w:val="16"/>
                <w:szCs w:val="16"/>
              </w:rPr>
              <w:t>独计提坏账准备的</w:t>
            </w:r>
            <w:r>
              <w:rPr>
                <w:rFonts w:ascii="宋体" w:hAnsi="宋体" w:cs="宋体" w:eastAsia="宋体" w:hint="default"/>
                <w:spacing w:val="-66"/>
                <w:sz w:val="16"/>
                <w:szCs w:val="16"/>
              </w:rPr>
              <w:t> </w:t>
            </w:r>
            <w:r>
              <w:rPr>
                <w:rFonts w:ascii="宋体" w:hAnsi="宋体" w:cs="宋体" w:eastAsia="宋体" w:hint="default"/>
                <w:sz w:val="16"/>
                <w:szCs w:val="16"/>
              </w:rPr>
              <w:t>其他应收款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8"/>
                <w:sz w:val="16"/>
                <w:szCs w:val="16"/>
              </w:rPr>
              <w:t>按信用风险特征组</w:t>
            </w:r>
            <w:r>
              <w:rPr>
                <w:rFonts w:ascii="宋体" w:hAnsi="宋体" w:cs="宋体" w:eastAsia="宋体" w:hint="default"/>
                <w:sz w:val="16"/>
                <w:szCs w:val="16"/>
              </w:rPr>
            </w:r>
          </w:p>
          <w:p>
            <w:pPr>
              <w:pStyle w:val="TableParagraph"/>
              <w:spacing w:line="240" w:lineRule="auto"/>
              <w:ind w:left="26" w:right="17"/>
              <w:jc w:val="left"/>
              <w:rPr>
                <w:rFonts w:ascii="宋体" w:hAnsi="宋体" w:cs="宋体" w:eastAsia="宋体" w:hint="default"/>
                <w:sz w:val="16"/>
                <w:szCs w:val="16"/>
              </w:rPr>
            </w:pPr>
            <w:r>
              <w:rPr>
                <w:rFonts w:ascii="宋体" w:hAnsi="宋体" w:cs="宋体" w:eastAsia="宋体" w:hint="default"/>
                <w:spacing w:val="8"/>
                <w:sz w:val="16"/>
                <w:szCs w:val="16"/>
              </w:rPr>
              <w:t>合计提坏账准备的</w:t>
            </w:r>
            <w:r>
              <w:rPr>
                <w:rFonts w:ascii="宋体" w:hAnsi="宋体" w:cs="宋体" w:eastAsia="宋体" w:hint="default"/>
                <w:spacing w:val="-66"/>
                <w:sz w:val="16"/>
                <w:szCs w:val="16"/>
              </w:rPr>
              <w:t> </w:t>
            </w:r>
            <w:r>
              <w:rPr>
                <w:rFonts w:ascii="宋体" w:hAnsi="宋体" w:cs="宋体" w:eastAsia="宋体" w:hint="default"/>
                <w:sz w:val="16"/>
                <w:szCs w:val="16"/>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1,185,348,594.93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5" w:right="0"/>
              <w:jc w:val="center"/>
              <w:rPr>
                <w:rFonts w:ascii="Times New Roman" w:hAnsi="Times New Roman" w:cs="Times New Roman" w:eastAsia="Times New Roman" w:hint="default"/>
                <w:sz w:val="16"/>
                <w:szCs w:val="16"/>
              </w:rPr>
            </w:pPr>
            <w:r>
              <w:rPr>
                <w:rFonts w:ascii="Times New Roman"/>
                <w:sz w:val="16"/>
              </w:rPr>
              <w:t>98.39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95,619,821.49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6"/>
              <w:jc w:val="right"/>
              <w:rPr>
                <w:rFonts w:ascii="Times New Roman" w:hAnsi="Times New Roman" w:cs="Times New Roman" w:eastAsia="Times New Roman" w:hint="default"/>
                <w:sz w:val="16"/>
                <w:szCs w:val="16"/>
              </w:rPr>
            </w:pPr>
            <w:r>
              <w:rPr>
                <w:rFonts w:ascii="Times New Roman"/>
                <w:spacing w:val="-1"/>
                <w:sz w:val="16"/>
              </w:rPr>
              <w:t>8.07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8" w:right="0"/>
              <w:jc w:val="center"/>
              <w:rPr>
                <w:rFonts w:ascii="Times New Roman" w:hAnsi="Times New Roman" w:cs="Times New Roman" w:eastAsia="Times New Roman" w:hint="default"/>
                <w:sz w:val="16"/>
                <w:szCs w:val="16"/>
              </w:rPr>
            </w:pPr>
            <w:r>
              <w:rPr>
                <w:rFonts w:ascii="Times New Roman"/>
                <w:sz w:val="16"/>
              </w:rPr>
              <w:t>1,089,728,773.44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1,065,432,170.24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5" w:right="0"/>
              <w:jc w:val="center"/>
              <w:rPr>
                <w:rFonts w:ascii="Times New Roman" w:hAnsi="Times New Roman" w:cs="Times New Roman" w:eastAsia="Times New Roman" w:hint="default"/>
                <w:sz w:val="16"/>
                <w:szCs w:val="16"/>
              </w:rPr>
            </w:pPr>
            <w:r>
              <w:rPr>
                <w:rFonts w:ascii="Times New Roman"/>
                <w:sz w:val="16"/>
              </w:rPr>
              <w:t>98.33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84,131,351.71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7.90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981,300,818.53</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8"/>
                <w:sz w:val="16"/>
                <w:szCs w:val="16"/>
              </w:rPr>
              <w:t>单项金额不重大但</w:t>
            </w:r>
            <w:r>
              <w:rPr>
                <w:rFonts w:ascii="宋体" w:hAnsi="宋体" w:cs="宋体" w:eastAsia="宋体" w:hint="default"/>
                <w:sz w:val="16"/>
                <w:szCs w:val="16"/>
              </w:rPr>
            </w:r>
          </w:p>
          <w:p>
            <w:pPr>
              <w:pStyle w:val="TableParagraph"/>
              <w:spacing w:line="206" w:lineRule="exact" w:before="21"/>
              <w:ind w:left="26" w:right="17"/>
              <w:jc w:val="left"/>
              <w:rPr>
                <w:rFonts w:ascii="宋体" w:hAnsi="宋体" w:cs="宋体" w:eastAsia="宋体" w:hint="default"/>
                <w:sz w:val="16"/>
                <w:szCs w:val="16"/>
              </w:rPr>
            </w:pPr>
            <w:r>
              <w:rPr>
                <w:rFonts w:ascii="宋体" w:hAnsi="宋体" w:cs="宋体" w:eastAsia="宋体" w:hint="default"/>
                <w:spacing w:val="8"/>
                <w:sz w:val="16"/>
                <w:szCs w:val="16"/>
              </w:rPr>
              <w:t>单独计提坏账准备</w:t>
            </w:r>
            <w:r>
              <w:rPr>
                <w:rFonts w:ascii="宋体" w:hAnsi="宋体" w:cs="宋体" w:eastAsia="宋体" w:hint="default"/>
                <w:spacing w:val="-66"/>
                <w:sz w:val="16"/>
                <w:szCs w:val="16"/>
              </w:rPr>
              <w:t> </w:t>
            </w:r>
            <w:r>
              <w:rPr>
                <w:rFonts w:ascii="宋体" w:hAnsi="宋体" w:cs="宋体" w:eastAsia="宋体" w:hint="default"/>
                <w:sz w:val="16"/>
                <w:szCs w:val="16"/>
              </w:rPr>
              <w:t>的其他应收款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2"/>
                <w:sz w:val="16"/>
              </w:rPr>
              <w:t>19,402,723.05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84" w:right="0"/>
              <w:jc w:val="center"/>
              <w:rPr>
                <w:rFonts w:ascii="Times New Roman" w:hAnsi="Times New Roman" w:cs="Times New Roman" w:eastAsia="Times New Roman" w:hint="default"/>
                <w:sz w:val="16"/>
                <w:szCs w:val="16"/>
              </w:rPr>
            </w:pPr>
            <w:r>
              <w:rPr>
                <w:rFonts w:ascii="Times New Roman"/>
                <w:sz w:val="16"/>
              </w:rPr>
              <w:t>1.61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19,402,723.05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Times New Roman" w:hAnsi="Times New Roman" w:cs="Times New Roman" w:eastAsia="Times New Roman" w:hint="default"/>
                <w:sz w:val="16"/>
                <w:szCs w:val="16"/>
              </w:rPr>
            </w:pPr>
            <w:r>
              <w:rPr>
                <w:rFonts w:ascii="Times New Roman"/>
                <w:spacing w:val="-1"/>
                <w:sz w:val="16"/>
              </w:rPr>
              <w:t>100.00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2"/>
                <w:sz w:val="16"/>
              </w:rPr>
              <w:t>18,055,037.67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84" w:right="0"/>
              <w:jc w:val="center"/>
              <w:rPr>
                <w:rFonts w:ascii="Times New Roman" w:hAnsi="Times New Roman" w:cs="Times New Roman" w:eastAsia="Times New Roman" w:hint="default"/>
                <w:sz w:val="16"/>
                <w:szCs w:val="16"/>
              </w:rPr>
            </w:pPr>
            <w:r>
              <w:rPr>
                <w:rFonts w:ascii="Times New Roman"/>
                <w:sz w:val="16"/>
              </w:rPr>
              <w:t>1.67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18,055,037.67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100.00</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1,204,751,317.98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Times New Roman" w:hAnsi="Times New Roman" w:cs="Times New Roman" w:eastAsia="Times New Roman" w:hint="default"/>
                <w:sz w:val="16"/>
                <w:szCs w:val="16"/>
              </w:rPr>
            </w:pPr>
            <w:r>
              <w:rPr>
                <w:rFonts w:ascii="Times New Roman"/>
                <w:w w:val="100"/>
                <w:sz w:val="16"/>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115,022,544.54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
              <w:jc w:val="center"/>
              <w:rPr>
                <w:rFonts w:ascii="Times New Roman" w:hAnsi="Times New Roman" w:cs="Times New Roman" w:eastAsia="Times New Roman" w:hint="default"/>
                <w:sz w:val="16"/>
                <w:szCs w:val="16"/>
              </w:rPr>
            </w:pPr>
            <w:r>
              <w:rPr>
                <w:rFonts w:ascii="Times New Roman"/>
                <w:w w:val="100"/>
                <w:sz w:val="16"/>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7" w:right="0"/>
              <w:jc w:val="center"/>
              <w:rPr>
                <w:rFonts w:ascii="Times New Roman" w:hAnsi="Times New Roman" w:cs="Times New Roman" w:eastAsia="Times New Roman" w:hint="default"/>
                <w:sz w:val="16"/>
                <w:szCs w:val="16"/>
              </w:rPr>
            </w:pPr>
            <w:r>
              <w:rPr>
                <w:rFonts w:ascii="Times New Roman"/>
                <w:sz w:val="16"/>
              </w:rPr>
              <w:t>1,089,728,773.44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1,083,487,207.91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Times New Roman" w:hAnsi="Times New Roman" w:cs="Times New Roman" w:eastAsia="Times New Roman" w:hint="default"/>
                <w:sz w:val="16"/>
                <w:szCs w:val="16"/>
              </w:rPr>
            </w:pPr>
            <w:r>
              <w:rPr>
                <w:rFonts w:ascii="Times New Roman"/>
                <w:w w:val="100"/>
                <w:sz w:val="16"/>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102,186,389.38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Times New Roman" w:hAnsi="Times New Roman" w:cs="Times New Roman" w:eastAsia="Times New Roman" w:hint="default"/>
                <w:sz w:val="16"/>
                <w:szCs w:val="16"/>
              </w:rPr>
            </w:pPr>
            <w:r>
              <w:rPr>
                <w:rFonts w:ascii="Times New Roman"/>
                <w:w w:val="100"/>
                <w:sz w:val="16"/>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981,300,818.53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320" w:right="580"/>
        </w:sectPr>
      </w:pPr>
    </w:p>
    <w:p>
      <w:pPr>
        <w:spacing w:line="240" w:lineRule="auto" w:before="3"/>
        <w:rPr>
          <w:rFonts w:ascii="宋体" w:hAnsi="宋体" w:cs="宋体" w:eastAsia="宋体" w:hint="default"/>
          <w:sz w:val="14"/>
          <w:szCs w:val="14"/>
        </w:rPr>
      </w:pPr>
    </w:p>
    <w:p>
      <w:pPr>
        <w:pStyle w:val="BodyText"/>
        <w:spacing w:line="273" w:lineRule="exact"/>
        <w:ind w:left="957" w:right="0"/>
        <w:jc w:val="left"/>
      </w:pPr>
      <w:r>
        <w:rPr>
          <w:spacing w:val="-2"/>
        </w:rPr>
        <w:t>组合中，按账龄分析法计提坏账准备的其他应收款：</w:t>
      </w:r>
    </w:p>
    <w:p>
      <w:pPr>
        <w:pStyle w:val="BodyText"/>
        <w:spacing w:line="289" w:lineRule="exact"/>
        <w:ind w:left="95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580"/>
          <w:cols w:num="2" w:equalWidth="0">
            <w:col w:w="5792" w:space="730"/>
            <w:col w:w="4488"/>
          </w:cols>
        </w:sectPr>
      </w:pPr>
    </w:p>
    <w:p>
      <w:pPr>
        <w:spacing w:line="240" w:lineRule="auto" w:before="4"/>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2374"/>
        <w:gridCol w:w="2204"/>
        <w:gridCol w:w="2132"/>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6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434,489,478.56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13,034,684.39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434,489,478.56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13,034,684.39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245,423,208.90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24,542,320.88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101,674,791.43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15,251,218.71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4"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74,701,427.48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pacing w:val="-1"/>
                <w:sz w:val="21"/>
              </w:rPr>
              <w:t>14,940,285.49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57,080,103.07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11,416,020.61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82,176,457.12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16,435,291.41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995,545,466.56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95,619,821.49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9.60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957" w:right="0"/>
        <w:jc w:val="left"/>
      </w:pPr>
      <w:r>
        <w:rPr/>
        <w:t>组合中，采用其他方法计提坏账准备的其他应收款：</w:t>
      </w:r>
    </w:p>
    <w:p>
      <w:pPr>
        <w:pStyle w:val="BodyText"/>
        <w:spacing w:line="289" w:lineRule="exact"/>
        <w:ind w:left="95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9"/>
          <w:szCs w:val="19"/>
        </w:rPr>
      </w:pPr>
    </w:p>
    <w:tbl>
      <w:tblPr>
        <w:tblW w:w="0" w:type="auto"/>
        <w:jc w:val="left"/>
        <w:tblInd w:w="820" w:type="dxa"/>
        <w:tblLayout w:type="fixed"/>
        <w:tblCellMar>
          <w:top w:w="0" w:type="dxa"/>
          <w:left w:w="0" w:type="dxa"/>
          <w:bottom w:w="0" w:type="dxa"/>
          <w:right w:w="0" w:type="dxa"/>
        </w:tblCellMar>
        <w:tblLook w:val="01E0"/>
      </w:tblPr>
      <w:tblGrid>
        <w:gridCol w:w="2170"/>
        <w:gridCol w:w="1477"/>
        <w:gridCol w:w="967"/>
        <w:gridCol w:w="1078"/>
        <w:gridCol w:w="1387"/>
        <w:gridCol w:w="985"/>
        <w:gridCol w:w="1001"/>
      </w:tblGrid>
      <w:tr>
        <w:trPr>
          <w:trHeight w:val="360" w:hRule="exact"/>
        </w:trPr>
        <w:tc>
          <w:tcPr>
            <w:tcW w:w="2170"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2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7" w:hRule="exact"/>
        </w:trPr>
        <w:tc>
          <w:tcPr>
            <w:tcW w:w="2170"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343" w:right="119"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347" w:right="128"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1"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3,784,673.10</w:t>
            </w:r>
          </w:p>
        </w:tc>
        <w:tc>
          <w:tcPr>
            <w:tcW w:w="96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1" w:right="0"/>
              <w:jc w:val="center"/>
              <w:rPr>
                <w:rFonts w:ascii="宋体" w:hAnsi="宋体" w:cs="宋体" w:eastAsia="宋体" w:hint="default"/>
                <w:sz w:val="18"/>
                <w:szCs w:val="18"/>
              </w:rPr>
            </w:pPr>
            <w:r>
              <w:rPr>
                <w:rFonts w:ascii="宋体"/>
                <w:sz w:val="18"/>
              </w:rPr>
              <w:t>5,014,265.98</w:t>
            </w:r>
          </w:p>
        </w:tc>
        <w:tc>
          <w:tcPr>
            <w:tcW w:w="98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186,018,455.27</w:t>
            </w:r>
          </w:p>
        </w:tc>
        <w:tc>
          <w:tcPr>
            <w:tcW w:w="96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92,349,019.64</w:t>
            </w:r>
          </w:p>
        </w:tc>
        <w:tc>
          <w:tcPr>
            <w:tcW w:w="98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120" w:bottom="1380" w:left="320" w:right="58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70"/>
        <w:gridCol w:w="1477"/>
        <w:gridCol w:w="967"/>
        <w:gridCol w:w="1078"/>
        <w:gridCol w:w="1387"/>
        <w:gridCol w:w="985"/>
        <w:gridCol w:w="1001"/>
      </w:tblGrid>
      <w:tr>
        <w:trPr>
          <w:trHeight w:val="360" w:hRule="exact"/>
        </w:trPr>
        <w:tc>
          <w:tcPr>
            <w:tcW w:w="2170"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2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7" w:hRule="exact"/>
        </w:trPr>
        <w:tc>
          <w:tcPr>
            <w:tcW w:w="2170"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343" w:right="119"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347" w:right="128"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1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2" w:hRule="exact"/>
        </w:trPr>
        <w:tc>
          <w:tcPr>
            <w:tcW w:w="21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189,803,128.37</w:t>
            </w:r>
          </w:p>
        </w:tc>
        <w:tc>
          <w:tcPr>
            <w:tcW w:w="967" w:type="dxa"/>
            <w:tcBorders>
              <w:top w:val="single" w:sz="4" w:space="0" w:color="000000"/>
              <w:left w:val="single" w:sz="4" w:space="0" w:color="000000"/>
              <w:bottom w:val="single" w:sz="12" w:space="0" w:color="000000"/>
              <w:right w:val="single" w:sz="4" w:space="0" w:color="000000"/>
            </w:tcBorders>
          </w:tcPr>
          <w:p>
            <w:pPr/>
          </w:p>
        </w:tc>
        <w:tc>
          <w:tcPr>
            <w:tcW w:w="1078" w:type="dxa"/>
            <w:tcBorders>
              <w:top w:val="single" w:sz="4" w:space="0" w:color="000000"/>
              <w:left w:val="single" w:sz="4" w:space="0" w:color="000000"/>
              <w:bottom w:val="single" w:sz="12" w:space="0" w:color="000000"/>
              <w:right w:val="single" w:sz="4" w:space="0" w:color="000000"/>
            </w:tcBorders>
          </w:tcPr>
          <w:p>
            <w:pP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97,363,285.62</w:t>
            </w:r>
          </w:p>
        </w:tc>
        <w:tc>
          <w:tcPr>
            <w:tcW w:w="985" w:type="dxa"/>
            <w:tcBorders>
              <w:top w:val="single" w:sz="4" w:space="0" w:color="000000"/>
              <w:left w:val="single" w:sz="4" w:space="0" w:color="000000"/>
              <w:bottom w:val="single" w:sz="12" w:space="0" w:color="000000"/>
              <w:right w:val="single" w:sz="4" w:space="0" w:color="000000"/>
            </w:tcBorders>
          </w:tcPr>
          <w:p>
            <w:pPr/>
          </w:p>
        </w:tc>
        <w:tc>
          <w:tcPr>
            <w:tcW w:w="100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27"/>
          <w:szCs w:val="27"/>
        </w:rPr>
      </w:pPr>
    </w:p>
    <w:p>
      <w:pPr>
        <w:pStyle w:val="BodyText"/>
        <w:spacing w:line="240" w:lineRule="auto" w:before="36"/>
        <w:ind w:left="677" w:right="0"/>
        <w:jc w:val="left"/>
      </w:pPr>
      <w:r>
        <w:rPr/>
        <w:t>（</w:t>
      </w:r>
      <w:r>
        <w:rPr>
          <w:rFonts w:ascii="宋体" w:hAnsi="宋体" w:cs="宋体" w:eastAsia="宋体" w:hint="default"/>
        </w:rPr>
        <w:t>2</w:t>
      </w:r>
      <w:r>
        <w:rPr/>
        <w:t>）期末单项金额虽不重大但单项计提坏账准备的其他应收款</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276"/>
        <w:gridCol w:w="1388"/>
        <w:gridCol w:w="1385"/>
        <w:gridCol w:w="941"/>
        <w:gridCol w:w="1222"/>
        <w:gridCol w:w="1853"/>
      </w:tblGrid>
      <w:tr>
        <w:trPr>
          <w:trHeight w:val="365" w:hRule="exact"/>
        </w:trPr>
        <w:tc>
          <w:tcPr>
            <w:tcW w:w="2276" w:type="dxa"/>
            <w:tcBorders>
              <w:top w:val="single" w:sz="12" w:space="0" w:color="000000"/>
              <w:left w:val="nil" w:sz="6" w:space="0" w:color="auto"/>
              <w:bottom w:val="single" w:sz="8" w:space="0" w:color="000000"/>
              <w:right w:val="single" w:sz="8" w:space="0" w:color="000000"/>
            </w:tcBorders>
          </w:tcPr>
          <w:p>
            <w:pPr>
              <w:pStyle w:val="TableParagraph"/>
              <w:spacing w:line="205" w:lineRule="exact"/>
              <w:ind w:left="694"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坏账金额</w:t>
            </w:r>
          </w:p>
        </w:tc>
        <w:tc>
          <w:tcPr>
            <w:tcW w:w="941"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22" w:type="dxa"/>
            <w:tcBorders>
              <w:top w:val="single" w:sz="12" w:space="0" w:color="000000"/>
              <w:left w:val="single" w:sz="8" w:space="0" w:color="000000"/>
              <w:bottom w:val="single" w:sz="8" w:space="0" w:color="000000"/>
              <w:right w:val="single" w:sz="8"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853" w:type="dxa"/>
            <w:tcBorders>
              <w:top w:val="single" w:sz="12" w:space="0" w:color="000000"/>
              <w:left w:val="single" w:sz="8" w:space="0" w:color="000000"/>
              <w:bottom w:val="single" w:sz="8" w:space="0" w:color="000000"/>
              <w:right w:val="nil" w:sz="6" w:space="0" w:color="auto"/>
            </w:tcBorders>
          </w:tcPr>
          <w:p>
            <w:pPr>
              <w:pStyle w:val="TableParagraph"/>
              <w:spacing w:line="205" w:lineRule="exact"/>
              <w:ind w:left="55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7"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宁波压力容器有限公司</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4,246,436.14</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4,246,436.14</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100.00</w:t>
            </w:r>
          </w:p>
        </w:tc>
        <w:tc>
          <w:tcPr>
            <w:tcW w:w="1853"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多次催收未果，预计</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难以收回</w:t>
            </w:r>
          </w:p>
        </w:tc>
      </w:tr>
      <w:tr>
        <w:trPr>
          <w:trHeight w:val="487"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上海东兴置业有限公司</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2,900,000.00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2,900,000.00</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100.00</w:t>
            </w:r>
          </w:p>
        </w:tc>
        <w:tc>
          <w:tcPr>
            <w:tcW w:w="1853"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客户资产已被清算</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款项难以收回</w:t>
            </w:r>
          </w:p>
        </w:tc>
      </w:tr>
      <w:tr>
        <w:trPr>
          <w:trHeight w:val="488"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上海晓磊设备出租公司</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2,777,026.00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2,777,026.00</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宋体" w:hAnsi="宋体" w:cs="宋体" w:eastAsia="宋体" w:hint="default"/>
                <w:sz w:val="18"/>
                <w:szCs w:val="18"/>
              </w:rPr>
            </w:pPr>
            <w:r>
              <w:rPr>
                <w:rFonts w:ascii="宋体"/>
                <w:spacing w:val="-1"/>
                <w:sz w:val="18"/>
              </w:rPr>
              <w:t>100.00</w:t>
            </w:r>
          </w:p>
        </w:tc>
        <w:tc>
          <w:tcPr>
            <w:tcW w:w="1853"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账龄较长，预计难以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5"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周鹏程</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2,200,952.25</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2,200,952.25</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100.00</w:t>
            </w:r>
          </w:p>
        </w:tc>
        <w:tc>
          <w:tcPr>
            <w:tcW w:w="1853" w:type="dxa"/>
            <w:tcBorders>
              <w:top w:val="single" w:sz="8" w:space="0" w:color="000000"/>
              <w:left w:val="single" w:sz="8" w:space="0" w:color="000000"/>
              <w:bottom w:val="single" w:sz="8" w:space="0" w:color="000000"/>
              <w:right w:val="nil" w:sz="6" w:space="0" w:color="auto"/>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账龄较长，预计难以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7"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上海华信世纪建筑工程有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1,500,000.00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1,500,000.00</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100.00</w:t>
            </w:r>
          </w:p>
        </w:tc>
        <w:tc>
          <w:tcPr>
            <w:tcW w:w="1853"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账龄较长，预计难以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487"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其他账龄较长已无法收回</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的小额应收款</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5,778,308.66</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5,778,308.66</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100.00</w:t>
            </w:r>
          </w:p>
        </w:tc>
        <w:tc>
          <w:tcPr>
            <w:tcW w:w="1853"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账龄较长，预计难以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w:t>
            </w:r>
          </w:p>
        </w:tc>
      </w:tr>
      <w:tr>
        <w:trPr>
          <w:trHeight w:val="367" w:hRule="exact"/>
        </w:trPr>
        <w:tc>
          <w:tcPr>
            <w:tcW w:w="227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19,402,723.05</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19,402,723.05</w:t>
            </w:r>
          </w:p>
        </w:tc>
        <w:tc>
          <w:tcPr>
            <w:tcW w:w="9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22" w:type="dxa"/>
            <w:tcBorders>
              <w:top w:val="single" w:sz="8" w:space="0" w:color="000000"/>
              <w:left w:val="single" w:sz="8" w:space="0" w:color="000000"/>
              <w:bottom w:val="single" w:sz="12" w:space="0" w:color="000000"/>
              <w:right w:val="single" w:sz="8" w:space="0" w:color="000000"/>
            </w:tcBorders>
          </w:tcPr>
          <w:p>
            <w:pPr/>
          </w:p>
        </w:tc>
        <w:tc>
          <w:tcPr>
            <w:tcW w:w="1853" w:type="dxa"/>
            <w:tcBorders>
              <w:top w:val="single" w:sz="8" w:space="0" w:color="000000"/>
              <w:left w:val="single" w:sz="8"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257" w:right="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4" w:lineRule="exact" w:before="83"/>
        <w:ind w:left="257" w:right="1889"/>
        <w:jc w:val="left"/>
      </w:pPr>
      <w:r>
        <w:rPr/>
        <w:t>本期计提坏账准备金额</w:t>
      </w:r>
      <w:r>
        <w:rPr>
          <w:spacing w:val="-54"/>
        </w:rPr>
        <w:t> </w:t>
      </w:r>
      <w:r>
        <w:rPr>
          <w:rFonts w:ascii="Times New Roman" w:hAnsi="Times New Roman" w:cs="Times New Roman" w:eastAsia="Times New Roman" w:hint="default"/>
        </w:rPr>
        <w:t>12,850,637.16</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spacing w:val="-3"/>
          <w:w w:val="100"/>
        </w:rPr>
        <w:t> </w:t>
      </w:r>
      <w:r>
        <w:rPr/>
        <w:t>其中本期坏账准备转回或收回金额重要的：</w:t>
      </w:r>
    </w:p>
    <w:p>
      <w:pPr>
        <w:pStyle w:val="BodyText"/>
        <w:spacing w:line="246" w:lineRule="exact"/>
        <w:ind w:left="257" w:right="0"/>
        <w:jc w:val="left"/>
      </w:pPr>
      <w:r>
        <w:rPr/>
        <w:t>□适用 √不适用</w:t>
      </w:r>
    </w:p>
    <w:p>
      <w:pPr>
        <w:pStyle w:val="Heading3"/>
        <w:spacing w:line="240" w:lineRule="auto" w:before="58"/>
        <w:ind w:left="257" w:right="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tabs>
          <w:tab w:pos="1099" w:val="left" w:leader="none"/>
        </w:tabs>
        <w:spacing w:line="240" w:lineRule="auto" w:before="56"/>
        <w:ind w:left="257" w:right="0"/>
        <w:jc w:val="left"/>
      </w:pPr>
      <w:r>
        <w:rPr/>
        <w:t>√适用</w:t>
        <w:tab/>
        <w:t>□不适用</w:t>
      </w:r>
    </w:p>
    <w:p>
      <w:pPr>
        <w:pStyle w:val="BodyText"/>
        <w:tabs>
          <w:tab w:pos="1051" w:val="left" w:leader="none"/>
        </w:tabs>
        <w:spacing w:line="274" w:lineRule="exact"/>
        <w:ind w:left="0" w:right="25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14,482.00</w:t>
            </w:r>
          </w:p>
        </w:tc>
      </w:tr>
    </w:tbl>
    <w:p>
      <w:pPr>
        <w:spacing w:line="240" w:lineRule="auto" w:before="5"/>
        <w:rPr>
          <w:rFonts w:ascii="宋体" w:hAnsi="宋体" w:cs="宋体" w:eastAsia="宋体" w:hint="default"/>
          <w:sz w:val="15"/>
          <w:szCs w:val="15"/>
        </w:rPr>
      </w:pPr>
    </w:p>
    <w:p>
      <w:pPr>
        <w:pStyle w:val="BodyText"/>
        <w:spacing w:line="274" w:lineRule="exact" w:before="36"/>
        <w:ind w:left="257" w:right="0"/>
        <w:jc w:val="left"/>
      </w:pPr>
      <w:r>
        <w:rPr/>
        <w:t>其中重要的其他应收款核销情况：</w:t>
      </w:r>
    </w:p>
    <w:p>
      <w:pPr>
        <w:pStyle w:val="BodyText"/>
        <w:tabs>
          <w:tab w:pos="1099" w:val="left" w:leader="none"/>
        </w:tabs>
        <w:spacing w:line="272" w:lineRule="exact" w:before="27"/>
        <w:ind w:left="257" w:right="6984"/>
        <w:jc w:val="left"/>
      </w:pPr>
      <w:r>
        <w:rPr/>
        <w:t>□适用</w:t>
        <w:tab/>
        <w:t>√不适用</w:t>
      </w:r>
      <w:r>
        <w:rPr>
          <w:w w:val="100"/>
        </w:rPr>
        <w:t> </w:t>
      </w:r>
      <w:r>
        <w:rPr>
          <w:spacing w:val="-2"/>
        </w:rPr>
        <w:t>其他应收款核销说明：</w:t>
      </w:r>
    </w:p>
    <w:p>
      <w:pPr>
        <w:pStyle w:val="BodyText"/>
        <w:tabs>
          <w:tab w:pos="1099" w:val="left" w:leader="none"/>
        </w:tabs>
        <w:spacing w:line="249" w:lineRule="exact"/>
        <w:ind w:left="257"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20" w:right="1540"/>
        </w:sectPr>
      </w:pPr>
    </w:p>
    <w:p>
      <w:pPr>
        <w:pStyle w:val="Heading3"/>
        <w:spacing w:line="240" w:lineRule="auto"/>
        <w:ind w:left="257"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40"/>
          <w:cols w:num="2" w:equalWidth="0">
            <w:col w:w="3798" w:space="2714"/>
            <w:col w:w="2838"/>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3,784,673.10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5,014,265.98</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420,464,607.91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333,123,522.67</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780,502,036.97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745,349,419.26</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1,204,751,317.98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1,083,487,207.91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20" w:right="15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00" w:right="1300"/>
        </w:sectPr>
      </w:pPr>
    </w:p>
    <w:p>
      <w:pPr>
        <w:pStyle w:val="Heading3"/>
        <w:spacing w:line="240" w:lineRule="auto"/>
        <w:ind w:left="677"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67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300"/>
          <w:cols w:num="2" w:equalWidth="0">
            <w:col w:w="6114" w:space="408"/>
            <w:col w:w="3488"/>
          </w:cols>
        </w:sectPr>
      </w:pPr>
    </w:p>
    <w:p>
      <w:pPr>
        <w:spacing w:line="240" w:lineRule="auto" w:before="4"/>
        <w:rPr>
          <w:rFonts w:ascii="宋体" w:hAnsi="宋体" w:cs="宋体" w:eastAsia="宋体" w:hint="default"/>
          <w:sz w:val="2"/>
          <w:szCs w:val="2"/>
        </w:rPr>
      </w:pPr>
    </w:p>
    <w:tbl>
      <w:tblPr>
        <w:tblW w:w="0" w:type="auto"/>
        <w:jc w:val="left"/>
        <w:tblInd w:w="640" w:type="dxa"/>
        <w:tblLayout w:type="fixed"/>
        <w:tblCellMar>
          <w:top w:w="0" w:type="dxa"/>
          <w:left w:w="0" w:type="dxa"/>
          <w:bottom w:w="0" w:type="dxa"/>
          <w:right w:w="0" w:type="dxa"/>
        </w:tblCellMar>
        <w:tblLook w:val="01E0"/>
      </w:tblPr>
      <w:tblGrid>
        <w:gridCol w:w="2158"/>
        <w:gridCol w:w="1073"/>
        <w:gridCol w:w="1450"/>
        <w:gridCol w:w="977"/>
        <w:gridCol w:w="1968"/>
        <w:gridCol w:w="1270"/>
      </w:tblGrid>
      <w:tr>
        <w:trPr>
          <w:trHeight w:val="55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款项的性</w:t>
            </w:r>
          </w:p>
          <w:p>
            <w:pPr>
              <w:pStyle w:val="TableParagraph"/>
              <w:spacing w:line="273" w:lineRule="exact"/>
              <w:ind w:right="74"/>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89" w:lineRule="exact"/>
              <w:ind w:left="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额合计数的比例</w:t>
            </w:r>
            <w:r>
              <w:rPr>
                <w:rFonts w:ascii="Times New Roman" w:hAnsi="Times New Roman" w:cs="Times New Roman" w:eastAsia="Times New Roman" w:hint="default"/>
                <w:sz w:val="21"/>
                <w:szCs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3" w:lineRule="exact"/>
              <w:ind w:left="20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中经云数据存储科技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197,199,873.00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16.37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14,710,741.22</w:t>
            </w:r>
          </w:p>
        </w:tc>
      </w:tr>
      <w:tr>
        <w:trPr>
          <w:trHeight w:val="55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宁波阪急商业有限公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30,870,000.00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2.56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2,592,100.00</w:t>
            </w:r>
          </w:p>
        </w:tc>
      </w:tr>
      <w:tr>
        <w:trPr>
          <w:trHeight w:val="55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浙江三泰观文实业发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900,000.00</w:t>
            </w:r>
          </w:p>
        </w:tc>
      </w:tr>
      <w:tr>
        <w:trPr>
          <w:trHeight w:val="55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巫溪县交通委员会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3"/>
                <w:sz w:val="21"/>
                <w:szCs w:val="21"/>
              </w:rPr>
              <w:t> </w:t>
            </w:r>
            <w:r>
              <w:rPr>
                <w:rFonts w:ascii="宋体" w:hAnsi="宋体" w:cs="宋体" w:eastAsia="宋体" w:hint="default"/>
                <w:sz w:val="21"/>
                <w:szCs w:val="21"/>
              </w:rPr>
              <w:t>标</w:t>
            </w:r>
            <w:r>
              <w:rPr>
                <w:rFonts w:ascii="宋体" w:hAnsi="宋体" w:cs="宋体" w:eastAsia="宋体" w:hint="default"/>
                <w:spacing w:val="-73"/>
                <w:sz w:val="21"/>
                <w:szCs w:val="21"/>
              </w:rPr>
              <w:t> </w:t>
            </w:r>
            <w:r>
              <w:rPr>
                <w:rFonts w:ascii="宋体" w:hAnsi="宋体" w:cs="宋体" w:eastAsia="宋体" w:hint="default"/>
                <w:sz w:val="21"/>
                <w:szCs w:val="21"/>
              </w:rPr>
              <w:t>保</w:t>
            </w:r>
            <w:r>
              <w:rPr>
                <w:rFonts w:ascii="宋体" w:hAnsi="宋体" w:cs="宋体" w:eastAsia="宋体" w:hint="default"/>
                <w:spacing w:val="-71"/>
                <w:sz w:val="21"/>
                <w:szCs w:val="21"/>
              </w:rPr>
              <w:t> </w:t>
            </w:r>
            <w:r>
              <w:rPr>
                <w:rFonts w:ascii="宋体" w:hAnsi="宋体" w:cs="宋体" w:eastAsia="宋体" w:hint="default"/>
                <w:sz w:val="21"/>
                <w:szCs w:val="21"/>
              </w:rPr>
              <w:t>证</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2.49</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宁波普利凯建筑科技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2.03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1,970,500.00</w:t>
            </w: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312,569,873.00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9"/>
              <w:jc w:val="center"/>
              <w:rPr>
                <w:rFonts w:ascii="Times New Roman" w:hAnsi="Times New Roman" w:cs="Times New Roman" w:eastAsia="Times New Roman" w:hint="default"/>
                <w:sz w:val="21"/>
                <w:szCs w:val="21"/>
              </w:rPr>
            </w:pPr>
            <w:r>
              <w:rPr>
                <w:rFonts w:ascii="Times New Roman"/>
                <w:w w:val="100"/>
                <w:sz w:val="21"/>
              </w:rPr>
              <w:t>/</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25.94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20,173,341.22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600" w:right="1300"/>
        </w:sectPr>
      </w:pPr>
    </w:p>
    <w:p>
      <w:pPr>
        <w:pStyle w:val="Heading3"/>
        <w:spacing w:line="240" w:lineRule="auto"/>
        <w:ind w:left="677" w:right="-18"/>
        <w:jc w:val="left"/>
        <w:rPr>
          <w:b w:val="0"/>
          <w:bCs w:val="0"/>
        </w:rPr>
      </w:pPr>
      <w:r>
        <w:rPr>
          <w:rFonts w:ascii="宋体" w:hAnsi="宋体" w:cs="宋体" w:eastAsia="宋体" w:hint="default"/>
        </w:rPr>
        <w:t>6</w:t>
      </w:r>
      <w:r>
        <w:rPr/>
        <w:t>、</w:t>
      </w:r>
      <w:r>
        <w:rPr>
          <w:spacing w:val="-3"/>
        </w:rPr>
        <w:t> </w:t>
      </w:r>
      <w:r>
        <w:rPr/>
        <w:t>存货</w:t>
      </w:r>
      <w:r>
        <w:rPr>
          <w:b w:val="0"/>
          <w:bCs w:val="0"/>
        </w:rPr>
      </w:r>
    </w:p>
    <w:p>
      <w:pPr>
        <w:pStyle w:val="Heading3"/>
        <w:tabs>
          <w:tab w:pos="1308" w:val="left" w:leader="none"/>
        </w:tabs>
        <w:spacing w:line="240" w:lineRule="auto" w:before="58"/>
        <w:ind w:left="677" w:right="-18"/>
        <w:jc w:val="left"/>
        <w:rPr>
          <w:b w:val="0"/>
          <w:bCs w:val="0"/>
        </w:rPr>
      </w:pPr>
      <w:r>
        <w:rPr>
          <w:rFonts w:ascii="宋体" w:hAnsi="宋体" w:cs="宋体" w:eastAsia="宋体" w:hint="default"/>
          <w:w w:val="95"/>
        </w:rPr>
        <w:t>(1).</w:t>
        <w:tab/>
      </w:r>
      <w:r>
        <w:rPr/>
        <w:t>存货分类</w:t>
      </w:r>
      <w:r>
        <w:rPr>
          <w:b w:val="0"/>
          <w:bCs w:val="0"/>
        </w:rPr>
      </w:r>
    </w:p>
    <w:p>
      <w:pPr>
        <w:pStyle w:val="BodyText"/>
        <w:spacing w:line="240" w:lineRule="auto" w:before="56"/>
        <w:ind w:left="677"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300"/>
          <w:cols w:num="2" w:equalWidth="0">
            <w:col w:w="2173" w:space="4349"/>
            <w:col w:w="34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3"/>
        <w:gridCol w:w="1418"/>
        <w:gridCol w:w="1277"/>
        <w:gridCol w:w="1418"/>
        <w:gridCol w:w="1558"/>
        <w:gridCol w:w="1274"/>
        <w:gridCol w:w="1561"/>
      </w:tblGrid>
      <w:tr>
        <w:trPr>
          <w:trHeight w:val="28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34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33"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Times New Roman" w:hAnsi="Times New Roman" w:cs="Times New Roman" w:eastAsia="Times New Roman" w:hint="default"/>
                <w:sz w:val="18"/>
                <w:szCs w:val="18"/>
              </w:rPr>
            </w:pPr>
            <w:r>
              <w:rPr>
                <w:rFonts w:ascii="Times New Roman"/>
                <w:spacing w:val="-1"/>
                <w:sz w:val="18"/>
              </w:rPr>
              <w:t>181,611,247.97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Times New Roman" w:hAnsi="Times New Roman" w:cs="Times New Roman" w:eastAsia="Times New Roman" w:hint="default"/>
                <w:sz w:val="18"/>
                <w:szCs w:val="18"/>
              </w:rPr>
            </w:pPr>
            <w:r>
              <w:rPr>
                <w:rFonts w:ascii="Times New Roman"/>
                <w:spacing w:val="-1"/>
                <w:sz w:val="18"/>
              </w:rPr>
              <w:t>181,611,247.97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157,177,210.60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Times New Roman" w:hAnsi="Times New Roman" w:cs="Times New Roman" w:eastAsia="Times New Roman" w:hint="default"/>
                <w:sz w:val="18"/>
                <w:szCs w:val="18"/>
              </w:rPr>
            </w:pPr>
            <w:r>
              <w:rPr>
                <w:rFonts w:ascii="Times New Roman"/>
                <w:spacing w:val="-1"/>
                <w:sz w:val="18"/>
              </w:rPr>
              <w:t>157,177,210.60</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189,023,567.43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189,023,567.43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121,951,692.87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121,951,692.87</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280,872,165.69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280,872,165.69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216,206,090.60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216,206,090.60</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pacing w:val="-1"/>
                <w:sz w:val="18"/>
              </w:rPr>
              <w:t>50,175,267.83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pacing w:val="-1"/>
                <w:sz w:val="18"/>
              </w:rPr>
              <w:t>50,175,267.83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31,229,077.60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31,229,077.60</w:t>
            </w:r>
          </w:p>
        </w:tc>
      </w:tr>
      <w:tr>
        <w:trPr>
          <w:trHeight w:val="55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消耗性生物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建造合同形</w:t>
            </w:r>
          </w:p>
          <w:p>
            <w:pPr>
              <w:pStyle w:val="TableParagraph"/>
              <w:spacing w:line="272" w:lineRule="exact" w:before="27"/>
              <w:ind w:left="24" w:right="25"/>
              <w:jc w:val="left"/>
              <w:rPr>
                <w:rFonts w:ascii="宋体" w:hAnsi="宋体" w:cs="宋体" w:eastAsia="宋体" w:hint="default"/>
                <w:sz w:val="21"/>
                <w:szCs w:val="21"/>
              </w:rPr>
            </w:pPr>
            <w:r>
              <w:rPr>
                <w:rFonts w:ascii="宋体" w:hAnsi="宋体" w:cs="宋体" w:eastAsia="宋体" w:hint="default"/>
                <w:spacing w:val="2"/>
                <w:sz w:val="21"/>
                <w:szCs w:val="21"/>
              </w:rPr>
              <w:t>成的已完工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未结算资产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4,156,135,597.05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8" w:right="0"/>
              <w:jc w:val="center"/>
              <w:rPr>
                <w:rFonts w:ascii="Times New Roman" w:hAnsi="Times New Roman" w:cs="Times New Roman" w:eastAsia="Times New Roman" w:hint="default"/>
                <w:sz w:val="18"/>
                <w:szCs w:val="18"/>
              </w:rPr>
            </w:pPr>
            <w:r>
              <w:rPr>
                <w:rFonts w:ascii="Times New Roman"/>
                <w:sz w:val="18"/>
              </w:rPr>
              <w:t>121,758,602.86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1"/>
              <w:jc w:val="right"/>
              <w:rPr>
                <w:rFonts w:ascii="Times New Roman" w:hAnsi="Times New Roman" w:cs="Times New Roman" w:eastAsia="Times New Roman" w:hint="default"/>
                <w:sz w:val="18"/>
                <w:szCs w:val="18"/>
              </w:rPr>
            </w:pPr>
            <w:r>
              <w:rPr>
                <w:rFonts w:ascii="Times New Roman"/>
                <w:spacing w:val="-1"/>
                <w:sz w:val="18"/>
              </w:rPr>
              <w:t>4,034,376,994.19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3,712,460,819.62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6" w:right="0"/>
              <w:jc w:val="center"/>
              <w:rPr>
                <w:rFonts w:ascii="Times New Roman" w:hAnsi="Times New Roman" w:cs="Times New Roman" w:eastAsia="Times New Roman" w:hint="default"/>
                <w:sz w:val="18"/>
                <w:szCs w:val="18"/>
              </w:rPr>
            </w:pPr>
            <w:r>
              <w:rPr>
                <w:rFonts w:ascii="Times New Roman"/>
                <w:sz w:val="18"/>
              </w:rPr>
              <w:t>102,496,040.00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rFonts w:ascii="Times New Roman" w:hAnsi="Times New Roman" w:cs="Times New Roman" w:eastAsia="Times New Roman" w:hint="default"/>
                <w:sz w:val="18"/>
                <w:szCs w:val="18"/>
              </w:rPr>
            </w:pPr>
            <w:r>
              <w:rPr>
                <w:rFonts w:ascii="Times New Roman"/>
                <w:spacing w:val="-1"/>
                <w:sz w:val="18"/>
              </w:rPr>
              <w:t>3,609,964,779.62</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7"/>
              <w:jc w:val="right"/>
              <w:rPr>
                <w:rFonts w:ascii="Times New Roman" w:hAnsi="Times New Roman" w:cs="Times New Roman" w:eastAsia="Times New Roman" w:hint="default"/>
                <w:sz w:val="18"/>
                <w:szCs w:val="18"/>
              </w:rPr>
            </w:pPr>
            <w:r>
              <w:rPr>
                <w:rFonts w:ascii="Times New Roman"/>
                <w:spacing w:val="-1"/>
                <w:sz w:val="18"/>
              </w:rPr>
              <w:t>4,857,817,845.97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121,758,602.86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7"/>
              <w:jc w:val="right"/>
              <w:rPr>
                <w:rFonts w:ascii="Times New Roman" w:hAnsi="Times New Roman" w:cs="Times New Roman" w:eastAsia="Times New Roman" w:hint="default"/>
                <w:sz w:val="18"/>
                <w:szCs w:val="18"/>
              </w:rPr>
            </w:pPr>
            <w:r>
              <w:rPr>
                <w:rFonts w:ascii="Times New Roman"/>
                <w:spacing w:val="-1"/>
                <w:sz w:val="18"/>
              </w:rPr>
              <w:t>4,736,059,243.11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4,239,024,891.29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6" w:right="0"/>
              <w:jc w:val="center"/>
              <w:rPr>
                <w:rFonts w:ascii="Times New Roman" w:hAnsi="Times New Roman" w:cs="Times New Roman" w:eastAsia="Times New Roman" w:hint="default"/>
                <w:sz w:val="18"/>
                <w:szCs w:val="18"/>
              </w:rPr>
            </w:pPr>
            <w:r>
              <w:rPr>
                <w:rFonts w:ascii="Times New Roman"/>
                <w:sz w:val="18"/>
              </w:rPr>
              <w:t>102,496,040.00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4,136,528,851.29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600" w:right="1300"/>
        </w:sectPr>
      </w:pPr>
    </w:p>
    <w:p>
      <w:pPr>
        <w:pStyle w:val="Heading3"/>
        <w:tabs>
          <w:tab w:pos="1308" w:val="left" w:leader="none"/>
        </w:tabs>
        <w:spacing w:line="240" w:lineRule="auto"/>
        <w:ind w:left="677"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677"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300"/>
          <w:cols w:num="2" w:equalWidth="0">
            <w:col w:w="2576" w:space="3946"/>
            <w:col w:w="3488"/>
          </w:cols>
        </w:sectPr>
      </w:pP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2127"/>
        <w:gridCol w:w="1702"/>
        <w:gridCol w:w="1560"/>
        <w:gridCol w:w="711"/>
        <w:gridCol w:w="1277"/>
        <w:gridCol w:w="709"/>
        <w:gridCol w:w="1560"/>
      </w:tblGrid>
      <w:tr>
        <w:trPr>
          <w:trHeight w:val="281"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2"/>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12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vMerge/>
            <w:tcBorders>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工未结算资产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1" w:right="0"/>
              <w:jc w:val="left"/>
              <w:rPr>
                <w:rFonts w:ascii="Times New Roman" w:hAnsi="Times New Roman" w:cs="Times New Roman" w:eastAsia="Times New Roman" w:hint="default"/>
                <w:sz w:val="21"/>
                <w:szCs w:val="21"/>
              </w:rPr>
            </w:pPr>
            <w:r>
              <w:rPr>
                <w:rFonts w:ascii="Times New Roman"/>
                <w:sz w:val="21"/>
              </w:rPr>
              <w:t>102,496,040.00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9" w:right="0"/>
              <w:jc w:val="left"/>
              <w:rPr>
                <w:rFonts w:ascii="Times New Roman" w:hAnsi="Times New Roman" w:cs="Times New Roman" w:eastAsia="Times New Roman" w:hint="default"/>
                <w:sz w:val="21"/>
                <w:szCs w:val="21"/>
              </w:rPr>
            </w:pPr>
            <w:r>
              <w:rPr>
                <w:rFonts w:ascii="Times New Roman"/>
                <w:sz w:val="21"/>
              </w:rPr>
              <w:t>19,262,562.86</w:t>
            </w: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121,758,602.86</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600" w:right="130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127"/>
        <w:gridCol w:w="1702"/>
        <w:gridCol w:w="1560"/>
        <w:gridCol w:w="711"/>
        <w:gridCol w:w="1277"/>
        <w:gridCol w:w="709"/>
        <w:gridCol w:w="1560"/>
      </w:tblGrid>
      <w:tr>
        <w:trPr>
          <w:trHeight w:val="28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1" w:right="0"/>
              <w:jc w:val="left"/>
              <w:rPr>
                <w:rFonts w:ascii="Times New Roman" w:hAnsi="Times New Roman" w:cs="Times New Roman" w:eastAsia="Times New Roman" w:hint="default"/>
                <w:sz w:val="21"/>
                <w:szCs w:val="21"/>
              </w:rPr>
            </w:pPr>
            <w:r>
              <w:rPr>
                <w:rFonts w:ascii="Times New Roman"/>
                <w:sz w:val="21"/>
              </w:rPr>
              <w:t>102,496,040.00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9" w:right="0"/>
              <w:jc w:val="left"/>
              <w:rPr>
                <w:rFonts w:ascii="Times New Roman" w:hAnsi="Times New Roman" w:cs="Times New Roman" w:eastAsia="Times New Roman" w:hint="default"/>
                <w:sz w:val="21"/>
                <w:szCs w:val="21"/>
              </w:rPr>
            </w:pPr>
            <w:r>
              <w:rPr>
                <w:rFonts w:ascii="Times New Roman"/>
                <w:sz w:val="21"/>
              </w:rPr>
              <w:t>19,262,562.86</w:t>
            </w:r>
          </w:p>
        </w:tc>
        <w:tc>
          <w:tcPr>
            <w:tcW w:w="71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121,758,602.86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1168" w:val="left" w:leader="none"/>
        </w:tabs>
        <w:spacing w:line="240" w:lineRule="auto"/>
        <w:ind w:left="537" w:right="484"/>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379" w:val="left" w:leader="none"/>
        </w:tabs>
        <w:spacing w:line="273" w:lineRule="exact" w:before="58"/>
        <w:ind w:left="537" w:right="484"/>
        <w:jc w:val="left"/>
      </w:pPr>
      <w:r>
        <w:rPr/>
        <w:t>√适用</w:t>
        <w:tab/>
        <w:t>□不适用</w:t>
      </w:r>
    </w:p>
    <w:p>
      <w:pPr>
        <w:pStyle w:val="BodyText"/>
        <w:spacing w:line="272" w:lineRule="exact" w:before="26"/>
        <w:ind w:left="537" w:right="484"/>
        <w:jc w:val="left"/>
      </w:pPr>
      <w:r>
        <w:rPr/>
        <w:t>本公司子公司宁波市政工程建设集团股份有限公司承接的 </w:t>
      </w:r>
      <w:r>
        <w:rPr>
          <w:rFonts w:ascii="Times New Roman" w:hAnsi="Times New Roman" w:cs="Times New Roman" w:eastAsia="Times New Roman" w:hint="default"/>
        </w:rPr>
        <w:t>BT</w:t>
      </w:r>
      <w:r>
        <w:rPr>
          <w:rFonts w:ascii="Times New Roman" w:hAnsi="Times New Roman" w:cs="Times New Roman" w:eastAsia="Times New Roman" w:hint="default"/>
          <w:spacing w:val="-1"/>
        </w:rPr>
        <w:t> </w:t>
      </w:r>
      <w:r>
        <w:rPr/>
        <w:t>建设项目永达路项目、杭甬高速项</w:t>
      </w:r>
      <w:r>
        <w:rPr>
          <w:w w:val="100"/>
        </w:rPr>
        <w:t> </w:t>
      </w:r>
      <w:r>
        <w:rPr/>
        <w:t>目、四明路项目累计共进行借款费用资本化</w:t>
      </w:r>
      <w:r>
        <w:rPr>
          <w:spacing w:val="-55"/>
        </w:rPr>
        <w:t> </w:t>
      </w:r>
      <w:r>
        <w:rPr>
          <w:rFonts w:ascii="宋体" w:hAnsi="宋体" w:cs="宋体" w:eastAsia="宋体" w:hint="default"/>
        </w:rPr>
        <w:t>21,589,957.88</w:t>
      </w:r>
      <w:r>
        <w:rPr>
          <w:rFonts w:ascii="宋体" w:hAnsi="宋体" w:cs="宋体" w:eastAsia="宋体" w:hint="default"/>
          <w:spacing w:val="-55"/>
        </w:rPr>
        <w:t> </w:t>
      </w:r>
      <w:r>
        <w:rPr>
          <w:spacing w:val="-3"/>
        </w:rPr>
        <w:t>元。</w:t>
      </w:r>
      <w:r>
        <w:rPr/>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7"/>
          <w:pgSz w:w="11910" w:h="16840"/>
          <w:pgMar w:footer="1195" w:header="882" w:top="1120" w:bottom="1380" w:left="740" w:right="1300"/>
        </w:sectPr>
      </w:pPr>
    </w:p>
    <w:p>
      <w:pPr>
        <w:pStyle w:val="Heading3"/>
        <w:tabs>
          <w:tab w:pos="1168" w:val="left" w:leader="none"/>
        </w:tabs>
        <w:spacing w:line="240" w:lineRule="auto"/>
        <w:ind w:left="537" w:right="0"/>
        <w:jc w:val="left"/>
        <w:rPr>
          <w:b w:val="0"/>
          <w:bCs w:val="0"/>
        </w:rPr>
      </w:pPr>
      <w:r>
        <w:rPr>
          <w:rFonts w:ascii="宋体" w:hAnsi="宋体" w:cs="宋体" w:eastAsia="宋体" w:hint="default"/>
          <w:w w:val="95"/>
        </w:rPr>
        <w:t>(4).</w:t>
        <w:tab/>
      </w:r>
      <w:r>
        <w:rPr>
          <w:spacing w:val="-1"/>
        </w:rPr>
        <w:t>期末建造合同形成的已完工未结算资产情况：</w:t>
      </w:r>
      <w:r>
        <w:rPr>
          <w:b w:val="0"/>
          <w:bCs w:val="0"/>
          <w:spacing w:val="-1"/>
        </w:rPr>
      </w:r>
    </w:p>
    <w:p>
      <w:pPr>
        <w:pStyle w:val="BodyText"/>
        <w:spacing w:line="240" w:lineRule="auto" w:before="56"/>
        <w:ind w:left="5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300"/>
          <w:cols w:num="2" w:equalWidth="0">
            <w:col w:w="5388" w:space="1133"/>
            <w:col w:w="3349"/>
          </w:cols>
        </w:sectPr>
      </w:pPr>
    </w:p>
    <w:p>
      <w:pPr>
        <w:spacing w:line="240" w:lineRule="auto" w:before="4"/>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4297"/>
        <w:gridCol w:w="4599"/>
      </w:tblGrid>
      <w:tr>
        <w:trPr>
          <w:trHeight w:val="31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65,739,084,257.07</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4,948,835,345.84</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121,758,602.86</w:t>
            </w:r>
          </w:p>
        </w:tc>
      </w:tr>
      <w:tr>
        <w:trPr>
          <w:trHeight w:val="341"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66,531,784,005.86</w:t>
            </w:r>
          </w:p>
        </w:tc>
      </w:tr>
      <w:tr>
        <w:trPr>
          <w:trHeight w:val="34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pacing w:val="-1"/>
                <w:sz w:val="21"/>
              </w:rPr>
              <w:t>4,034,376,994.19</w:t>
            </w:r>
          </w:p>
        </w:tc>
      </w:tr>
    </w:tbl>
    <w:p>
      <w:pPr>
        <w:spacing w:line="240" w:lineRule="auto" w:before="13"/>
        <w:rPr>
          <w:rFonts w:ascii="宋体" w:hAnsi="宋体" w:cs="宋体" w:eastAsia="宋体" w:hint="default"/>
          <w:sz w:val="12"/>
          <w:szCs w:val="12"/>
        </w:rPr>
      </w:pPr>
    </w:p>
    <w:p>
      <w:pPr>
        <w:pStyle w:val="BodyText"/>
        <w:spacing w:line="274" w:lineRule="exact" w:before="36"/>
        <w:ind w:left="537" w:right="484"/>
        <w:jc w:val="left"/>
      </w:pPr>
      <w:r>
        <w:rPr/>
        <w:t>其他说明</w:t>
      </w:r>
    </w:p>
    <w:p>
      <w:pPr>
        <w:pStyle w:val="BodyText"/>
        <w:tabs>
          <w:tab w:pos="1379" w:val="left" w:leader="none"/>
        </w:tabs>
        <w:spacing w:line="274" w:lineRule="exact"/>
        <w:ind w:left="537" w:right="484"/>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40" w:right="1300"/>
        </w:sectPr>
      </w:pPr>
    </w:p>
    <w:p>
      <w:pPr>
        <w:pStyle w:val="Heading3"/>
        <w:spacing w:line="240" w:lineRule="auto"/>
        <w:ind w:left="537" w:right="-19"/>
        <w:jc w:val="left"/>
        <w:rPr>
          <w:b w:val="0"/>
          <w:bCs w:val="0"/>
        </w:rPr>
      </w:pPr>
      <w:r>
        <w:rPr>
          <w:rFonts w:ascii="宋体" w:hAnsi="宋体" w:cs="宋体" w:eastAsia="宋体" w:hint="default"/>
        </w:rPr>
        <w:t>7</w:t>
      </w:r>
      <w:r>
        <w:rPr/>
        <w:t>、</w:t>
      </w:r>
      <w:r>
        <w:rPr>
          <w:spacing w:val="-1"/>
        </w:rPr>
        <w:t> </w:t>
      </w:r>
      <w:r>
        <w:rPr/>
        <w:t>其他流动资产</w:t>
      </w:r>
      <w:r>
        <w:rPr>
          <w:b w:val="0"/>
          <w:bCs w:val="0"/>
        </w:rPr>
      </w:r>
    </w:p>
    <w:p>
      <w:pPr>
        <w:pStyle w:val="BodyText"/>
        <w:spacing w:line="240" w:lineRule="auto" w:before="56"/>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300"/>
          <w:cols w:num="2" w:equalWidth="0">
            <w:col w:w="2225" w:space="4297"/>
            <w:col w:w="3348"/>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128,282,688.21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36,851,647.57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8,050,000.00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8,050,000.00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预交各项税费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4,673,603.04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6,446,526.08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141,006,291.25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51,348,173.65</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40" w:right="1300"/>
        </w:sectPr>
      </w:pPr>
    </w:p>
    <w:p>
      <w:pPr>
        <w:pStyle w:val="Heading3"/>
        <w:spacing w:line="240" w:lineRule="auto"/>
        <w:ind w:left="537" w:right="-9"/>
        <w:jc w:val="left"/>
        <w:rPr>
          <w:b w:val="0"/>
          <w:bCs w:val="0"/>
        </w:rPr>
      </w:pPr>
      <w:r>
        <w:rPr>
          <w:rFonts w:ascii="宋体" w:hAnsi="宋体" w:cs="宋体" w:eastAsia="宋体" w:hint="default"/>
        </w:rPr>
        <w:t>8</w:t>
      </w:r>
      <w:r>
        <w:rPr/>
        <w:t>、 可供出售金融资产</w:t>
      </w:r>
      <w:r>
        <w:rPr>
          <w:b w:val="0"/>
          <w:bCs w:val="0"/>
        </w:rPr>
      </w:r>
    </w:p>
    <w:p>
      <w:pPr>
        <w:pStyle w:val="Heading3"/>
        <w:tabs>
          <w:tab w:pos="1180" w:val="left" w:leader="none"/>
        </w:tabs>
        <w:spacing w:line="240" w:lineRule="auto" w:before="58"/>
        <w:ind w:left="537"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537"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300"/>
          <w:cols w:num="2" w:equalWidth="0">
            <w:col w:w="3291" w:space="3231"/>
            <w:col w:w="3348"/>
          </w:cols>
        </w:sectPr>
      </w:pPr>
    </w:p>
    <w:p>
      <w:pPr>
        <w:spacing w:line="240" w:lineRule="auto" w:before="4"/>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1904"/>
        <w:gridCol w:w="1273"/>
        <w:gridCol w:w="864"/>
        <w:gridCol w:w="1270"/>
        <w:gridCol w:w="1375"/>
        <w:gridCol w:w="835"/>
        <w:gridCol w:w="1376"/>
      </w:tblGrid>
      <w:tr>
        <w:trPr>
          <w:trHeight w:val="283" w:hRule="exact"/>
        </w:trPr>
        <w:tc>
          <w:tcPr>
            <w:tcW w:w="19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904" w:type="dxa"/>
            <w:vMerge/>
            <w:tcBorders>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center"/>
              <w:rPr>
                <w:rFonts w:ascii="宋体" w:hAnsi="宋体" w:cs="宋体" w:eastAsia="宋体" w:hint="default"/>
                <w:sz w:val="21"/>
                <w:szCs w:val="21"/>
              </w:rPr>
            </w:pPr>
            <w:r>
              <w:rPr>
                <w:rFonts w:ascii="宋体" w:hAnsi="宋体" w:cs="宋体" w:eastAsia="宋体" w:hint="default"/>
                <w:spacing w:val="-1"/>
                <w:sz w:val="21"/>
                <w:szCs w:val="21"/>
              </w:rPr>
              <w:t>可供出售债务工具：</w:t>
            </w:r>
          </w:p>
        </w:tc>
        <w:tc>
          <w:tcPr>
            <w:tcW w:w="1273"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center"/>
              <w:rPr>
                <w:rFonts w:ascii="宋体" w:hAnsi="宋体" w:cs="宋体" w:eastAsia="宋体" w:hint="default"/>
                <w:sz w:val="21"/>
                <w:szCs w:val="21"/>
              </w:rPr>
            </w:pPr>
            <w:r>
              <w:rPr>
                <w:rFonts w:ascii="宋体" w:hAnsi="宋体" w:cs="宋体" w:eastAsia="宋体" w:hint="default"/>
                <w:spacing w:val="-1"/>
                <w:sz w:val="21"/>
                <w:szCs w:val="21"/>
              </w:rPr>
              <w:t>可供出售权益工具：</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88,300,000.00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88,300,000.00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126,300,000.00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126,300,000.00</w:t>
            </w:r>
          </w:p>
        </w:tc>
      </w:tr>
      <w:tr>
        <w:trPr>
          <w:trHeight w:val="55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pacing w:val="5"/>
                <w:sz w:val="21"/>
                <w:szCs w:val="21"/>
              </w:rPr>
              <w:t>按公允价值计量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273"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 w:right="0"/>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88,300,000.00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88,300,000.00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126,300,000.00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126,300,000.00</w:t>
            </w:r>
          </w:p>
        </w:tc>
      </w:tr>
      <w:tr>
        <w:trPr>
          <w:trHeight w:val="28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88,300,000.00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88,300,000.00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126,300,000.00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126,300,000.00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40" w:right="1300"/>
        </w:sectPr>
      </w:pPr>
    </w:p>
    <w:p>
      <w:pPr>
        <w:pStyle w:val="Heading3"/>
        <w:tabs>
          <w:tab w:pos="1180" w:val="left" w:leader="none"/>
        </w:tabs>
        <w:spacing w:line="240" w:lineRule="auto"/>
        <w:ind w:left="537" w:right="-3"/>
        <w:jc w:val="left"/>
        <w:rPr>
          <w:b w:val="0"/>
          <w:bCs w:val="0"/>
        </w:rPr>
      </w:pPr>
      <w:r>
        <w:rPr>
          <w:rFonts w:ascii="宋体" w:hAnsi="宋体" w:cs="宋体" w:eastAsia="宋体" w:hint="default"/>
          <w:w w:val="95"/>
        </w:rPr>
        <w:t>(2).</w:t>
        <w:tab/>
      </w:r>
      <w:r>
        <w:rPr>
          <w:spacing w:val="-1"/>
        </w:rPr>
        <w:t>期末按成本计量的可供出售金融资产</w:t>
      </w:r>
      <w:r>
        <w:rPr>
          <w:b w:val="0"/>
          <w:bCs w:val="0"/>
          <w:spacing w:val="-1"/>
        </w:rPr>
      </w:r>
    </w:p>
    <w:p>
      <w:pPr>
        <w:pStyle w:val="BodyText"/>
        <w:spacing w:line="240" w:lineRule="auto" w:before="56"/>
        <w:ind w:left="537" w:right="-3"/>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300"/>
          <w:cols w:num="2" w:equalWidth="0">
            <w:col w:w="4556" w:space="1966"/>
            <w:col w:w="334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824"/>
        <w:gridCol w:w="823"/>
        <w:gridCol w:w="821"/>
        <w:gridCol w:w="824"/>
        <w:gridCol w:w="823"/>
        <w:gridCol w:w="823"/>
        <w:gridCol w:w="824"/>
        <w:gridCol w:w="823"/>
        <w:gridCol w:w="821"/>
        <w:gridCol w:w="881"/>
        <w:gridCol w:w="763"/>
      </w:tblGrid>
      <w:tr>
        <w:trPr>
          <w:trHeight w:val="718"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7" w:lineRule="auto"/>
              <w:ind w:left="197" w:right="192"/>
              <w:jc w:val="center"/>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37" w:lineRule="auto" w:before="79"/>
              <w:ind w:left="120" w:right="116"/>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7" w:lineRule="auto"/>
              <w:ind w:left="165" w:right="16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2" w:hRule="exact"/>
        </w:trPr>
        <w:tc>
          <w:tcPr>
            <w:tcW w:w="824"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7"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4"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104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北京韬</w:t>
            </w:r>
            <w:r>
              <w:rPr>
                <w:rFonts w:ascii="宋体" w:hAnsi="宋体" w:cs="宋体" w:eastAsia="宋体" w:hint="default"/>
                <w:sz w:val="20"/>
                <w:szCs w:val="20"/>
              </w:rPr>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spacing w:val="4"/>
                <w:sz w:val="20"/>
                <w:szCs w:val="20"/>
              </w:rPr>
              <w:t>盛科技</w:t>
            </w:r>
            <w:r>
              <w:rPr>
                <w:rFonts w:ascii="宋体" w:hAnsi="宋体" w:cs="宋体" w:eastAsia="宋体" w:hint="default"/>
                <w:spacing w:val="4"/>
                <w:w w:val="99"/>
                <w:sz w:val="20"/>
                <w:szCs w:val="20"/>
              </w:rPr>
              <w:t> </w:t>
            </w:r>
            <w:r>
              <w:rPr>
                <w:rFonts w:ascii="宋体" w:hAnsi="宋体" w:cs="宋体" w:eastAsia="宋体" w:hint="default"/>
                <w:spacing w:val="4"/>
                <w:sz w:val="20"/>
                <w:szCs w:val="20"/>
              </w:rPr>
              <w:t>发展有</w:t>
            </w:r>
            <w:r>
              <w:rPr>
                <w:rFonts w:ascii="宋体" w:hAnsi="宋体" w:cs="宋体" w:eastAsia="宋体" w:hint="default"/>
                <w:spacing w:val="4"/>
                <w:w w:val="99"/>
                <w:sz w:val="20"/>
                <w:szCs w:val="20"/>
              </w:rPr>
              <w:t> </w:t>
            </w:r>
            <w:r>
              <w:rPr>
                <w:rFonts w:ascii="宋体" w:hAnsi="宋体" w:cs="宋体" w:eastAsia="宋体" w:hint="default"/>
                <w:sz w:val="20"/>
                <w:szCs w:val="20"/>
              </w:rPr>
              <w:t>限公司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07" w:lineRule="exact"/>
              <w:ind w:left="215" w:right="0"/>
              <w:jc w:val="left"/>
              <w:rPr>
                <w:rFonts w:ascii="Times New Roman" w:hAnsi="Times New Roman" w:cs="Times New Roman" w:eastAsia="Times New Roman" w:hint="default"/>
                <w:sz w:val="18"/>
                <w:szCs w:val="18"/>
              </w:rPr>
            </w:pPr>
            <w:r>
              <w:rPr>
                <w:rFonts w:ascii="Times New Roman"/>
                <w:sz w:val="18"/>
              </w:rPr>
              <w:t>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07" w:lineRule="exact"/>
              <w:ind w:left="216" w:right="0"/>
              <w:jc w:val="left"/>
              <w:rPr>
                <w:rFonts w:ascii="Times New Roman" w:hAnsi="Times New Roman" w:cs="Times New Roman" w:eastAsia="Times New Roman" w:hint="default"/>
                <w:sz w:val="18"/>
                <w:szCs w:val="18"/>
              </w:rPr>
            </w:pPr>
            <w:r>
              <w:rPr>
                <w:rFonts w:ascii="Times New Roman"/>
                <w:sz w:val="18"/>
              </w:rPr>
              <w:t>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130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宁波设</w:t>
            </w:r>
            <w:r>
              <w:rPr>
                <w:rFonts w:ascii="宋体" w:hAnsi="宋体" w:cs="宋体" w:eastAsia="宋体" w:hint="default"/>
                <w:sz w:val="20"/>
                <w:szCs w:val="20"/>
              </w:rPr>
            </w:r>
          </w:p>
          <w:p>
            <w:pPr>
              <w:pStyle w:val="TableParagraph"/>
              <w:spacing w:line="237" w:lineRule="auto" w:before="1"/>
              <w:ind w:left="103" w:right="96"/>
              <w:jc w:val="both"/>
              <w:rPr>
                <w:rFonts w:ascii="宋体" w:hAnsi="宋体" w:cs="宋体" w:eastAsia="宋体" w:hint="default"/>
                <w:sz w:val="20"/>
                <w:szCs w:val="20"/>
              </w:rPr>
            </w:pPr>
            <w:r>
              <w:rPr>
                <w:rFonts w:ascii="宋体" w:hAnsi="宋体" w:cs="宋体" w:eastAsia="宋体" w:hint="default"/>
                <w:spacing w:val="4"/>
                <w:sz w:val="20"/>
                <w:szCs w:val="20"/>
              </w:rPr>
              <w:t>联施工</w:t>
            </w:r>
            <w:r>
              <w:rPr>
                <w:rFonts w:ascii="宋体" w:hAnsi="宋体" w:cs="宋体" w:eastAsia="宋体" w:hint="default"/>
                <w:spacing w:val="4"/>
                <w:w w:val="99"/>
                <w:sz w:val="20"/>
                <w:szCs w:val="20"/>
              </w:rPr>
              <w:t> </w:t>
            </w:r>
            <w:r>
              <w:rPr>
                <w:rFonts w:ascii="宋体" w:hAnsi="宋体" w:cs="宋体" w:eastAsia="宋体" w:hint="default"/>
                <w:spacing w:val="4"/>
                <w:sz w:val="20"/>
                <w:szCs w:val="20"/>
              </w:rPr>
              <w:t>图审查</w:t>
            </w:r>
            <w:r>
              <w:rPr>
                <w:rFonts w:ascii="宋体" w:hAnsi="宋体" w:cs="宋体" w:eastAsia="宋体" w:hint="default"/>
                <w:spacing w:val="4"/>
                <w:w w:val="99"/>
                <w:sz w:val="20"/>
                <w:szCs w:val="20"/>
              </w:rPr>
              <w:t> </w:t>
            </w:r>
            <w:r>
              <w:rPr>
                <w:rFonts w:ascii="宋体" w:hAnsi="宋体" w:cs="宋体" w:eastAsia="宋体" w:hint="default"/>
                <w:spacing w:val="4"/>
                <w:sz w:val="20"/>
                <w:szCs w:val="20"/>
              </w:rPr>
              <w:t>有限公</w:t>
            </w:r>
            <w:r>
              <w:rPr>
                <w:rFonts w:ascii="宋体" w:hAnsi="宋体" w:cs="宋体" w:eastAsia="宋体" w:hint="default"/>
                <w:spacing w:val="4"/>
                <w:w w:val="99"/>
                <w:sz w:val="20"/>
                <w:szCs w:val="20"/>
              </w:rPr>
              <w:t> </w:t>
            </w:r>
            <w:r>
              <w:rPr>
                <w:rFonts w:ascii="宋体" w:hAnsi="宋体" w:cs="宋体" w:eastAsia="宋体" w:hint="default"/>
                <w:sz w:val="20"/>
                <w:szCs w:val="20"/>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07" w:lineRule="exact"/>
              <w:ind w:left="484" w:right="0"/>
              <w:jc w:val="left"/>
              <w:rPr>
                <w:rFonts w:ascii="Times New Roman" w:hAnsi="Times New Roman" w:cs="Times New Roman" w:eastAsia="Times New Roman" w:hint="default"/>
                <w:sz w:val="18"/>
                <w:szCs w:val="18"/>
              </w:rPr>
            </w:pPr>
            <w:r>
              <w:rPr>
                <w:rFonts w:ascii="Times New Roman"/>
                <w:sz w:val="18"/>
              </w:rPr>
              <w:t>.00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07" w:lineRule="exact"/>
              <w:ind w:left="484" w:right="0"/>
              <w:jc w:val="lef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3"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07" w:lineRule="exact"/>
              <w:ind w:left="233" w:right="0"/>
              <w:jc w:val="center"/>
              <w:rPr>
                <w:rFonts w:ascii="Times New Roman" w:hAnsi="Times New Roman" w:cs="Times New Roman" w:eastAsia="Times New Roman" w:hint="default"/>
                <w:sz w:val="18"/>
                <w:szCs w:val="18"/>
              </w:rPr>
            </w:pPr>
            <w:r>
              <w:rPr>
                <w:rFonts w:ascii="Times New Roman"/>
                <w:sz w:val="18"/>
              </w:rPr>
              <w:t>0.00</w:t>
            </w:r>
          </w:p>
        </w:tc>
      </w:tr>
      <w:tr>
        <w:trPr>
          <w:trHeight w:val="104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pacing w:val="2"/>
                <w:sz w:val="20"/>
                <w:szCs w:val="20"/>
              </w:rPr>
              <w:t>深圳市</w:t>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spacing w:val="4"/>
                <w:sz w:val="20"/>
                <w:szCs w:val="20"/>
              </w:rPr>
              <w:t>融美科</w:t>
            </w:r>
            <w:r>
              <w:rPr>
                <w:rFonts w:ascii="宋体" w:hAnsi="宋体" w:cs="宋体" w:eastAsia="宋体" w:hint="default"/>
                <w:spacing w:val="4"/>
                <w:w w:val="99"/>
                <w:sz w:val="20"/>
                <w:szCs w:val="20"/>
              </w:rPr>
              <w:t> </w:t>
            </w:r>
            <w:r>
              <w:rPr>
                <w:rFonts w:ascii="宋体" w:hAnsi="宋体" w:cs="宋体" w:eastAsia="宋体" w:hint="default"/>
                <w:spacing w:val="4"/>
                <w:sz w:val="20"/>
                <w:szCs w:val="20"/>
              </w:rPr>
              <w:t>技有限</w:t>
            </w:r>
            <w:r>
              <w:rPr>
                <w:rFonts w:ascii="宋体" w:hAnsi="宋体" w:cs="宋体" w:eastAsia="宋体" w:hint="default"/>
                <w:spacing w:val="4"/>
                <w:w w:val="99"/>
                <w:sz w:val="20"/>
                <w:szCs w:val="20"/>
              </w:rPr>
              <w:t> </w:t>
            </w:r>
            <w:r>
              <w:rPr>
                <w:rFonts w:ascii="宋体" w:hAnsi="宋体" w:cs="宋体" w:eastAsia="宋体" w:hint="default"/>
                <w:sz w:val="20"/>
                <w:szCs w:val="20"/>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Times New Roman" w:hAnsi="Times New Roman" w:cs="Times New Roman" w:eastAsia="Times New Roman" w:hint="default"/>
                <w:sz w:val="18"/>
                <w:szCs w:val="18"/>
              </w:rPr>
            </w:pPr>
            <w:r>
              <w:rPr>
                <w:rFonts w:ascii="Times New Roman"/>
                <w:sz w:val="18"/>
              </w:rPr>
              <w:t>88,000,</w:t>
            </w:r>
          </w:p>
          <w:p>
            <w:pPr>
              <w:pStyle w:val="TableParagraph"/>
              <w:spacing w:line="207" w:lineRule="exact"/>
              <w:ind w:left="215" w:right="0"/>
              <w:jc w:val="left"/>
              <w:rPr>
                <w:rFonts w:ascii="Times New Roman" w:hAnsi="Times New Roman" w:cs="Times New Roman" w:eastAsia="Times New Roman" w:hint="default"/>
                <w:sz w:val="18"/>
                <w:szCs w:val="18"/>
              </w:rPr>
            </w:pPr>
            <w:r>
              <w:rPr>
                <w:rFonts w:ascii="Times New Roman"/>
                <w:sz w:val="18"/>
              </w:rPr>
              <w:t>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Times New Roman" w:hAnsi="Times New Roman" w:cs="Times New Roman" w:eastAsia="Times New Roman" w:hint="default"/>
                <w:sz w:val="18"/>
                <w:szCs w:val="18"/>
              </w:rPr>
            </w:pPr>
            <w:r>
              <w:rPr>
                <w:rFonts w:ascii="Times New Roman"/>
                <w:sz w:val="18"/>
              </w:rPr>
              <w:t>88,000,</w:t>
            </w:r>
          </w:p>
          <w:p>
            <w:pPr>
              <w:pStyle w:val="TableParagraph"/>
              <w:spacing w:line="207" w:lineRule="exact"/>
              <w:ind w:left="216" w:right="0"/>
              <w:jc w:val="left"/>
              <w:rPr>
                <w:rFonts w:ascii="Times New Roman" w:hAnsi="Times New Roman" w:cs="Times New Roman" w:eastAsia="Times New Roman" w:hint="default"/>
                <w:sz w:val="18"/>
                <w:szCs w:val="18"/>
              </w:rPr>
            </w:pPr>
            <w:r>
              <w:rPr>
                <w:rFonts w:ascii="Times New Roman"/>
                <w:sz w:val="18"/>
              </w:rPr>
              <w:t>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20.00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万邦德</w:t>
            </w:r>
            <w:r>
              <w:rPr>
                <w:rFonts w:ascii="宋体" w:hAnsi="宋体" w:cs="宋体" w:eastAsia="宋体" w:hint="default"/>
                <w:sz w:val="20"/>
                <w:szCs w:val="20"/>
              </w:rPr>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spacing w:val="4"/>
                <w:sz w:val="20"/>
                <w:szCs w:val="20"/>
              </w:rPr>
              <w:t>医疗科</w:t>
            </w:r>
            <w:r>
              <w:rPr>
                <w:rFonts w:ascii="宋体" w:hAnsi="宋体" w:cs="宋体" w:eastAsia="宋体" w:hint="default"/>
                <w:spacing w:val="4"/>
                <w:w w:val="99"/>
                <w:sz w:val="20"/>
                <w:szCs w:val="20"/>
              </w:rPr>
              <w:t> </w:t>
            </w:r>
            <w:r>
              <w:rPr>
                <w:rFonts w:ascii="宋体" w:hAnsi="宋体" w:cs="宋体" w:eastAsia="宋体" w:hint="default"/>
                <w:spacing w:val="4"/>
                <w:sz w:val="20"/>
                <w:szCs w:val="20"/>
              </w:rPr>
              <w:t>技有限</w:t>
            </w:r>
            <w:r>
              <w:rPr>
                <w:rFonts w:ascii="宋体" w:hAnsi="宋体" w:cs="宋体" w:eastAsia="宋体" w:hint="default"/>
                <w:spacing w:val="4"/>
                <w:w w:val="99"/>
                <w:sz w:val="20"/>
                <w:szCs w:val="20"/>
              </w:rPr>
              <w:t> </w:t>
            </w:r>
            <w:r>
              <w:rPr>
                <w:rFonts w:ascii="宋体" w:hAnsi="宋体" w:cs="宋体" w:eastAsia="宋体" w:hint="default"/>
                <w:sz w:val="20"/>
                <w:szCs w:val="20"/>
              </w:rPr>
              <w:t>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07" w:lineRule="exact"/>
              <w:ind w:left="215" w:right="0"/>
              <w:jc w:val="left"/>
              <w:rPr>
                <w:rFonts w:ascii="Times New Roman" w:hAnsi="Times New Roman" w:cs="Times New Roman" w:eastAsia="Times New Roman" w:hint="default"/>
                <w:sz w:val="18"/>
                <w:szCs w:val="18"/>
              </w:rPr>
            </w:pPr>
            <w:r>
              <w:rPr>
                <w:rFonts w:ascii="Times New Roman"/>
                <w:sz w:val="18"/>
              </w:rPr>
              <w:t>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1"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07" w:lineRule="exact"/>
              <w:ind w:left="216" w:right="0"/>
              <w:jc w:val="left"/>
              <w:rPr>
                <w:rFonts w:ascii="Times New Roman" w:hAnsi="Times New Roman" w:cs="Times New Roman" w:eastAsia="Times New Roman" w:hint="default"/>
                <w:sz w:val="18"/>
                <w:szCs w:val="18"/>
              </w:rPr>
            </w:pPr>
            <w:r>
              <w:rPr>
                <w:rFonts w:ascii="Times New Roman"/>
                <w:sz w:val="18"/>
              </w:rPr>
              <w:t>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126,300</w:t>
            </w:r>
          </w:p>
          <w:p>
            <w:pPr>
              <w:pStyle w:val="TableParagraph"/>
              <w:spacing w:line="240" w:lineRule="auto" w:before="2"/>
              <w:ind w:left="170" w:right="0"/>
              <w:jc w:val="left"/>
              <w:rPr>
                <w:rFonts w:ascii="Times New Roman" w:hAnsi="Times New Roman" w:cs="Times New Roman" w:eastAsia="Times New Roman" w:hint="default"/>
                <w:sz w:val="18"/>
                <w:szCs w:val="18"/>
              </w:rPr>
            </w:pPr>
            <w:r>
              <w:rPr>
                <w:rFonts w:ascii="Times New Roman"/>
                <w:sz w:val="18"/>
              </w:rPr>
              <w:t>,000.00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1" w:right="0"/>
              <w:jc w:val="left"/>
              <w:rPr>
                <w:rFonts w:ascii="Times New Roman" w:hAnsi="Times New Roman" w:cs="Times New Roman" w:eastAsia="Times New Roman" w:hint="default"/>
                <w:sz w:val="18"/>
                <w:szCs w:val="18"/>
              </w:rPr>
            </w:pPr>
            <w:r>
              <w:rPr>
                <w:rFonts w:ascii="Times New Roman"/>
                <w:sz w:val="18"/>
              </w:rPr>
              <w:t>38,000,</w:t>
            </w:r>
          </w:p>
          <w:p>
            <w:pPr>
              <w:pStyle w:val="TableParagraph"/>
              <w:spacing w:line="240" w:lineRule="auto" w:before="2"/>
              <w:ind w:left="216" w:right="0"/>
              <w:jc w:val="left"/>
              <w:rPr>
                <w:rFonts w:ascii="Times New Roman" w:hAnsi="Times New Roman" w:cs="Times New Roman" w:eastAsia="Times New Roman" w:hint="default"/>
                <w:sz w:val="18"/>
                <w:szCs w:val="18"/>
              </w:rPr>
            </w:pPr>
            <w:r>
              <w:rPr>
                <w:rFonts w:ascii="Times New Roman"/>
                <w:sz w:val="18"/>
              </w:rPr>
              <w:t>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0" w:right="0"/>
              <w:jc w:val="left"/>
              <w:rPr>
                <w:rFonts w:ascii="Times New Roman" w:hAnsi="Times New Roman" w:cs="Times New Roman" w:eastAsia="Times New Roman" w:hint="default"/>
                <w:sz w:val="18"/>
                <w:szCs w:val="18"/>
              </w:rPr>
            </w:pPr>
            <w:r>
              <w:rPr>
                <w:rFonts w:ascii="Times New Roman"/>
                <w:sz w:val="18"/>
              </w:rPr>
              <w:t>88,300,</w:t>
            </w:r>
          </w:p>
          <w:p>
            <w:pPr>
              <w:pStyle w:val="TableParagraph"/>
              <w:spacing w:line="240" w:lineRule="auto" w:before="2"/>
              <w:ind w:left="216" w:right="0"/>
              <w:jc w:val="left"/>
              <w:rPr>
                <w:rFonts w:ascii="Times New Roman" w:hAnsi="Times New Roman" w:cs="Times New Roman" w:eastAsia="Times New Roman" w:hint="default"/>
                <w:sz w:val="18"/>
                <w:szCs w:val="18"/>
              </w:rPr>
            </w:pPr>
            <w:r>
              <w:rPr>
                <w:rFonts w:ascii="Times New Roman"/>
                <w:sz w:val="18"/>
              </w:rPr>
              <w:t>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3"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2"/>
              <w:ind w:left="233" w:right="0"/>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48"/>
          <w:pgSz w:w="11910" w:h="16840"/>
          <w:pgMar w:footer="1195" w:header="882" w:top="1120" w:bottom="1380" w:left="1060" w:right="1560"/>
          <w:pgNumType w:start="111"/>
        </w:sectPr>
      </w:pPr>
    </w:p>
    <w:p>
      <w:pPr>
        <w:pStyle w:val="Heading3"/>
        <w:spacing w:line="240" w:lineRule="auto"/>
        <w:ind w:right="-20"/>
        <w:jc w:val="left"/>
        <w:rPr>
          <w:b w:val="0"/>
          <w:bCs w:val="0"/>
        </w:rPr>
      </w:pPr>
      <w:r>
        <w:rPr>
          <w:rFonts w:ascii="宋体" w:hAnsi="宋体" w:cs="宋体" w:eastAsia="宋体" w:hint="default"/>
        </w:rPr>
        <w:t>9</w:t>
      </w:r>
      <w:r>
        <w:rPr/>
        <w:t>、</w:t>
      </w:r>
      <w:r>
        <w:rPr>
          <w:spacing w:val="-1"/>
        </w:rPr>
        <w:t> </w:t>
      </w:r>
      <w:r>
        <w:rPr/>
        <w:t>长期应收款</w:t>
      </w:r>
      <w:r>
        <w:rPr>
          <w:b w:val="0"/>
          <w:bCs w:val="0"/>
        </w:rPr>
      </w:r>
    </w:p>
    <w:p>
      <w:pPr>
        <w:pStyle w:val="Heading3"/>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21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02"/>
        <w:gridCol w:w="1376"/>
        <w:gridCol w:w="641"/>
        <w:gridCol w:w="1375"/>
        <w:gridCol w:w="1376"/>
        <w:gridCol w:w="641"/>
        <w:gridCol w:w="1376"/>
        <w:gridCol w:w="564"/>
      </w:tblGrid>
      <w:tr>
        <w:trPr>
          <w:trHeight w:val="286"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9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9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before="2"/>
              <w:ind w:left="170" w:right="170"/>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p>
        </w:tc>
      </w:tr>
      <w:tr>
        <w:trPr>
          <w:trHeight w:val="1090" w:hRule="exact"/>
        </w:trPr>
        <w:tc>
          <w:tcPr>
            <w:tcW w:w="1702" w:type="dxa"/>
            <w:vMerge/>
            <w:tcBorders>
              <w:left w:val="single" w:sz="4" w:space="0" w:color="000000"/>
              <w:bottom w:val="single" w:sz="6" w:space="0" w:color="000000"/>
              <w:right w:val="single" w:sz="4" w:space="0" w:color="000000"/>
            </w:tcBorders>
          </w:tcPr>
          <w:p>
            <w:pPr/>
          </w:p>
        </w:tc>
        <w:tc>
          <w:tcPr>
            <w:tcW w:w="13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3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564" w:type="dxa"/>
            <w:vMerge/>
            <w:tcBorders>
              <w:left w:val="single" w:sz="4" w:space="0" w:color="000000"/>
              <w:bottom w:val="single" w:sz="6" w:space="0" w:color="000000"/>
              <w:right w:val="single" w:sz="4" w:space="0" w:color="000000"/>
            </w:tcBorders>
          </w:tcPr>
          <w:p>
            <w:pPr/>
          </w:p>
        </w:tc>
      </w:tr>
      <w:tr>
        <w:trPr>
          <w:trHeight w:val="28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4" w:space="0" w:color="000000"/>
            </w:tcBorders>
          </w:tcPr>
          <w:p>
            <w:pPr/>
          </w:p>
        </w:tc>
        <w:tc>
          <w:tcPr>
            <w:tcW w:w="56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4" w:right="0"/>
              <w:jc w:val="left"/>
              <w:rPr>
                <w:rFonts w:ascii="宋体" w:hAnsi="宋体" w:cs="宋体" w:eastAsia="宋体" w:hint="default"/>
                <w:sz w:val="21"/>
                <w:szCs w:val="21"/>
              </w:rPr>
            </w:pPr>
            <w:r>
              <w:rPr>
                <w:rFonts w:ascii="宋体" w:hAnsi="宋体" w:cs="宋体" w:eastAsia="宋体" w:hint="default"/>
                <w:spacing w:val="-8"/>
                <w:sz w:val="21"/>
                <w:szCs w:val="21"/>
              </w:rPr>
              <w:t>其中：未实现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融资收益</w:t>
            </w: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4" w:space="0" w:color="000000"/>
            </w:tcBorders>
          </w:tcPr>
          <w:p>
            <w:pPr/>
          </w:p>
        </w:tc>
        <w:tc>
          <w:tcPr>
            <w:tcW w:w="564"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销</w:t>
            </w:r>
            <w:r>
              <w:rPr>
                <w:rFonts w:ascii="宋体" w:hAnsi="宋体" w:cs="宋体" w:eastAsia="宋体" w:hint="default"/>
                <w:spacing w:val="-78"/>
                <w:sz w:val="21"/>
                <w:szCs w:val="21"/>
              </w:rPr>
              <w:t> </w:t>
            </w:r>
            <w:r>
              <w:rPr>
                <w:rFonts w:ascii="宋体" w:hAnsi="宋体" w:cs="宋体" w:eastAsia="宋体" w:hint="default"/>
                <w:sz w:val="21"/>
                <w:szCs w:val="21"/>
              </w:rPr>
              <w:t>售</w:t>
            </w:r>
            <w:r>
              <w:rPr>
                <w:rFonts w:ascii="宋体" w:hAnsi="宋体" w:cs="宋体" w:eastAsia="宋体" w:hint="default"/>
                <w:spacing w:val="-78"/>
                <w:sz w:val="21"/>
                <w:szCs w:val="21"/>
              </w:rPr>
              <w:t> </w:t>
            </w:r>
            <w:r>
              <w:rPr>
                <w:rFonts w:ascii="宋体" w:hAnsi="宋体" w:cs="宋体" w:eastAsia="宋体" w:hint="default"/>
                <w:sz w:val="21"/>
                <w:szCs w:val="21"/>
              </w:rPr>
              <w:t>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4" w:space="0" w:color="000000"/>
            </w:tcBorders>
          </w:tcPr>
          <w:p>
            <w:pPr/>
          </w:p>
        </w:tc>
        <w:tc>
          <w:tcPr>
            <w:tcW w:w="564"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供</w:t>
            </w:r>
            <w:r>
              <w:rPr>
                <w:rFonts w:ascii="宋体" w:hAnsi="宋体" w:cs="宋体" w:eastAsia="宋体" w:hint="default"/>
                <w:spacing w:val="-78"/>
                <w:sz w:val="21"/>
                <w:szCs w:val="21"/>
              </w:rPr>
              <w:t> </w:t>
            </w:r>
            <w:r>
              <w:rPr>
                <w:rFonts w:ascii="宋体" w:hAnsi="宋体" w:cs="宋体" w:eastAsia="宋体" w:hint="default"/>
                <w:sz w:val="21"/>
                <w:szCs w:val="21"/>
              </w:rPr>
              <w:t>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64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4" w:space="0" w:color="000000"/>
            </w:tcBorders>
          </w:tcPr>
          <w:p>
            <w:pPr/>
          </w:p>
        </w:tc>
        <w:tc>
          <w:tcPr>
            <w:tcW w:w="56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垫付的工程款</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120,092,229.73</w:t>
            </w:r>
          </w:p>
        </w:tc>
        <w:tc>
          <w:tcPr>
            <w:tcW w:w="64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120,092,229.73</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142,290,899.83</w:t>
            </w:r>
          </w:p>
        </w:tc>
        <w:tc>
          <w:tcPr>
            <w:tcW w:w="64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142,290,899.83</w:t>
            </w:r>
          </w:p>
        </w:tc>
        <w:tc>
          <w:tcPr>
            <w:tcW w:w="56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120,092,229.73</w:t>
            </w:r>
          </w:p>
        </w:tc>
        <w:tc>
          <w:tcPr>
            <w:tcW w:w="64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120,092,229.73</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142,290,899.83</w:t>
            </w:r>
          </w:p>
        </w:tc>
        <w:tc>
          <w:tcPr>
            <w:tcW w:w="641"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142,290,899.83</w:t>
            </w:r>
          </w:p>
        </w:tc>
        <w:tc>
          <w:tcPr>
            <w:tcW w:w="564"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188" w:lineRule="exact" w:before="0"/>
        <w:ind w:left="217"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注：本公司子公司宁波市政工程集团与浙江现代建工集团有限公司联合承建金华经济开发区</w:t>
      </w:r>
      <w:r>
        <w:rPr>
          <w:rFonts w:ascii="宋体" w:hAnsi="宋体" w:cs="宋体" w:eastAsia="宋体" w:hint="default"/>
          <w:spacing w:val="-26"/>
          <w:sz w:val="16"/>
          <w:szCs w:val="16"/>
        </w:rPr>
        <w:t> </w:t>
      </w:r>
      <w:r>
        <w:rPr>
          <w:rFonts w:ascii="Times New Roman" w:hAnsi="Times New Roman" w:cs="Times New Roman" w:eastAsia="Times New Roman" w:hint="default"/>
          <w:sz w:val="16"/>
          <w:szCs w:val="16"/>
        </w:rPr>
        <w:t>330</w:t>
      </w:r>
      <w:r>
        <w:rPr>
          <w:rFonts w:ascii="Times New Roman" w:hAnsi="Times New Roman" w:cs="Times New Roman" w:eastAsia="Times New Roman" w:hint="default"/>
          <w:spacing w:val="14"/>
          <w:sz w:val="16"/>
          <w:szCs w:val="16"/>
        </w:rPr>
        <w:t> </w:t>
      </w:r>
      <w:r>
        <w:rPr>
          <w:rFonts w:ascii="宋体" w:hAnsi="宋体" w:cs="宋体" w:eastAsia="宋体" w:hint="default"/>
          <w:sz w:val="16"/>
          <w:szCs w:val="16"/>
        </w:rPr>
        <w:t>国道改建工程</w:t>
      </w:r>
      <w:r>
        <w:rPr>
          <w:rFonts w:ascii="宋体" w:hAnsi="宋体" w:cs="宋体" w:eastAsia="宋体" w:hint="default"/>
          <w:spacing w:val="-26"/>
          <w:sz w:val="16"/>
          <w:szCs w:val="16"/>
        </w:rPr>
        <w:t> </w:t>
      </w:r>
      <w:r>
        <w:rPr>
          <w:rFonts w:ascii="Times New Roman" w:hAnsi="Times New Roman" w:cs="Times New Roman" w:eastAsia="Times New Roman" w:hint="default"/>
          <w:sz w:val="16"/>
          <w:szCs w:val="16"/>
        </w:rPr>
        <w:t>PC+</w:t>
      </w:r>
      <w:r>
        <w:rPr>
          <w:rFonts w:ascii="宋体" w:hAnsi="宋体" w:cs="宋体" w:eastAsia="宋体" w:hint="default"/>
          <w:sz w:val="16"/>
          <w:szCs w:val="16"/>
        </w:rPr>
        <w:t>融资项目</w:t>
      </w:r>
      <w:r>
        <w:rPr>
          <w:rFonts w:ascii="宋体" w:hAnsi="宋体" w:cs="宋体" w:eastAsia="宋体" w:hint="default"/>
          <w:spacing w:val="-29"/>
          <w:sz w:val="16"/>
          <w:szCs w:val="16"/>
        </w:rPr>
        <w:t> </w:t>
      </w:r>
      <w:r>
        <w:rPr>
          <w:rFonts w:ascii="Times New Roman" w:hAnsi="Times New Roman" w:cs="Times New Roman" w:eastAsia="Times New Roman" w:hint="default"/>
          <w:sz w:val="16"/>
          <w:szCs w:val="16"/>
        </w:rPr>
        <w:t>2</w:t>
      </w:r>
    </w:p>
    <w:p>
      <w:pPr>
        <w:spacing w:line="208" w:lineRule="exact" w:before="13"/>
        <w:ind w:left="217" w:right="227" w:firstLine="0"/>
        <w:jc w:val="left"/>
        <w:rPr>
          <w:rFonts w:ascii="宋体" w:hAnsi="宋体" w:cs="宋体" w:eastAsia="宋体" w:hint="default"/>
          <w:sz w:val="16"/>
          <w:szCs w:val="16"/>
        </w:rPr>
      </w:pPr>
      <w:r>
        <w:rPr>
          <w:rFonts w:ascii="宋体" w:hAnsi="宋体" w:cs="宋体" w:eastAsia="宋体" w:hint="default"/>
          <w:spacing w:val="-1"/>
          <w:sz w:val="16"/>
          <w:szCs w:val="16"/>
        </w:rPr>
        <w:t>标，按项目合同约定，项目建设所需资金由承建方负责筹集并汇入业主方开设的专项账户，再由业主按工程进度拨付工程款，</w:t>
      </w:r>
      <w:r>
        <w:rPr>
          <w:rFonts w:ascii="宋体" w:hAnsi="宋体" w:cs="宋体" w:eastAsia="宋体" w:hint="default"/>
          <w:spacing w:val="9"/>
          <w:sz w:val="16"/>
          <w:szCs w:val="16"/>
        </w:rPr>
        <w:t> </w:t>
      </w:r>
      <w:r>
        <w:rPr>
          <w:rFonts w:ascii="宋体" w:hAnsi="宋体" w:cs="宋体" w:eastAsia="宋体" w:hint="default"/>
          <w:spacing w:val="9"/>
          <w:sz w:val="16"/>
          <w:szCs w:val="16"/>
        </w:rPr>
      </w:r>
      <w:r>
        <w:rPr>
          <w:rFonts w:ascii="宋体" w:hAnsi="宋体" w:cs="宋体" w:eastAsia="宋体" w:hint="default"/>
          <w:sz w:val="16"/>
          <w:szCs w:val="16"/>
        </w:rPr>
        <w:t>承建方垫付的资金在项目工程项目竣工验收合格后分四年收回。上表长期应收款为截至</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年末公司已垫付的工程款。</w:t>
      </w:r>
    </w:p>
    <w:p>
      <w:pPr>
        <w:spacing w:after="0" w:line="208" w:lineRule="exact"/>
        <w:jc w:val="left"/>
        <w:rPr>
          <w:rFonts w:ascii="宋体" w:hAnsi="宋体" w:cs="宋体" w:eastAsia="宋体" w:hint="default"/>
          <w:sz w:val="16"/>
          <w:szCs w:val="16"/>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20" w:right="1560"/>
        </w:sectPr>
      </w:pPr>
    </w:p>
    <w:p>
      <w:pPr>
        <w:pStyle w:val="Heading3"/>
        <w:spacing w:line="240" w:lineRule="auto"/>
        <w:ind w:left="257" w:right="-19"/>
        <w:jc w:val="left"/>
        <w:rPr>
          <w:b w:val="0"/>
          <w:bCs w:val="0"/>
        </w:rPr>
      </w:pPr>
      <w:r>
        <w:rPr>
          <w:rFonts w:ascii="宋体" w:hAnsi="宋体" w:cs="宋体" w:eastAsia="宋体" w:hint="default"/>
        </w:rPr>
        <w:t>10</w:t>
      </w:r>
      <w:r>
        <w:rPr/>
        <w:t>、</w:t>
      </w:r>
      <w:r>
        <w:rPr>
          <w:spacing w:val="-23"/>
        </w:rPr>
        <w:t> </w:t>
      </w:r>
      <w:r>
        <w:rPr/>
        <w:t>长期股权投资</w:t>
      </w:r>
      <w:r>
        <w:rPr>
          <w:b w:val="0"/>
          <w:bCs w:val="0"/>
        </w:rPr>
      </w:r>
    </w:p>
    <w:p>
      <w:pPr>
        <w:pStyle w:val="BodyText"/>
        <w:spacing w:line="240" w:lineRule="auto" w:before="56"/>
        <w:ind w:left="2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2029" w:space="4493"/>
            <w:col w:w="2808"/>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824"/>
        <w:gridCol w:w="986"/>
        <w:gridCol w:w="530"/>
        <w:gridCol w:w="673"/>
        <w:gridCol w:w="787"/>
        <w:gridCol w:w="706"/>
        <w:gridCol w:w="711"/>
        <w:gridCol w:w="785"/>
        <w:gridCol w:w="775"/>
        <w:gridCol w:w="756"/>
        <w:gridCol w:w="771"/>
        <w:gridCol w:w="746"/>
      </w:tblGrid>
      <w:tr>
        <w:trPr>
          <w:trHeight w:val="283"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37" w:lineRule="auto"/>
              <w:ind w:left="197"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75" w:right="27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7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0" w:right="16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4"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5"/>
              <w:jc w:val="both"/>
              <w:rPr>
                <w:rFonts w:ascii="宋体" w:hAnsi="宋体" w:cs="宋体" w:eastAsia="宋体" w:hint="default"/>
                <w:sz w:val="21"/>
                <w:szCs w:val="21"/>
              </w:rPr>
            </w:pPr>
            <w:r>
              <w:rPr>
                <w:rFonts w:ascii="宋体" w:hAnsi="宋体" w:cs="宋体" w:eastAsia="宋体" w:hint="default"/>
                <w:sz w:val="21"/>
                <w:szCs w:val="21"/>
              </w:rPr>
              <w:t>追</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18"/>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0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宁波普</w:t>
            </w:r>
            <w:r>
              <w:rPr>
                <w:rFonts w:ascii="宋体" w:hAnsi="宋体" w:cs="宋体" w:eastAsia="宋体" w:hint="default"/>
                <w:sz w:val="20"/>
                <w:szCs w:val="20"/>
              </w:rPr>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spacing w:val="4"/>
                <w:sz w:val="20"/>
                <w:szCs w:val="20"/>
              </w:rPr>
              <w:t>利凯建</w:t>
            </w:r>
            <w:r>
              <w:rPr>
                <w:rFonts w:ascii="宋体" w:hAnsi="宋体" w:cs="宋体" w:eastAsia="宋体" w:hint="default"/>
                <w:spacing w:val="4"/>
                <w:w w:val="99"/>
                <w:sz w:val="20"/>
                <w:szCs w:val="20"/>
              </w:rPr>
              <w:t> </w:t>
            </w:r>
            <w:r>
              <w:rPr>
                <w:rFonts w:ascii="宋体" w:hAnsi="宋体" w:cs="宋体" w:eastAsia="宋体" w:hint="default"/>
                <w:spacing w:val="4"/>
                <w:sz w:val="20"/>
                <w:szCs w:val="20"/>
              </w:rPr>
              <w:t>筑科技</w:t>
            </w:r>
            <w:r>
              <w:rPr>
                <w:rFonts w:ascii="宋体" w:hAnsi="宋体" w:cs="宋体" w:eastAsia="宋体" w:hint="default"/>
                <w:spacing w:val="4"/>
                <w:w w:val="99"/>
                <w:sz w:val="20"/>
                <w:szCs w:val="20"/>
              </w:rPr>
              <w:t> </w:t>
            </w:r>
            <w:r>
              <w:rPr>
                <w:rFonts w:ascii="宋体" w:hAnsi="宋体" w:cs="宋体" w:eastAsia="宋体" w:hint="default"/>
                <w:spacing w:val="4"/>
                <w:sz w:val="20"/>
                <w:szCs w:val="20"/>
              </w:rPr>
              <w:t>有限公</w:t>
            </w:r>
            <w:r>
              <w:rPr>
                <w:rFonts w:ascii="宋体" w:hAnsi="宋体" w:cs="宋体" w:eastAsia="宋体" w:hint="default"/>
                <w:spacing w:val="4"/>
                <w:w w:val="99"/>
                <w:sz w:val="20"/>
                <w:szCs w:val="20"/>
              </w:rPr>
              <w:t> </w:t>
            </w:r>
            <w:r>
              <w:rPr>
                <w:rFonts w:ascii="宋体" w:hAnsi="宋体" w:cs="宋体" w:eastAsia="宋体" w:hint="default"/>
                <w:sz w:val="20"/>
                <w:szCs w:val="20"/>
              </w:rPr>
              <w:t>司</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0" w:right="0"/>
              <w:jc w:val="left"/>
              <w:rPr>
                <w:rFonts w:ascii="Times New Roman" w:hAnsi="Times New Roman" w:cs="Times New Roman" w:eastAsia="Times New Roman" w:hint="default"/>
                <w:sz w:val="20"/>
                <w:szCs w:val="20"/>
              </w:rPr>
            </w:pPr>
            <w:r>
              <w:rPr>
                <w:rFonts w:ascii="Times New Roman"/>
                <w:sz w:val="20"/>
              </w:rPr>
              <w:t>41,325,7</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73.56</w:t>
            </w: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ight="0"/>
              <w:jc w:val="left"/>
              <w:rPr>
                <w:rFonts w:ascii="Times New Roman" w:hAnsi="Times New Roman" w:cs="Times New Roman" w:eastAsia="Times New Roman" w:hint="default"/>
                <w:sz w:val="20"/>
                <w:szCs w:val="20"/>
              </w:rPr>
            </w:pPr>
            <w:r>
              <w:rPr>
                <w:rFonts w:ascii="Times New Roman"/>
                <w:sz w:val="20"/>
              </w:rPr>
              <w:t>-4,213,</w:t>
            </w:r>
          </w:p>
          <w:p>
            <w:pPr>
              <w:pStyle w:val="TableParagraph"/>
              <w:spacing w:line="240" w:lineRule="auto"/>
              <w:ind w:left="124" w:right="0"/>
              <w:jc w:val="left"/>
              <w:rPr>
                <w:rFonts w:ascii="Times New Roman" w:hAnsi="Times New Roman" w:cs="Times New Roman" w:eastAsia="Times New Roman" w:hint="default"/>
                <w:sz w:val="20"/>
                <w:szCs w:val="20"/>
              </w:rPr>
            </w:pPr>
            <w:r>
              <w:rPr>
                <w:rFonts w:ascii="Times New Roman"/>
                <w:sz w:val="20"/>
              </w:rPr>
              <w:t>521.22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pacing w:val="-1"/>
                <w:w w:val="95"/>
                <w:sz w:val="20"/>
              </w:rPr>
              <w:t>37,112</w:t>
            </w:r>
            <w:r>
              <w:rPr>
                <w:rFonts w:ascii="Times New Roman"/>
                <w:spacing w:val="-1"/>
                <w:sz w:val="20"/>
              </w:rPr>
            </w:r>
          </w:p>
          <w:p>
            <w:pPr>
              <w:pStyle w:val="TableParagraph"/>
              <w:spacing w:line="229" w:lineRule="exact"/>
              <w:ind w:right="101"/>
              <w:jc w:val="right"/>
              <w:rPr>
                <w:rFonts w:ascii="Times New Roman" w:hAnsi="Times New Roman" w:cs="Times New Roman" w:eastAsia="Times New Roman" w:hint="default"/>
                <w:sz w:val="20"/>
                <w:szCs w:val="20"/>
              </w:rPr>
            </w:pPr>
            <w:r>
              <w:rPr>
                <w:rFonts w:ascii="Times New Roman"/>
                <w:w w:val="95"/>
                <w:sz w:val="20"/>
              </w:rPr>
              <w:t>,252.3</w:t>
            </w:r>
            <w:r>
              <w:rPr>
                <w:rFonts w:ascii="Times New Roman"/>
                <w:sz w:val="20"/>
              </w:rPr>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4"/>
                <w:sz w:val="20"/>
                <w:szCs w:val="20"/>
              </w:rPr>
              <w:t>上海安</w:t>
            </w:r>
            <w:r>
              <w:rPr>
                <w:rFonts w:ascii="宋体" w:hAnsi="宋体" w:cs="宋体" w:eastAsia="宋体" w:hint="default"/>
                <w:sz w:val="20"/>
                <w:szCs w:val="20"/>
              </w:rPr>
            </w:r>
          </w:p>
          <w:p>
            <w:pPr>
              <w:pStyle w:val="TableParagraph"/>
              <w:spacing w:line="237" w:lineRule="auto" w:before="1"/>
              <w:ind w:left="103" w:right="96"/>
              <w:jc w:val="both"/>
              <w:rPr>
                <w:rFonts w:ascii="宋体" w:hAnsi="宋体" w:cs="宋体" w:eastAsia="宋体" w:hint="default"/>
                <w:sz w:val="20"/>
                <w:szCs w:val="20"/>
              </w:rPr>
            </w:pPr>
            <w:r>
              <w:rPr>
                <w:rFonts w:ascii="宋体" w:hAnsi="宋体" w:cs="宋体" w:eastAsia="宋体" w:hint="default"/>
                <w:spacing w:val="4"/>
                <w:sz w:val="20"/>
                <w:szCs w:val="20"/>
              </w:rPr>
              <w:t>璇财务</w:t>
            </w:r>
            <w:r>
              <w:rPr>
                <w:rFonts w:ascii="宋体" w:hAnsi="宋体" w:cs="宋体" w:eastAsia="宋体" w:hint="default"/>
                <w:spacing w:val="4"/>
                <w:w w:val="99"/>
                <w:sz w:val="20"/>
                <w:szCs w:val="20"/>
              </w:rPr>
              <w:t> </w:t>
            </w:r>
            <w:r>
              <w:rPr>
                <w:rFonts w:ascii="宋体" w:hAnsi="宋体" w:cs="宋体" w:eastAsia="宋体" w:hint="default"/>
                <w:spacing w:val="4"/>
                <w:sz w:val="20"/>
                <w:szCs w:val="20"/>
              </w:rPr>
              <w:t>咨询有</w:t>
            </w:r>
            <w:r>
              <w:rPr>
                <w:rFonts w:ascii="宋体" w:hAnsi="宋体" w:cs="宋体" w:eastAsia="宋体" w:hint="default"/>
                <w:spacing w:val="4"/>
                <w:w w:val="99"/>
                <w:sz w:val="20"/>
                <w:szCs w:val="20"/>
              </w:rPr>
              <w:t> </w:t>
            </w:r>
            <w:r>
              <w:rPr>
                <w:rFonts w:ascii="宋体" w:hAnsi="宋体" w:cs="宋体" w:eastAsia="宋体" w:hint="default"/>
                <w:sz w:val="20"/>
                <w:szCs w:val="20"/>
              </w:rPr>
              <w:t>限公司</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sz w:val="20"/>
              </w:rPr>
              <w:t>500,000.</w:t>
            </w: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58" w:right="0"/>
              <w:jc w:val="left"/>
              <w:rPr>
                <w:rFonts w:ascii="Times New Roman" w:hAnsi="Times New Roman" w:cs="Times New Roman" w:eastAsia="Times New Roman" w:hint="default"/>
                <w:sz w:val="20"/>
                <w:szCs w:val="20"/>
              </w:rPr>
            </w:pPr>
            <w:r>
              <w:rPr>
                <w:rFonts w:ascii="Times New Roman"/>
                <w:sz w:val="20"/>
              </w:rPr>
              <w:t>-218,2</w:t>
            </w: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12.93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ight="0"/>
              <w:jc w:val="left"/>
              <w:rPr>
                <w:rFonts w:ascii="Times New Roman" w:hAnsi="Times New Roman" w:cs="Times New Roman" w:eastAsia="Times New Roman" w:hint="default"/>
                <w:sz w:val="20"/>
                <w:szCs w:val="20"/>
              </w:rPr>
            </w:pPr>
            <w:r>
              <w:rPr>
                <w:rFonts w:ascii="Times New Roman"/>
                <w:sz w:val="20"/>
              </w:rPr>
              <w:t>281,78</w:t>
            </w:r>
          </w:p>
          <w:p>
            <w:pPr>
              <w:pStyle w:val="TableParagraph"/>
              <w:spacing w:line="240" w:lineRule="auto"/>
              <w:ind w:left="307" w:right="0"/>
              <w:jc w:val="left"/>
              <w:rPr>
                <w:rFonts w:ascii="Times New Roman" w:hAnsi="Times New Roman" w:cs="Times New Roman" w:eastAsia="Times New Roman" w:hint="default"/>
                <w:sz w:val="20"/>
                <w:szCs w:val="20"/>
              </w:rPr>
            </w:pPr>
            <w:r>
              <w:rPr>
                <w:rFonts w:ascii="Times New Roman"/>
                <w:sz w:val="20"/>
              </w:rPr>
              <w:t>7.07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41,825,7</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73.56</w:t>
            </w: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-4,431</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,734.1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5" w:right="0"/>
              <w:jc w:val="left"/>
              <w:rPr>
                <w:rFonts w:ascii="Times New Roman" w:hAnsi="Times New Roman" w:cs="Times New Roman" w:eastAsia="Times New Roman" w:hint="default"/>
                <w:sz w:val="21"/>
                <w:szCs w:val="21"/>
              </w:rPr>
            </w:pPr>
            <w:r>
              <w:rPr>
                <w:rFonts w:ascii="Times New Roman"/>
                <w:sz w:val="21"/>
              </w:rPr>
              <w:t>37,39</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4,039.</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41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69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0" w:right="0"/>
              <w:jc w:val="left"/>
              <w:rPr>
                <w:rFonts w:ascii="Times New Roman" w:hAnsi="Times New Roman" w:cs="Times New Roman" w:eastAsia="Times New Roman" w:hint="default"/>
                <w:sz w:val="20"/>
                <w:szCs w:val="20"/>
              </w:rPr>
            </w:pPr>
            <w:r>
              <w:rPr>
                <w:rFonts w:ascii="Times New Roman"/>
                <w:sz w:val="20"/>
              </w:rPr>
              <w:t>41,825,7</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73.56</w:t>
            </w:r>
          </w:p>
        </w:tc>
        <w:tc>
          <w:tcPr>
            <w:tcW w:w="530"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7" w:right="0"/>
              <w:jc w:val="left"/>
              <w:rPr>
                <w:rFonts w:ascii="Times New Roman" w:hAnsi="Times New Roman" w:cs="Times New Roman" w:eastAsia="Times New Roman" w:hint="default"/>
                <w:sz w:val="20"/>
                <w:szCs w:val="20"/>
              </w:rPr>
            </w:pPr>
            <w:r>
              <w:rPr>
                <w:rFonts w:ascii="Times New Roman"/>
                <w:sz w:val="20"/>
              </w:rPr>
              <w:t>-4,431,</w:t>
            </w:r>
          </w:p>
          <w:p>
            <w:pPr>
              <w:pStyle w:val="TableParagraph"/>
              <w:spacing w:line="240" w:lineRule="auto"/>
              <w:ind w:left="124" w:right="0"/>
              <w:jc w:val="left"/>
              <w:rPr>
                <w:rFonts w:ascii="Times New Roman" w:hAnsi="Times New Roman" w:cs="Times New Roman" w:eastAsia="Times New Roman" w:hint="default"/>
                <w:sz w:val="20"/>
                <w:szCs w:val="20"/>
              </w:rPr>
            </w:pPr>
            <w:r>
              <w:rPr>
                <w:rFonts w:ascii="Times New Roman"/>
                <w:sz w:val="20"/>
              </w:rPr>
              <w:t>734.15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37,394</w:t>
            </w:r>
            <w:r>
              <w:rPr>
                <w:rFonts w:ascii="Times New Roman"/>
                <w:sz w:val="20"/>
              </w:rPr>
            </w:r>
          </w:p>
          <w:p>
            <w:pPr>
              <w:pStyle w:val="TableParagraph"/>
              <w:spacing w:line="229" w:lineRule="exact"/>
              <w:ind w:right="101"/>
              <w:jc w:val="right"/>
              <w:rPr>
                <w:rFonts w:ascii="Times New Roman" w:hAnsi="Times New Roman" w:cs="Times New Roman" w:eastAsia="Times New Roman" w:hint="default"/>
                <w:sz w:val="20"/>
                <w:szCs w:val="20"/>
              </w:rPr>
            </w:pPr>
            <w:r>
              <w:rPr>
                <w:rFonts w:ascii="Times New Roman"/>
                <w:w w:val="95"/>
                <w:sz w:val="20"/>
              </w:rPr>
              <w:t>,039.4</w:t>
            </w:r>
            <w:r>
              <w:rPr>
                <w:rFonts w:ascii="Times New Roman"/>
                <w:sz w:val="20"/>
              </w:rPr>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20" w:right="1560"/>
        </w:sectPr>
      </w:pPr>
    </w:p>
    <w:p>
      <w:pPr>
        <w:pStyle w:val="Heading3"/>
        <w:spacing w:line="240" w:lineRule="auto"/>
        <w:ind w:left="257" w:right="-19"/>
        <w:jc w:val="left"/>
        <w:rPr>
          <w:b w:val="0"/>
          <w:bCs w:val="0"/>
        </w:rPr>
      </w:pPr>
      <w:r>
        <w:rPr>
          <w:rFonts w:ascii="宋体" w:hAnsi="宋体" w:cs="宋体" w:eastAsia="宋体" w:hint="default"/>
        </w:rPr>
        <w:t>11</w:t>
      </w:r>
      <w:r>
        <w:rPr/>
        <w:t>、</w:t>
      </w:r>
      <w:r>
        <w:rPr>
          <w:spacing w:val="-24"/>
        </w:rPr>
        <w:t> </w:t>
      </w:r>
      <w:r>
        <w:rPr/>
        <w:t>固定资产</w:t>
      </w:r>
      <w:r>
        <w:rPr>
          <w:b w:val="0"/>
          <w:bCs w:val="0"/>
        </w:rPr>
      </w:r>
    </w:p>
    <w:p>
      <w:pPr>
        <w:pStyle w:val="Heading3"/>
        <w:spacing w:line="240" w:lineRule="auto" w:before="58"/>
        <w:ind w:left="257"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6"/>
        <w:ind w:left="2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2113" w:space="4409"/>
            <w:col w:w="280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845"/>
        <w:gridCol w:w="1186"/>
        <w:gridCol w:w="1184"/>
        <w:gridCol w:w="1097"/>
        <w:gridCol w:w="1095"/>
        <w:gridCol w:w="1186"/>
        <w:gridCol w:w="1094"/>
        <w:gridCol w:w="1321"/>
      </w:tblGrid>
      <w:tr>
        <w:trPr>
          <w:trHeight w:val="55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施工机械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仪器及实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验设备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电子设备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及其他</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15"/>
                <w:sz w:val="18"/>
                <w:szCs w:val="18"/>
              </w:rPr>
              <w:t>一、账面</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sz w:val="18"/>
              </w:rPr>
              <w:t>474,782,387.41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172,857,951.68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76,438,980.64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24,054,329.78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128,516,206.50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38,203,944.14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2" w:right="0"/>
              <w:jc w:val="center"/>
              <w:rPr>
                <w:rFonts w:ascii="Times New Roman" w:hAnsi="Times New Roman" w:cs="Times New Roman" w:eastAsia="Times New Roman" w:hint="default"/>
                <w:sz w:val="18"/>
                <w:szCs w:val="18"/>
              </w:rPr>
            </w:pPr>
            <w:r>
              <w:rPr>
                <w:rFonts w:ascii="Times New Roman"/>
                <w:sz w:val="18"/>
              </w:rPr>
              <w:t>914,853,800.15</w:t>
            </w: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本</w:t>
            </w:r>
          </w:p>
          <w:p>
            <w:pPr>
              <w:pStyle w:val="TableParagraph"/>
              <w:spacing w:line="232" w:lineRule="exact" w:before="16"/>
              <w:ind w:left="24" w:right="3"/>
              <w:jc w:val="left"/>
              <w:rPr>
                <w:rFonts w:ascii="宋体" w:hAnsi="宋体" w:cs="宋体" w:eastAsia="宋体" w:hint="default"/>
                <w:sz w:val="18"/>
                <w:szCs w:val="18"/>
              </w:rPr>
            </w:pPr>
            <w:r>
              <w:rPr>
                <w:rFonts w:ascii="宋体" w:hAnsi="宋体" w:cs="宋体" w:eastAsia="宋体" w:hint="default"/>
                <w:spacing w:val="15"/>
                <w:sz w:val="18"/>
                <w:szCs w:val="18"/>
              </w:rPr>
              <w:t>期增加金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278,008,635.01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19,481,299.27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5,085,292.41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6,308,753.12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11,895,434.81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6,797,717.60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327,577,132.22</w:t>
            </w:r>
          </w:p>
        </w:tc>
      </w:tr>
      <w:tr>
        <w:trPr>
          <w:trHeight w:val="47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sz w:val="18"/>
              </w:rPr>
              <w:t>165,283,058.28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19,481,299.27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3,662,766.76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6,308,753.12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11,895,434.81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 w:right="0"/>
              <w:jc w:val="center"/>
              <w:rPr>
                <w:rFonts w:ascii="Times New Roman" w:hAnsi="Times New Roman" w:cs="Times New Roman" w:eastAsia="Times New Roman" w:hint="default"/>
                <w:sz w:val="18"/>
                <w:szCs w:val="18"/>
              </w:rPr>
            </w:pPr>
            <w:r>
              <w:rPr>
                <w:rFonts w:ascii="Times New Roman"/>
                <w:sz w:val="18"/>
              </w:rPr>
              <w:t>6,797,717.60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2" w:right="0"/>
              <w:jc w:val="center"/>
              <w:rPr>
                <w:rFonts w:ascii="Times New Roman" w:hAnsi="Times New Roman" w:cs="Times New Roman" w:eastAsia="Times New Roman" w:hint="default"/>
                <w:sz w:val="18"/>
                <w:szCs w:val="18"/>
              </w:rPr>
            </w:pPr>
            <w:r>
              <w:rPr>
                <w:rFonts w:ascii="Times New Roman"/>
                <w:sz w:val="18"/>
              </w:rPr>
              <w:t>213,429,029.84</w:t>
            </w:r>
          </w:p>
        </w:tc>
      </w:tr>
      <w:tr>
        <w:trPr>
          <w:trHeight w:val="711"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before="21"/>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程转入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112,725,576.73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1,422,525.65</w:t>
            </w: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114,148,102.38</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2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845"/>
        <w:gridCol w:w="1186"/>
        <w:gridCol w:w="1184"/>
        <w:gridCol w:w="1097"/>
        <w:gridCol w:w="1095"/>
        <w:gridCol w:w="1186"/>
        <w:gridCol w:w="1094"/>
        <w:gridCol w:w="1321"/>
      </w:tblGrid>
      <w:tr>
        <w:trPr>
          <w:trHeight w:val="24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84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firstLine="4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本</w:t>
            </w:r>
          </w:p>
          <w:p>
            <w:pPr>
              <w:pStyle w:val="TableParagraph"/>
              <w:spacing w:line="236" w:lineRule="exact" w:before="13"/>
              <w:ind w:left="24" w:right="3"/>
              <w:jc w:val="left"/>
              <w:rPr>
                <w:rFonts w:ascii="宋体" w:hAnsi="宋体" w:cs="宋体" w:eastAsia="宋体" w:hint="default"/>
                <w:sz w:val="18"/>
                <w:szCs w:val="18"/>
              </w:rPr>
            </w:pPr>
            <w:r>
              <w:rPr>
                <w:rFonts w:ascii="宋体" w:hAnsi="宋体" w:cs="宋体" w:eastAsia="宋体" w:hint="default"/>
                <w:spacing w:val="15"/>
                <w:sz w:val="18"/>
                <w:szCs w:val="18"/>
              </w:rPr>
              <w:t>期减少金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18,407,461.00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7,906,862.60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1,942,081.08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718,861.53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13,869,595.88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3,030,617.95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45,875,480.04</w:t>
            </w: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6" w:lineRule="exact" w:before="20"/>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报废</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18,407,461.00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7,906,862.60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1,942,081.08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718,861.53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13,869,595.88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3,030,617.95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45,875,480.04</w:t>
            </w:r>
          </w:p>
        </w:tc>
      </w:tr>
      <w:tr>
        <w:trPr>
          <w:trHeight w:val="216" w:hRule="exact"/>
        </w:trPr>
        <w:tc>
          <w:tcPr>
            <w:tcW w:w="84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734,383,561.42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184,432,388.35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79,582,191.97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29,644,221.37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126,542,045.43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41,971,043.79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pacing w:val="-1"/>
                <w:sz w:val="18"/>
              </w:rPr>
              <w:t>1,196,555,452.33</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5"/>
                <w:sz w:val="18"/>
                <w:szCs w:val="18"/>
              </w:rPr>
              <w:t>二、累计</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70,231,022.10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97,375,457.68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29,876,343.01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12,319,227.37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87,547,864.01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31,257,213.49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328,607,127.66</w:t>
            </w: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本</w:t>
            </w:r>
          </w:p>
          <w:p>
            <w:pPr>
              <w:pStyle w:val="TableParagraph"/>
              <w:spacing w:line="232" w:lineRule="exact" w:before="17"/>
              <w:ind w:left="24" w:right="3"/>
              <w:jc w:val="left"/>
              <w:rPr>
                <w:rFonts w:ascii="宋体" w:hAnsi="宋体" w:cs="宋体" w:eastAsia="宋体" w:hint="default"/>
                <w:sz w:val="18"/>
                <w:szCs w:val="18"/>
              </w:rPr>
            </w:pPr>
            <w:r>
              <w:rPr>
                <w:rFonts w:ascii="宋体" w:hAnsi="宋体" w:cs="宋体" w:eastAsia="宋体" w:hint="default"/>
                <w:spacing w:val="15"/>
                <w:sz w:val="18"/>
                <w:szCs w:val="18"/>
              </w:rPr>
              <w:t>期增加金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16,937,938.31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11,436,327.22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9,227,017.54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3,417,719.41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15,229,404.86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1,307,163.58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57,555,570.92</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16,937,938.31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11,436,327.22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9,227,017.54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3,417,719.41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15,229,404.86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6" w:right="0"/>
              <w:jc w:val="center"/>
              <w:rPr>
                <w:rFonts w:ascii="Times New Roman" w:hAnsi="Times New Roman" w:cs="Times New Roman" w:eastAsia="Times New Roman" w:hint="default"/>
                <w:sz w:val="18"/>
                <w:szCs w:val="18"/>
              </w:rPr>
            </w:pPr>
            <w:r>
              <w:rPr>
                <w:rFonts w:ascii="Times New Roman"/>
                <w:sz w:val="18"/>
              </w:rPr>
              <w:t>1,307,163.58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57,555,570.92</w:t>
            </w:r>
          </w:p>
        </w:tc>
      </w:tr>
      <w:tr>
        <w:trPr>
          <w:trHeight w:val="216" w:hRule="exact"/>
        </w:trPr>
        <w:tc>
          <w:tcPr>
            <w:tcW w:w="84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本</w:t>
            </w:r>
          </w:p>
          <w:p>
            <w:pPr>
              <w:pStyle w:val="TableParagraph"/>
              <w:spacing w:line="232" w:lineRule="exact" w:before="16"/>
              <w:ind w:left="24" w:right="3"/>
              <w:jc w:val="left"/>
              <w:rPr>
                <w:rFonts w:ascii="宋体" w:hAnsi="宋体" w:cs="宋体" w:eastAsia="宋体" w:hint="default"/>
                <w:sz w:val="18"/>
                <w:szCs w:val="18"/>
              </w:rPr>
            </w:pPr>
            <w:r>
              <w:rPr>
                <w:rFonts w:ascii="宋体" w:hAnsi="宋体" w:cs="宋体" w:eastAsia="宋体" w:hint="default"/>
                <w:spacing w:val="15"/>
                <w:sz w:val="18"/>
                <w:szCs w:val="18"/>
              </w:rPr>
              <w:t>期减少金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4,374,435.05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6,342,394.06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1,561,451.66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197,015.00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13,189,529.67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2,799,022.60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28,463,848.04</w:t>
            </w: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报废</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4,374,435.05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6,342,394.06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1,561,451.66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197,015.00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13,189,529.67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2,799,022.60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28,463,848.04</w:t>
            </w:r>
          </w:p>
        </w:tc>
      </w:tr>
      <w:tr>
        <w:trPr>
          <w:trHeight w:val="218" w:hRule="exact"/>
        </w:trPr>
        <w:tc>
          <w:tcPr>
            <w:tcW w:w="84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82,794,525.36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102,469,390.84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37,541,908.89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15,539,931.78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89,587,739.20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29,765,354.47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357,698,850.54</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15"/>
                <w:sz w:val="18"/>
                <w:szCs w:val="18"/>
              </w:rPr>
              <w:t>三、减值</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1,890,000.00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42,712.86</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2,932,712.86</w:t>
            </w: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本</w:t>
            </w:r>
          </w:p>
          <w:p>
            <w:pPr>
              <w:pStyle w:val="TableParagraph"/>
              <w:spacing w:line="232" w:lineRule="exact" w:before="16"/>
              <w:ind w:left="24" w:right="3"/>
              <w:jc w:val="left"/>
              <w:rPr>
                <w:rFonts w:ascii="宋体" w:hAnsi="宋体" w:cs="宋体" w:eastAsia="宋体" w:hint="default"/>
                <w:sz w:val="18"/>
                <w:szCs w:val="18"/>
              </w:rPr>
            </w:pPr>
            <w:r>
              <w:rPr>
                <w:rFonts w:ascii="宋体" w:hAnsi="宋体" w:cs="宋体" w:eastAsia="宋体" w:hint="default"/>
                <w:spacing w:val="15"/>
                <w:sz w:val="18"/>
                <w:szCs w:val="18"/>
              </w:rPr>
              <w:t>期增加金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84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本</w:t>
            </w:r>
          </w:p>
          <w:p>
            <w:pPr>
              <w:pStyle w:val="TableParagraph"/>
              <w:spacing w:line="240" w:lineRule="auto"/>
              <w:ind w:left="24" w:right="3"/>
              <w:jc w:val="left"/>
              <w:rPr>
                <w:rFonts w:ascii="宋体" w:hAnsi="宋体" w:cs="宋体" w:eastAsia="宋体" w:hint="default"/>
                <w:sz w:val="18"/>
                <w:szCs w:val="18"/>
              </w:rPr>
            </w:pPr>
            <w:r>
              <w:rPr>
                <w:rFonts w:ascii="宋体" w:hAnsi="宋体" w:cs="宋体" w:eastAsia="宋体" w:hint="default"/>
                <w:spacing w:val="15"/>
                <w:sz w:val="18"/>
                <w:szCs w:val="18"/>
              </w:rPr>
              <w:t>期减少金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6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6" w:lineRule="exact" w:before="20"/>
              <w:ind w:left="24"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报废</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84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29" w:lineRule="exact"/>
              <w:ind w:left="24"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1,890,000.00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42,712.86</w:t>
            </w: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2,932,712.86</w:t>
            </w:r>
          </w:p>
        </w:tc>
      </w:tr>
      <w:tr>
        <w:trPr>
          <w:trHeight w:val="47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5"/>
                <w:sz w:val="18"/>
                <w:szCs w:val="18"/>
              </w:rPr>
              <w:t>四、账面</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32" w:lineRule="exact" w:before="16"/>
              <w:ind w:left="24" w:right="3"/>
              <w:jc w:val="left"/>
              <w:rPr>
                <w:rFonts w:ascii="宋体" w:hAnsi="宋体" w:cs="宋体" w:eastAsia="宋体" w:hint="default"/>
                <w:sz w:val="18"/>
                <w:szCs w:val="18"/>
              </w:rPr>
            </w:pPr>
            <w:r>
              <w:rPr>
                <w:rFonts w:ascii="宋体" w:hAnsi="宋体" w:cs="宋体" w:eastAsia="宋体" w:hint="default"/>
                <w:spacing w:val="15"/>
                <w:sz w:val="18"/>
                <w:szCs w:val="18"/>
              </w:rPr>
              <w:t>末账面价</w:t>
            </w:r>
            <w:r>
              <w:rPr>
                <w:rFonts w:ascii="宋体" w:hAnsi="宋体" w:cs="宋体" w:eastAsia="宋体" w:hint="default"/>
                <w:spacing w:val="-87"/>
                <w:sz w:val="18"/>
                <w:szCs w:val="18"/>
              </w:rPr>
              <w:t> </w:t>
            </w:r>
            <w:r>
              <w:rPr>
                <w:rFonts w:ascii="宋体" w:hAnsi="宋体" w:cs="宋体" w:eastAsia="宋体" w:hint="default"/>
                <w:sz w:val="18"/>
                <w:szCs w:val="18"/>
              </w:rPr>
              <w:t>值</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649,699,036.06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81,962,997.51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41,040,283.08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14,104,289.59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36,911,593.37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12,205,689.32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835,923,888.93</w:t>
            </w:r>
          </w:p>
        </w:tc>
      </w:tr>
      <w:tr>
        <w:trPr>
          <w:trHeight w:val="711"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期</w:t>
            </w:r>
          </w:p>
          <w:p>
            <w:pPr>
              <w:pStyle w:val="TableParagraph"/>
              <w:spacing w:line="234" w:lineRule="exact" w:before="15"/>
              <w:ind w:left="24" w:right="3"/>
              <w:jc w:val="left"/>
              <w:rPr>
                <w:rFonts w:ascii="宋体" w:hAnsi="宋体" w:cs="宋体" w:eastAsia="宋体" w:hint="default"/>
                <w:sz w:val="18"/>
                <w:szCs w:val="18"/>
              </w:rPr>
            </w:pPr>
            <w:r>
              <w:rPr>
                <w:rFonts w:ascii="宋体" w:hAnsi="宋体" w:cs="宋体" w:eastAsia="宋体" w:hint="default"/>
                <w:spacing w:val="15"/>
                <w:sz w:val="18"/>
                <w:szCs w:val="18"/>
              </w:rPr>
              <w:t>初账面价</w:t>
            </w:r>
            <w:r>
              <w:rPr>
                <w:rFonts w:ascii="宋体" w:hAnsi="宋体" w:cs="宋体" w:eastAsia="宋体" w:hint="default"/>
                <w:spacing w:val="-87"/>
                <w:sz w:val="18"/>
                <w:szCs w:val="18"/>
              </w:rPr>
              <w:t> </w:t>
            </w:r>
            <w:r>
              <w:rPr>
                <w:rFonts w:ascii="宋体" w:hAnsi="宋体" w:cs="宋体" w:eastAsia="宋体" w:hint="default"/>
                <w:sz w:val="18"/>
                <w:szCs w:val="18"/>
              </w:rPr>
              <w:t>值</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402,661,365.31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75,482,494.01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45,562,637.63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11,735,102.41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40,925,629.63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6,946,730.65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583,313,959.64</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95" w:top="1120" w:bottom="1380" w:left="1020" w:right="16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before="36"/>
        <w:ind w:left="637" w:right="2465"/>
        <w:jc w:val="left"/>
      </w:pPr>
      <w:r>
        <w:rPr/>
        <w:t>期末已经提足折旧仍继续使用的固定资产原值</w:t>
      </w:r>
      <w:r>
        <w:rPr>
          <w:spacing w:val="-54"/>
        </w:rPr>
        <w:t> </w:t>
      </w:r>
      <w:r>
        <w:rPr>
          <w:rFonts w:ascii="宋体" w:hAnsi="宋体" w:cs="宋体" w:eastAsia="宋体" w:hint="default"/>
        </w:rPr>
        <w:t>18,658,865.12</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127" w:space="3395"/>
            <w:col w:w="2768"/>
          </w:cols>
        </w:sectPr>
      </w:pPr>
    </w:p>
    <w:p>
      <w:pPr>
        <w:spacing w:line="240" w:lineRule="auto" w:before="4"/>
        <w:rPr>
          <w:rFonts w:ascii="宋体" w:hAnsi="宋体" w:cs="宋体" w:eastAsia="宋体" w:hint="default"/>
          <w:sz w:val="2"/>
          <w:szCs w:val="2"/>
        </w:rPr>
      </w:pPr>
    </w:p>
    <w:tbl>
      <w:tblPr>
        <w:tblW w:w="0" w:type="auto"/>
        <w:jc w:val="left"/>
        <w:tblInd w:w="168" w:type="dxa"/>
        <w:tblLayout w:type="fixed"/>
        <w:tblCellMar>
          <w:top w:w="0" w:type="dxa"/>
          <w:left w:w="0" w:type="dxa"/>
          <w:bottom w:w="0" w:type="dxa"/>
          <w:right w:w="0" w:type="dxa"/>
        </w:tblCellMar>
        <w:tblLook w:val="01E0"/>
      </w:tblPr>
      <w:tblGrid>
        <w:gridCol w:w="1311"/>
        <w:gridCol w:w="1481"/>
        <w:gridCol w:w="1399"/>
        <w:gridCol w:w="1440"/>
        <w:gridCol w:w="1474"/>
        <w:gridCol w:w="1815"/>
      </w:tblGrid>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累计折旧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房屋及建筑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10,711,120.87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center"/>
              <w:rPr>
                <w:rFonts w:ascii="Times New Roman" w:hAnsi="Times New Roman" w:cs="Times New Roman" w:eastAsia="Times New Roman" w:hint="default"/>
                <w:sz w:val="21"/>
                <w:szCs w:val="21"/>
              </w:rPr>
            </w:pPr>
            <w:r>
              <w:rPr>
                <w:rFonts w:ascii="Times New Roman"/>
                <w:sz w:val="21"/>
              </w:rPr>
              <w:t>1,272,013.44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7,549,107.43</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4,530,949.63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center"/>
              <w:rPr>
                <w:rFonts w:ascii="Times New Roman" w:hAnsi="Times New Roman" w:cs="Times New Roman" w:eastAsia="Times New Roman" w:hint="default"/>
                <w:sz w:val="21"/>
                <w:szCs w:val="21"/>
              </w:rPr>
            </w:pPr>
            <w:r>
              <w:rPr>
                <w:rFonts w:ascii="Times New Roman"/>
                <w:sz w:val="21"/>
              </w:rPr>
              <w:t>3,005,164.84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525,784.79</w:t>
            </w: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15,242,070.50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 w:right="0"/>
              <w:jc w:val="center"/>
              <w:rPr>
                <w:rFonts w:ascii="Times New Roman" w:hAnsi="Times New Roman" w:cs="Times New Roman" w:eastAsia="Times New Roman" w:hint="default"/>
                <w:sz w:val="21"/>
                <w:szCs w:val="21"/>
              </w:rPr>
            </w:pPr>
            <w:r>
              <w:rPr>
                <w:rFonts w:ascii="Times New Roman"/>
                <w:sz w:val="21"/>
              </w:rPr>
              <w:t>4,277,178.28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2,890,000.00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8,074,892.22</w:t>
            </w:r>
          </w:p>
        </w:tc>
        <w:tc>
          <w:tcPr>
            <w:tcW w:w="18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3"/>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547" w:space="297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14,505,079.92</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14,505,079.92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3"/>
        <w:spacing w:line="240" w:lineRule="auto"/>
        <w:ind w:right="-19"/>
        <w:jc w:val="left"/>
        <w:rPr>
          <w:b w:val="0"/>
          <w:bCs w:val="0"/>
        </w:rPr>
      </w:pPr>
      <w:r>
        <w:rPr>
          <w:rFonts w:ascii="宋体" w:hAnsi="宋体" w:cs="宋体" w:eastAsia="宋体" w:hint="default"/>
        </w:rPr>
        <w:t>12</w:t>
      </w:r>
      <w:r>
        <w:rPr/>
        <w:t>、</w:t>
      </w:r>
      <w:r>
        <w:rPr>
          <w:spacing w:val="-24"/>
        </w:rPr>
        <w:t> </w:t>
      </w:r>
      <w:r>
        <w:rPr/>
        <w:t>在建工程</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73" w:space="444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68"/>
        <w:gridCol w:w="1369"/>
        <w:gridCol w:w="991"/>
        <w:gridCol w:w="1335"/>
        <w:gridCol w:w="1270"/>
        <w:gridCol w:w="994"/>
        <w:gridCol w:w="1270"/>
      </w:tblGrid>
      <w:tr>
        <w:trPr>
          <w:trHeight w:val="283"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68"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办公用房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8"/>
              <w:jc w:val="right"/>
              <w:rPr>
                <w:rFonts w:ascii="Times New Roman" w:hAnsi="Times New Roman" w:cs="Times New Roman" w:eastAsia="Times New Roman" w:hint="default"/>
                <w:sz w:val="21"/>
                <w:szCs w:val="21"/>
              </w:rPr>
            </w:pPr>
            <w:r>
              <w:rPr>
                <w:rFonts w:ascii="Times New Roman"/>
                <w:spacing w:val="-1"/>
                <w:sz w:val="21"/>
              </w:rPr>
              <w:t>1,435,729.93</w:t>
            </w:r>
          </w:p>
        </w:tc>
        <w:tc>
          <w:tcPr>
            <w:tcW w:w="99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1,435,729.93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88,084,897.87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88,084,897.87</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8"/>
              <w:jc w:val="right"/>
              <w:rPr>
                <w:rFonts w:ascii="Times New Roman" w:hAnsi="Times New Roman" w:cs="Times New Roman" w:eastAsia="Times New Roman" w:hint="default"/>
                <w:sz w:val="21"/>
                <w:szCs w:val="21"/>
              </w:rPr>
            </w:pPr>
            <w:r>
              <w:rPr>
                <w:rFonts w:ascii="Times New Roman"/>
                <w:spacing w:val="-2"/>
                <w:sz w:val="21"/>
              </w:rPr>
              <w:t>22,404,115.17</w:t>
            </w:r>
          </w:p>
        </w:tc>
        <w:tc>
          <w:tcPr>
            <w:tcW w:w="99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2"/>
                <w:sz w:val="21"/>
              </w:rPr>
              <w:t>22,404,115.17</w:t>
            </w:r>
          </w:p>
        </w:tc>
        <w:tc>
          <w:tcPr>
            <w:tcW w:w="12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0"/>
              <w:jc w:val="right"/>
              <w:rPr>
                <w:rFonts w:ascii="Times New Roman" w:hAnsi="Times New Roman" w:cs="Times New Roman" w:eastAsia="Times New Roman" w:hint="default"/>
                <w:sz w:val="21"/>
                <w:szCs w:val="21"/>
              </w:rPr>
            </w:pPr>
            <w:r>
              <w:rPr>
                <w:rFonts w:ascii="Times New Roman"/>
                <w:spacing w:val="-1"/>
                <w:sz w:val="21"/>
              </w:rPr>
              <w:t>23,839,845.10</w:t>
            </w:r>
          </w:p>
        </w:tc>
        <w:tc>
          <w:tcPr>
            <w:tcW w:w="99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rFonts w:ascii="Times New Roman" w:hAnsi="Times New Roman" w:cs="Times New Roman" w:eastAsia="Times New Roman" w:hint="default"/>
                <w:sz w:val="21"/>
                <w:szCs w:val="21"/>
              </w:rPr>
            </w:pPr>
            <w:r>
              <w:rPr>
                <w:rFonts w:ascii="Times New Roman"/>
                <w:spacing w:val="-1"/>
                <w:sz w:val="21"/>
              </w:rPr>
              <w:t>23,839,845.10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88,084,897.87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88,084,897.87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3"/>
        <w:spacing w:line="240" w:lineRule="auto"/>
        <w:ind w:right="-20"/>
        <w:jc w:val="left"/>
        <w:rPr>
          <w:b w:val="0"/>
          <w:bCs w:val="0"/>
        </w:rPr>
      </w:pPr>
      <w:r>
        <w:rPr>
          <w:rFonts w:ascii="宋体" w:hAnsi="宋体" w:cs="宋体" w:eastAsia="宋体" w:hint="default"/>
        </w:rPr>
        <w:t>13</w:t>
      </w:r>
      <w:r>
        <w:rPr/>
        <w:t>、</w:t>
      </w:r>
      <w:r>
        <w:rPr>
          <w:spacing w:val="-24"/>
        </w:rPr>
        <w:t> </w:t>
      </w:r>
      <w:r>
        <w:rPr/>
        <w:t>无形资产</w:t>
      </w:r>
      <w:r>
        <w:rPr>
          <w:b w:val="0"/>
          <w:bCs w:val="0"/>
        </w:rPr>
      </w:r>
    </w:p>
    <w:p>
      <w:pPr>
        <w:pStyle w:val="Heading3"/>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059" w:val="left" w:leader="none"/>
        </w:tabs>
        <w:spacing w:line="240" w:lineRule="auto" w:before="57"/>
        <w:ind w:left="217"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87" w:space="4434"/>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40"/>
        <w:gridCol w:w="1685"/>
        <w:gridCol w:w="1476"/>
        <w:gridCol w:w="1582"/>
        <w:gridCol w:w="1582"/>
        <w:gridCol w:w="1685"/>
      </w:tblGrid>
      <w:tr>
        <w:trPr>
          <w:trHeight w:val="350"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非专利技术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专利技术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sz w:val="21"/>
              </w:rPr>
              <w:t>1.</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277,398,312.98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5,716,062.00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12,600,300.00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11,431,700.00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307,146,374.98</w:t>
            </w: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sz w:val="21"/>
              </w:rPr>
              <w:t>2.</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32,089,854.76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1,934,185.91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34,024,040.67</w:t>
            </w:r>
          </w:p>
        </w:tc>
      </w:tr>
      <w:tr>
        <w:trPr>
          <w:trHeight w:val="555"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w w:val="100"/>
                <w:sz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32,089,854.76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1,934,185.91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34,024,040.67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040"/>
        <w:gridCol w:w="1685"/>
        <w:gridCol w:w="1476"/>
        <w:gridCol w:w="1582"/>
        <w:gridCol w:w="1582"/>
        <w:gridCol w:w="1685"/>
      </w:tblGrid>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
              <w:jc w:val="right"/>
              <w:rPr>
                <w:rFonts w:ascii="宋体" w:hAnsi="宋体" w:cs="宋体" w:eastAsia="宋体" w:hint="default"/>
                <w:sz w:val="21"/>
                <w:szCs w:val="21"/>
              </w:rPr>
            </w:pPr>
            <w:r>
              <w:rPr>
                <w:rFonts w:ascii="宋体"/>
                <w:w w:val="100"/>
                <w:sz w:val="21"/>
              </w:rPr>
              <w:t>(</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r>
              <w:rPr>
                <w:rFonts w:ascii="宋体" w:hAnsi="宋体" w:cs="宋体" w:eastAsia="宋体" w:hint="default"/>
                <w:spacing w:val="-102"/>
                <w:sz w:val="21"/>
                <w:szCs w:val="21"/>
              </w:rPr>
              <w:t> </w:t>
            </w:r>
            <w:r>
              <w:rPr>
                <w:rFonts w:ascii="宋体" w:hAnsi="宋体" w:cs="宋体" w:eastAsia="宋体" w:hint="default"/>
                <w:sz w:val="21"/>
                <w:szCs w:val="21"/>
              </w:rPr>
              <w:t>研发</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87"/>
              <w:jc w:val="right"/>
              <w:rPr>
                <w:rFonts w:ascii="宋体" w:hAnsi="宋体" w:cs="宋体" w:eastAsia="宋体" w:hint="default"/>
                <w:sz w:val="21"/>
                <w:szCs w:val="21"/>
              </w:rPr>
            </w:pPr>
            <w:r>
              <w:rPr>
                <w:rFonts w:ascii="宋体"/>
                <w:w w:val="100"/>
                <w:sz w:val="21"/>
              </w:rPr>
              <w:t>(</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r>
              <w:rPr>
                <w:rFonts w:ascii="宋体" w:hAnsi="宋体" w:cs="宋体" w:eastAsia="宋体" w:hint="default"/>
                <w:spacing w:val="-102"/>
                <w:sz w:val="21"/>
                <w:szCs w:val="21"/>
              </w:rPr>
              <w:t> </w:t>
            </w:r>
            <w:r>
              <w:rPr>
                <w:rFonts w:ascii="宋体" w:hAnsi="宋体" w:cs="宋体" w:eastAsia="宋体" w:hint="default"/>
                <w:sz w:val="21"/>
                <w:szCs w:val="21"/>
              </w:rPr>
              <w:t>合并增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sz w:val="21"/>
              </w:rPr>
              <w:t>3.</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7"/>
              <w:jc w:val="right"/>
              <w:rPr>
                <w:rFonts w:ascii="宋体" w:hAnsi="宋体" w:cs="宋体" w:eastAsia="宋体" w:hint="default"/>
                <w:sz w:val="21"/>
                <w:szCs w:val="21"/>
              </w:rPr>
            </w:pPr>
            <w:r>
              <w:rPr>
                <w:rFonts w:ascii="宋体"/>
                <w:w w:val="100"/>
                <w:sz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309,488,167.74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7,650,247.91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12,600,300.00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11,431,700.00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341,170,415.65</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二、累计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sz w:val="21"/>
              </w:rPr>
              <w:t>1.</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38,816,893.37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3,468,672.15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5,040,120.00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4,572,680.16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51,898,365.68</w:t>
            </w:r>
          </w:p>
        </w:tc>
      </w:tr>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2.</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6,721,615.87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1,038,790.99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1,260,030.00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1,143,170.04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10,163,606.90</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6,721,615.87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1,038,790.99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1,260,030.00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1,143,170.04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10,163,606.90</w:t>
            </w:r>
          </w:p>
        </w:tc>
      </w:tr>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3.</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sz w:val="21"/>
              </w:rPr>
              <w:t>4.</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45,538,509.24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4,507,463.14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6,300,150.00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5,715,850.20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62,061,972.58</w:t>
            </w: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三、减值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29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sz w:val="21"/>
              </w:rPr>
              <w:t>2.</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sz w:val="21"/>
              </w:rPr>
              <w:t>3.</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7"/>
              <w:jc w:val="right"/>
              <w:rPr>
                <w:rFonts w:ascii="宋体" w:hAnsi="宋体" w:cs="宋体" w:eastAsia="宋体" w:hint="default"/>
                <w:sz w:val="21"/>
                <w:szCs w:val="21"/>
              </w:rPr>
            </w:pPr>
            <w:r>
              <w:rPr>
                <w:rFonts w:ascii="宋体"/>
                <w:w w:val="100"/>
                <w:sz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sz w:val="21"/>
              </w:rPr>
              <w:t>4.</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040"/>
        <w:gridCol w:w="1685"/>
        <w:gridCol w:w="1476"/>
        <w:gridCol w:w="1582"/>
        <w:gridCol w:w="1582"/>
        <w:gridCol w:w="1685"/>
      </w:tblGrid>
      <w:tr>
        <w:trPr>
          <w:trHeight w:val="555"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四、账面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6" w:right="0"/>
              <w:jc w:val="left"/>
              <w:rPr>
                <w:rFonts w:ascii="宋体" w:hAnsi="宋体" w:cs="宋体" w:eastAsia="宋体" w:hint="default"/>
                <w:sz w:val="21"/>
                <w:szCs w:val="21"/>
              </w:rPr>
            </w:pPr>
            <w:r>
              <w:rPr>
                <w:rFonts w:ascii="宋体"/>
                <w:sz w:val="21"/>
              </w:rPr>
              <w:t>1.</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263,949,658.50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3,142,784.77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6,300,150.00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5,715,849.80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279,108,443.07</w:t>
            </w: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sz w:val="21"/>
              </w:rPr>
              <w:t>2.</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期初账</w:t>
            </w:r>
            <w:r>
              <w:rPr>
                <w:rFonts w:ascii="宋体" w:hAnsi="宋体" w:cs="宋体" w:eastAsia="宋体" w:hint="default"/>
                <w:spacing w:val="-102"/>
                <w:sz w:val="21"/>
                <w:szCs w:val="21"/>
              </w:rPr>
              <w:t> </w:t>
            </w:r>
            <w:r>
              <w:rPr>
                <w:rFonts w:ascii="宋体" w:hAnsi="宋体" w:cs="宋体" w:eastAsia="宋体" w:hint="default"/>
                <w:sz w:val="21"/>
                <w:szCs w:val="21"/>
              </w:rPr>
              <w:t>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238,581,419.61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2,247,389.85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7,560,180.00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6,859,019.84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255,248,009.30</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2" w:footer="1195" w:top="1120" w:bottom="1380" w:left="1060" w:right="1560"/>
        </w:sectPr>
      </w:pPr>
    </w:p>
    <w:p>
      <w:pPr>
        <w:pStyle w:val="Heading3"/>
        <w:spacing w:line="240" w:lineRule="auto"/>
        <w:ind w:right="-19"/>
        <w:jc w:val="left"/>
        <w:rPr>
          <w:b w:val="0"/>
          <w:bCs w:val="0"/>
        </w:rPr>
      </w:pPr>
      <w:r>
        <w:rPr>
          <w:rFonts w:ascii="宋体" w:hAnsi="宋体" w:cs="宋体" w:eastAsia="宋体" w:hint="default"/>
        </w:rPr>
        <w:t>14</w:t>
      </w:r>
      <w:r>
        <w:rPr/>
        <w:t>、</w:t>
      </w:r>
      <w:r>
        <w:rPr>
          <w:spacing w:val="-25"/>
        </w:rPr>
        <w:t> </w:t>
      </w:r>
      <w:r>
        <w:rPr/>
        <w:t>商誉</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9"/>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73" w:space="444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179"/>
        <w:gridCol w:w="1526"/>
        <w:gridCol w:w="427"/>
        <w:gridCol w:w="2124"/>
        <w:gridCol w:w="699"/>
        <w:gridCol w:w="1154"/>
      </w:tblGrid>
      <w:tr>
        <w:trPr>
          <w:trHeight w:val="293"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40" w:type="dxa"/>
            <w:vMerge/>
            <w:tcBorders>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42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699" w:type="dxa"/>
            <w:tcBorders>
              <w:top w:val="single" w:sz="4" w:space="0" w:color="000000"/>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购买宁波市政集团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形成的商誉</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9" w:right="0"/>
              <w:jc w:val="left"/>
              <w:rPr>
                <w:rFonts w:ascii="Times New Roman" w:hAnsi="Times New Roman" w:cs="Times New Roman" w:eastAsia="Times New Roman" w:hint="default"/>
                <w:sz w:val="21"/>
                <w:szCs w:val="21"/>
              </w:rPr>
            </w:pPr>
            <w:r>
              <w:rPr>
                <w:rFonts w:ascii="Times New Roman"/>
                <w:sz w:val="21"/>
              </w:rPr>
              <w:t>155,608,79</w:t>
            </w:r>
          </w:p>
          <w:p>
            <w:pPr>
              <w:pStyle w:val="TableParagraph"/>
              <w:spacing w:line="240" w:lineRule="auto" w:before="1"/>
              <w:ind w:left="698" w:right="0"/>
              <w:jc w:val="left"/>
              <w:rPr>
                <w:rFonts w:ascii="Times New Roman" w:hAnsi="Times New Roman" w:cs="Times New Roman" w:eastAsia="Times New Roman" w:hint="default"/>
                <w:sz w:val="21"/>
                <w:szCs w:val="21"/>
              </w:rPr>
            </w:pPr>
            <w:r>
              <w:rPr>
                <w:rFonts w:ascii="Times New Roman"/>
                <w:sz w:val="21"/>
              </w:rPr>
              <w:t>6.03</w:t>
            </w:r>
          </w:p>
        </w:tc>
        <w:tc>
          <w:tcPr>
            <w:tcW w:w="15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155,608,7</w:t>
            </w:r>
          </w:p>
          <w:p>
            <w:pPr>
              <w:pStyle w:val="TableParagraph"/>
              <w:spacing w:line="240" w:lineRule="auto" w:before="1"/>
              <w:ind w:left="568" w:right="0"/>
              <w:jc w:val="left"/>
              <w:rPr>
                <w:rFonts w:ascii="Times New Roman" w:hAnsi="Times New Roman" w:cs="Times New Roman" w:eastAsia="Times New Roman" w:hint="default"/>
                <w:sz w:val="21"/>
                <w:szCs w:val="21"/>
              </w:rPr>
            </w:pPr>
            <w:r>
              <w:rPr>
                <w:rFonts w:ascii="Times New Roman"/>
                <w:sz w:val="21"/>
              </w:rPr>
              <w:t>96.03</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购买南非安兰证券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形成的商誉</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33,708,127</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.81</w:t>
            </w:r>
          </w:p>
        </w:tc>
        <w:tc>
          <w:tcPr>
            <w:tcW w:w="15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1" w:right="0"/>
              <w:jc w:val="left"/>
              <w:rPr>
                <w:rFonts w:ascii="Times New Roman" w:hAnsi="Times New Roman" w:cs="Times New Roman" w:eastAsia="Times New Roman" w:hint="default"/>
                <w:sz w:val="21"/>
                <w:szCs w:val="21"/>
              </w:rPr>
            </w:pPr>
            <w:r>
              <w:rPr>
                <w:rFonts w:ascii="Times New Roman"/>
                <w:sz w:val="21"/>
              </w:rPr>
              <w:t>33,708,12</w:t>
            </w:r>
          </w:p>
          <w:p>
            <w:pPr>
              <w:pStyle w:val="TableParagraph"/>
              <w:spacing w:line="241" w:lineRule="exact"/>
              <w:ind w:left="674" w:right="0"/>
              <w:jc w:val="left"/>
              <w:rPr>
                <w:rFonts w:ascii="Times New Roman" w:hAnsi="Times New Roman" w:cs="Times New Roman" w:eastAsia="Times New Roman" w:hint="default"/>
                <w:sz w:val="21"/>
                <w:szCs w:val="21"/>
              </w:rPr>
            </w:pPr>
            <w:r>
              <w:rPr>
                <w:rFonts w:ascii="Times New Roman"/>
                <w:sz w:val="21"/>
              </w:rPr>
              <w:t>7.81</w:t>
            </w:r>
          </w:p>
        </w:tc>
      </w:tr>
      <w:tr>
        <w:trPr>
          <w:trHeight w:val="55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购买浙江置华建设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形成的商誉</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5,581,203.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60</w:t>
            </w:r>
          </w:p>
        </w:tc>
        <w:tc>
          <w:tcPr>
            <w:tcW w:w="15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5,581,203.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60</w:t>
            </w:r>
          </w:p>
        </w:tc>
      </w:tr>
      <w:tr>
        <w:trPr>
          <w:trHeight w:val="492"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9" w:right="0"/>
              <w:jc w:val="left"/>
              <w:rPr>
                <w:rFonts w:ascii="Times New Roman" w:hAnsi="Times New Roman" w:cs="Times New Roman" w:eastAsia="Times New Roman" w:hint="default"/>
                <w:sz w:val="21"/>
                <w:szCs w:val="21"/>
              </w:rPr>
            </w:pPr>
            <w:r>
              <w:rPr>
                <w:rFonts w:ascii="Times New Roman"/>
                <w:sz w:val="21"/>
              </w:rPr>
              <w:t>194,898,12</w:t>
            </w:r>
          </w:p>
          <w:p>
            <w:pPr>
              <w:pStyle w:val="TableParagraph"/>
              <w:spacing w:line="241" w:lineRule="exact"/>
              <w:ind w:left="698" w:right="0"/>
              <w:jc w:val="left"/>
              <w:rPr>
                <w:rFonts w:ascii="Times New Roman" w:hAnsi="Times New Roman" w:cs="Times New Roman" w:eastAsia="Times New Roman" w:hint="default"/>
                <w:sz w:val="21"/>
                <w:szCs w:val="21"/>
              </w:rPr>
            </w:pPr>
            <w:r>
              <w:rPr>
                <w:rFonts w:ascii="Times New Roman"/>
                <w:sz w:val="21"/>
              </w:rPr>
              <w:t>7.44</w:t>
            </w:r>
          </w:p>
        </w:tc>
        <w:tc>
          <w:tcPr>
            <w:tcW w:w="152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1" w:right="0"/>
              <w:jc w:val="left"/>
              <w:rPr>
                <w:rFonts w:ascii="Times New Roman" w:hAnsi="Times New Roman" w:cs="Times New Roman" w:eastAsia="Times New Roman" w:hint="default"/>
                <w:sz w:val="21"/>
                <w:szCs w:val="21"/>
              </w:rPr>
            </w:pPr>
            <w:r>
              <w:rPr>
                <w:rFonts w:ascii="Times New Roman"/>
                <w:sz w:val="21"/>
              </w:rPr>
              <w:t>194,898,1</w:t>
            </w:r>
          </w:p>
          <w:p>
            <w:pPr>
              <w:pStyle w:val="TableParagraph"/>
              <w:spacing w:line="241" w:lineRule="exact"/>
              <w:ind w:left="568" w:right="0"/>
              <w:jc w:val="left"/>
              <w:rPr>
                <w:rFonts w:ascii="Times New Roman" w:hAnsi="Times New Roman" w:cs="Times New Roman" w:eastAsia="Times New Roman" w:hint="default"/>
                <w:sz w:val="21"/>
                <w:szCs w:val="21"/>
              </w:rPr>
            </w:pPr>
            <w:r>
              <w:rPr>
                <w:rFonts w:ascii="Times New Roman"/>
                <w:sz w:val="21"/>
              </w:rPr>
              <w:t>27.44</w:t>
            </w:r>
          </w:p>
        </w:tc>
      </w:tr>
    </w:tbl>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6"/>
        <w:ind w:left="217" w:right="2465"/>
        <w:jc w:val="left"/>
      </w:pPr>
      <w:r>
        <w:rPr/>
        <w:t>□适用</w:t>
      </w:r>
      <w:r>
        <w:rPr>
          <w:spacing w:val="-2"/>
        </w:rPr>
        <w:t> </w:t>
      </w:r>
      <w:r>
        <w:rPr/>
        <w:t>√不适用</w:t>
      </w:r>
      <w:r>
        <w:rPr>
          <w:spacing w:val="-103"/>
        </w:rPr>
        <w:t> </w:t>
      </w:r>
      <w:r>
        <w:rPr>
          <w:spacing w:val="-103"/>
        </w:rPr>
      </w:r>
      <w:r>
        <w:rPr>
          <w:spacing w:val="-2"/>
        </w:rPr>
        <w:t>说明商誉减值测试过程、参数及商誉减值损失的确认方法</w:t>
      </w:r>
    </w:p>
    <w:p>
      <w:pPr>
        <w:pStyle w:val="BodyText"/>
        <w:spacing w:line="403" w:lineRule="auto"/>
        <w:ind w:left="637" w:right="227" w:hanging="420"/>
        <w:jc w:val="left"/>
      </w:pPr>
      <w:r>
        <w:rPr/>
        <w:t>√适用</w:t>
      </w:r>
      <w:r>
        <w:rPr>
          <w:spacing w:val="-2"/>
        </w:rPr>
        <w:t> </w:t>
      </w:r>
      <w:r>
        <w:rPr/>
        <w:t>□不适用</w:t>
      </w:r>
      <w:r>
        <w:rPr>
          <w:spacing w:val="-103"/>
        </w:rPr>
        <w:t> </w:t>
      </w:r>
      <w:r>
        <w:rPr>
          <w:spacing w:val="-103"/>
        </w:rPr>
      </w:r>
      <w:r>
        <w:rPr>
          <w:spacing w:val="-2"/>
        </w:rPr>
        <w:t>期末对取得的商誉进行减值测试时，将被收购公司整体视为一个资产组。资产组的可收回金</w:t>
      </w:r>
    </w:p>
    <w:p>
      <w:pPr>
        <w:pStyle w:val="BodyText"/>
        <w:spacing w:line="403" w:lineRule="auto" w:before="40"/>
        <w:ind w:left="217" w:right="229"/>
        <w:jc w:val="both"/>
      </w:pPr>
      <w:r>
        <w:rPr>
          <w:spacing w:val="-1"/>
        </w:rPr>
        <w:t>额按照资产组的预计未来现金流量的现值确定，其预计未来现金流量根据该公司管理层批准的财</w:t>
      </w:r>
      <w:r>
        <w:rPr>
          <w:spacing w:val="-55"/>
        </w:rPr>
        <w:t> </w:t>
      </w:r>
      <w:r>
        <w:rPr>
          <w:spacing w:val="-55"/>
        </w:rPr>
      </w:r>
      <w:r>
        <w:rPr>
          <w:spacing w:val="-1"/>
        </w:rPr>
        <w:t>务预测为基础的现金流量预测来确定。所采用的平均增长率与该公司目前所处的经营环境、发展</w:t>
      </w:r>
      <w:r>
        <w:rPr>
          <w:spacing w:val="-55"/>
        </w:rPr>
        <w:t> </w:t>
      </w:r>
      <w:r>
        <w:rPr>
          <w:spacing w:val="-55"/>
        </w:rPr>
      </w:r>
      <w:r>
        <w:rPr>
          <w:spacing w:val="-1"/>
        </w:rPr>
        <w:t>规划及历史经营业绩基本相符，现金流折现时所采用的是反映相关与该公司及行业规模特定风险</w:t>
      </w:r>
      <w:r>
        <w:rPr>
          <w:spacing w:val="-55"/>
        </w:rPr>
        <w:t> </w:t>
      </w:r>
      <w:r>
        <w:rPr>
          <w:spacing w:val="-55"/>
        </w:rPr>
      </w:r>
      <w:r>
        <w:rPr>
          <w:spacing w:val="-1"/>
        </w:rPr>
        <w:t>适用的折现率。减值测试结果显示，上述在企业合并中产生的商誉并未减值，本年末无需计提减</w:t>
      </w:r>
      <w:r>
        <w:rPr>
          <w:spacing w:val="-55"/>
        </w:rPr>
        <w:t> </w:t>
      </w:r>
      <w:r>
        <w:rPr>
          <w:spacing w:val="-55"/>
        </w:rPr>
      </w:r>
      <w:r>
        <w:rPr/>
        <w:t>值准备。</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BodyText"/>
        <w:spacing w:line="273" w:lineRule="exact" w:before="36"/>
        <w:ind w:left="217" w:right="-19"/>
        <w:jc w:val="left"/>
      </w:pPr>
      <w:r>
        <w:rPr/>
        <w:t>其他说明</w:t>
      </w:r>
    </w:p>
    <w:p>
      <w:pPr>
        <w:spacing w:line="290" w:lineRule="auto" w:before="0"/>
        <w:ind w:left="217"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pacing w:val="-59"/>
                <w:sz w:val="21"/>
                <w:szCs w:val="21"/>
              </w:rPr>
              <w:t> </w:t>
            </w:r>
            <w:r>
              <w:rPr>
                <w:rFonts w:ascii="宋体" w:hAnsi="宋体" w:cs="宋体" w:eastAsia="宋体" w:hint="default"/>
                <w:sz w:val="21"/>
                <w:szCs w:val="21"/>
              </w:rPr>
              <w:t>屋</w:t>
            </w:r>
            <w:r>
              <w:rPr>
                <w:rFonts w:ascii="宋体" w:hAnsi="宋体" w:cs="宋体" w:eastAsia="宋体" w:hint="default"/>
                <w:spacing w:val="-61"/>
                <w:sz w:val="21"/>
                <w:szCs w:val="21"/>
              </w:rPr>
              <w:t> </w:t>
            </w:r>
            <w:r>
              <w:rPr>
                <w:rFonts w:ascii="宋体" w:hAnsi="宋体" w:cs="宋体" w:eastAsia="宋体" w:hint="default"/>
                <w:sz w:val="21"/>
                <w:szCs w:val="21"/>
              </w:rPr>
              <w:t>装</w:t>
            </w:r>
            <w:r>
              <w:rPr>
                <w:rFonts w:ascii="宋体" w:hAnsi="宋体" w:cs="宋体" w:eastAsia="宋体" w:hint="default"/>
                <w:spacing w:val="-61"/>
                <w:sz w:val="21"/>
                <w:szCs w:val="21"/>
              </w:rPr>
              <w:t> </w:t>
            </w:r>
            <w:r>
              <w:rPr>
                <w:rFonts w:ascii="宋体" w:hAnsi="宋体" w:cs="宋体" w:eastAsia="宋体" w:hint="default"/>
                <w:sz w:val="21"/>
                <w:szCs w:val="21"/>
              </w:rPr>
              <w:t>修</w:t>
            </w:r>
            <w:r>
              <w:rPr>
                <w:rFonts w:ascii="宋体" w:hAnsi="宋体" w:cs="宋体" w:eastAsia="宋体" w:hint="default"/>
                <w:spacing w:val="-59"/>
                <w:sz w:val="21"/>
                <w:szCs w:val="21"/>
              </w:rPr>
              <w:t> </w:t>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0" w:right="0"/>
              <w:jc w:val="left"/>
              <w:rPr>
                <w:rFonts w:ascii="Times New Roman" w:hAnsi="Times New Roman" w:cs="Times New Roman" w:eastAsia="Times New Roman" w:hint="default"/>
                <w:sz w:val="21"/>
                <w:szCs w:val="21"/>
              </w:rPr>
            </w:pPr>
            <w:r>
              <w:rPr>
                <w:rFonts w:ascii="Times New Roman"/>
                <w:sz w:val="21"/>
              </w:rPr>
              <w:t>2,041,263.11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1,950,752.45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1,803,951.26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2,188,064.30</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0" w:right="0"/>
              <w:jc w:val="left"/>
              <w:rPr>
                <w:rFonts w:ascii="Times New Roman" w:hAnsi="Times New Roman" w:cs="Times New Roman" w:eastAsia="Times New Roman" w:hint="default"/>
                <w:sz w:val="21"/>
                <w:szCs w:val="21"/>
              </w:rPr>
            </w:pPr>
            <w:r>
              <w:rPr>
                <w:rFonts w:ascii="Times New Roman"/>
                <w:sz w:val="21"/>
              </w:rPr>
              <w:t>2,041,263.11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0" w:right="0"/>
              <w:jc w:val="left"/>
              <w:rPr>
                <w:rFonts w:ascii="Times New Roman" w:hAnsi="Times New Roman" w:cs="Times New Roman" w:eastAsia="Times New Roman" w:hint="default"/>
                <w:sz w:val="21"/>
                <w:szCs w:val="21"/>
              </w:rPr>
            </w:pPr>
            <w:r>
              <w:rPr>
                <w:rFonts w:ascii="Times New Roman"/>
                <w:sz w:val="21"/>
              </w:rPr>
              <w:t>1,950,752.45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1,803,951.26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4" w:right="0"/>
              <w:jc w:val="left"/>
              <w:rPr>
                <w:rFonts w:ascii="Times New Roman" w:hAnsi="Times New Roman" w:cs="Times New Roman" w:eastAsia="Times New Roman" w:hint="default"/>
                <w:sz w:val="21"/>
                <w:szCs w:val="21"/>
              </w:rPr>
            </w:pPr>
            <w:r>
              <w:rPr>
                <w:rFonts w:ascii="Times New Roman"/>
                <w:sz w:val="21"/>
              </w:rPr>
              <w:t>2,188,064.30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60" w:right="1560"/>
        </w:sectPr>
      </w:pPr>
    </w:p>
    <w:p>
      <w:pPr>
        <w:pStyle w:val="Heading3"/>
        <w:spacing w:line="290" w:lineRule="auto"/>
        <w:ind w:right="-17"/>
        <w:jc w:val="left"/>
        <w:rPr>
          <w:b w:val="0"/>
          <w:bCs w:val="0"/>
        </w:rPr>
      </w:pPr>
      <w:r>
        <w:rPr>
          <w:rFonts w:ascii="宋体" w:hAnsi="宋体" w:cs="宋体" w:eastAsia="宋体" w:hint="default"/>
        </w:rPr>
        <w:t>16</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tabs>
          <w:tab w:pos="1059" w:val="left" w:leader="none"/>
        </w:tabs>
        <w:spacing w:line="240" w:lineRule="auto" w:before="14"/>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7"/>
        <w:gridCol w:w="1688"/>
        <w:gridCol w:w="1685"/>
        <w:gridCol w:w="1687"/>
        <w:gridCol w:w="1685"/>
      </w:tblGrid>
      <w:tr>
        <w:trPr>
          <w:trHeight w:val="295" w:hRule="exact"/>
        </w:trPr>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6"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584,112,126.68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146,028,031.68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558,141,419.70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139,535,354.93</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64,203,577.98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16,050,894.49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66,788,254.64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16,697,063.66</w:t>
            </w:r>
          </w:p>
        </w:tc>
      </w:tr>
      <w:tr>
        <w:trPr>
          <w:trHeight w:val="293" w:hRule="exact"/>
        </w:trPr>
        <w:tc>
          <w:tcPr>
            <w:tcW w:w="230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648,315,704.66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162,078,926.17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624,929,674.34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156,232,418.59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tabs>
          <w:tab w:pos="1059" w:val="left" w:leader="none"/>
        </w:tabs>
        <w:spacing w:line="240" w:lineRule="auto" w:before="56"/>
        <w:ind w:left="217" w:right="-17"/>
        <w:jc w:val="left"/>
      </w:pPr>
      <w:r>
        <w:rPr/>
        <w:t>□适用</w:t>
        <w:tab/>
        <w:t>√不适用</w:t>
      </w:r>
    </w:p>
    <w:p>
      <w:pPr>
        <w:pStyle w:val="Heading3"/>
        <w:spacing w:line="240" w:lineRule="auto" w:before="58"/>
        <w:ind w:right="-17"/>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tabs>
          <w:tab w:pos="1059" w:val="left" w:leader="none"/>
        </w:tabs>
        <w:spacing w:line="240" w:lineRule="auto" w:before="56"/>
        <w:ind w:left="217" w:right="-17"/>
        <w:jc w:val="left"/>
      </w:pPr>
      <w:r>
        <w:rPr/>
        <w:t>□适用</w:t>
        <w:tab/>
        <w:t>√不适用</w:t>
      </w:r>
    </w:p>
    <w:p>
      <w:pPr>
        <w:pStyle w:val="Heading3"/>
        <w:spacing w:line="240" w:lineRule="auto" w:before="58"/>
        <w:ind w:right="-17"/>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59" w:val="left" w:leader="none"/>
        </w:tabs>
        <w:spacing w:line="240" w:lineRule="auto" w:before="56"/>
        <w:ind w:left="217"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39"/>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025" w:space="149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1,656,839.82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6,003,190.61</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31,773,842.91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33,430,682.73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6,003,190.61</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Heading3"/>
        <w:spacing w:line="240" w:lineRule="auto" w:before="26"/>
        <w:ind w:right="-16"/>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tabs>
          <w:tab w:pos="1059" w:val="left" w:leader="none"/>
        </w:tabs>
        <w:spacing w:line="240" w:lineRule="auto" w:before="58"/>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865" w:space="601"/>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31,773,842.91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31,773,842.91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3"/>
        <w:spacing w:line="240" w:lineRule="auto"/>
        <w:ind w:right="-19"/>
        <w:jc w:val="left"/>
        <w:rPr>
          <w:b w:val="0"/>
          <w:bCs w:val="0"/>
        </w:rPr>
      </w:pPr>
      <w:r>
        <w:rPr>
          <w:rFonts w:ascii="宋体" w:hAnsi="宋体" w:cs="宋体" w:eastAsia="宋体" w:hint="default"/>
        </w:rPr>
        <w:t>17</w:t>
      </w:r>
      <w:r>
        <w:rPr/>
        <w:t>、</w:t>
      </w:r>
      <w:r>
        <w:rPr>
          <w:spacing w:val="-23"/>
        </w:rPr>
        <w:t> </w:t>
      </w:r>
      <w:r>
        <w:rPr/>
        <w:t>其他非流动资产</w:t>
      </w:r>
      <w:r>
        <w:rPr>
          <w:b w:val="0"/>
          <w:bCs w:val="0"/>
        </w:rPr>
      </w:r>
    </w:p>
    <w:p>
      <w:pPr>
        <w:pStyle w:val="BodyText"/>
        <w:spacing w:line="240" w:lineRule="auto" w:before="58"/>
        <w:ind w:left="217" w:right="-19"/>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临时设施</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10,273,217.94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7,346,405.06</w:t>
            </w:r>
          </w:p>
        </w:tc>
      </w:tr>
      <w:tr>
        <w:trPr>
          <w:trHeight w:val="55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对宁波建乐东城木业有限公司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债权性投资（注）</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2,280,000.00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2,280,000.00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38" w:right="0"/>
              <w:jc w:val="left"/>
              <w:rPr>
                <w:rFonts w:ascii="Times New Roman" w:hAnsi="Times New Roman" w:cs="Times New Roman" w:eastAsia="Times New Roman" w:hint="default"/>
                <w:sz w:val="21"/>
                <w:szCs w:val="21"/>
              </w:rPr>
            </w:pPr>
            <w:r>
              <w:rPr>
                <w:rFonts w:ascii="Times New Roman"/>
                <w:sz w:val="21"/>
              </w:rPr>
              <w:t>12,553,217.94</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65" w:right="0"/>
              <w:jc w:val="left"/>
              <w:rPr>
                <w:rFonts w:ascii="Times New Roman" w:hAnsi="Times New Roman" w:cs="Times New Roman" w:eastAsia="Times New Roman" w:hint="default"/>
                <w:sz w:val="21"/>
                <w:szCs w:val="21"/>
              </w:rPr>
            </w:pPr>
            <w:r>
              <w:rPr>
                <w:rFonts w:ascii="Times New Roman"/>
                <w:sz w:val="21"/>
              </w:rPr>
              <w:t>9,626,405.06</w:t>
            </w:r>
          </w:p>
        </w:tc>
      </w:tr>
    </w:tbl>
    <w:p>
      <w:pPr>
        <w:spacing w:line="240" w:lineRule="auto" w:before="13"/>
        <w:rPr>
          <w:rFonts w:ascii="宋体" w:hAnsi="宋体" w:cs="宋体" w:eastAsia="宋体" w:hint="default"/>
          <w:sz w:val="12"/>
          <w:szCs w:val="12"/>
        </w:rPr>
      </w:pPr>
    </w:p>
    <w:p>
      <w:pPr>
        <w:pStyle w:val="BodyText"/>
        <w:spacing w:line="232" w:lineRule="auto" w:before="43"/>
        <w:ind w:left="217" w:right="112"/>
        <w:jc w:val="left"/>
      </w:pPr>
      <w:r>
        <w:rPr/>
        <w:t>其他说明：</w:t>
      </w:r>
      <w:r>
        <w:rPr>
          <w:spacing w:val="-102"/>
        </w:rPr>
        <w:t> </w:t>
      </w:r>
      <w:r>
        <w:rPr>
          <w:spacing w:val="-102"/>
        </w:rPr>
      </w:r>
      <w:r>
        <w:rPr/>
        <w:t>注：本公司所属子公司宁波建工建乐工程有限公司对宁波建乐东城木业有限公司原投资持股比例</w:t>
      </w:r>
      <w:r>
        <w:rPr>
          <w:spacing w:val="-97"/>
        </w:rPr>
        <w:t> </w:t>
      </w:r>
      <w:r>
        <w:rPr>
          <w:spacing w:val="-97"/>
        </w:rPr>
      </w:r>
      <w:r>
        <w:rPr/>
        <w:t>为</w:t>
      </w:r>
      <w:r>
        <w:rPr>
          <w:spacing w:val="47"/>
        </w:rPr>
        <w:t> </w:t>
      </w:r>
      <w:r>
        <w:rPr>
          <w:rFonts w:ascii="Times New Roman" w:hAnsi="Times New Roman" w:cs="Times New Roman" w:eastAsia="Times New Roman" w:hint="default"/>
        </w:rPr>
        <w:t>49%</w:t>
      </w:r>
      <w:r>
        <w:rPr/>
        <w:t>，根据投资协议，宁波建工建乐工程有限公司不参与对被投资方的经营管理及财务决策，</w:t>
      </w:r>
      <w:r>
        <w:rPr>
          <w:spacing w:val="-102"/>
        </w:rPr>
        <w:t> </w:t>
      </w:r>
      <w:r>
        <w:rPr>
          <w:spacing w:val="-102"/>
        </w:rPr>
      </w:r>
      <w:r>
        <w:rPr/>
        <w:t>仅按投资协议收取固定收益，根据企业会计准则的相关规定，在其他非流动资产列报。</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18</w:t>
      </w:r>
      <w:r>
        <w:rPr/>
        <w:t>、</w:t>
      </w:r>
      <w:r>
        <w:rPr>
          <w:spacing w:val="-24"/>
        </w:rPr>
        <w:t> </w:t>
      </w:r>
      <w:r>
        <w:rPr/>
        <w:t>短期借款</w:t>
      </w:r>
      <w:r>
        <w:rPr>
          <w:b w:val="0"/>
          <w:bCs w:val="0"/>
        </w:rPr>
      </w:r>
    </w:p>
    <w:p>
      <w:pPr>
        <w:pStyle w:val="Heading3"/>
        <w:tabs>
          <w:tab w:pos="848" w:val="left" w:leader="none"/>
        </w:tabs>
        <w:spacing w:line="240" w:lineRule="auto" w:before="56"/>
        <w:ind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116" w:space="4406"/>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161,000,000.00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174,320,000.00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3,268,926,675.20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3,069,300,000.00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385,000,000.00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275,000,000.00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104,500,000.00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178,000,000.00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信用证借款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10,000,000.00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3,919,426,675.20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3,726,620,000.00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19</w:t>
      </w:r>
      <w:r>
        <w:rPr/>
        <w:t>、</w:t>
      </w:r>
      <w:r>
        <w:rPr>
          <w:spacing w:val="-24"/>
        </w:rPr>
        <w:t> </w:t>
      </w:r>
      <w:r>
        <w:rPr/>
        <w:t>衍生金融负债</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1"/>
        <w:gridCol w:w="2904"/>
        <w:gridCol w:w="2845"/>
      </w:tblGrid>
      <w:tr>
        <w:trPr>
          <w:trHeight w:val="286" w:hRule="exact"/>
        </w:trPr>
        <w:tc>
          <w:tcPr>
            <w:tcW w:w="330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330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浦发银行大宗商品衍生品融资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120,000,000.00</w:t>
            </w: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301" w:type="dxa"/>
            <w:tcBorders>
              <w:top w:val="single" w:sz="6" w:space="0" w:color="000000"/>
              <w:left w:val="single" w:sz="4" w:space="0" w:color="000000"/>
              <w:bottom w:val="single" w:sz="6" w:space="0" w:color="000000"/>
              <w:right w:val="single" w:sz="6" w:space="0" w:color="000000"/>
            </w:tcBorders>
          </w:tcPr>
          <w:p>
            <w:pPr/>
          </w:p>
        </w:tc>
        <w:tc>
          <w:tcPr>
            <w:tcW w:w="2904"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30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120,000,000.00</w:t>
            </w:r>
          </w:p>
        </w:tc>
        <w:tc>
          <w:tcPr>
            <w:tcW w:w="284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7" w:right="0"/>
        <w:jc w:val="both"/>
        <w:rPr>
          <w:rFonts w:ascii="宋体" w:hAnsi="宋体" w:cs="宋体" w:eastAsia="宋体" w:hint="default"/>
        </w:rPr>
      </w:pPr>
      <w:r>
        <w:rPr/>
        <w:t>其他说明</w:t>
      </w:r>
      <w:r>
        <w:rPr>
          <w:rFonts w:ascii="宋体" w:hAnsi="宋体" w:cs="宋体" w:eastAsia="宋体" w:hint="default"/>
        </w:rPr>
        <w:t>:</w:t>
      </w:r>
    </w:p>
    <w:p>
      <w:pPr>
        <w:pStyle w:val="BodyText"/>
        <w:spacing w:line="237" w:lineRule="auto" w:before="2"/>
        <w:ind w:left="217" w:right="238"/>
        <w:jc w:val="both"/>
      </w:pPr>
      <w:r>
        <w:rPr/>
        <w:t>注</w:t>
      </w:r>
      <w:r>
        <w:rPr>
          <w:rFonts w:ascii="宋体" w:hAnsi="宋体" w:cs="宋体" w:eastAsia="宋体" w:hint="default"/>
        </w:rPr>
        <w:t>:</w:t>
      </w:r>
      <w:r>
        <w:rPr>
          <w:rFonts w:ascii="宋体" w:hAnsi="宋体" w:cs="宋体" w:eastAsia="宋体" w:hint="default"/>
          <w:spacing w:val="-4"/>
        </w:rPr>
        <w:t> </w:t>
      </w:r>
      <w:r>
        <w:rPr/>
        <w:t>公司与上海浦东发展银行股份有限公司达成中国银行间市场金融衍生产品交易协议、补充协</w:t>
      </w:r>
      <w:r>
        <w:rPr>
          <w:w w:val="100"/>
        </w:rPr>
        <w:t> </w:t>
      </w:r>
      <w:r>
        <w:rPr/>
        <w:t>议及交易授信协议。银行核定本公司的大宗商品衍生品总额度为</w:t>
      </w:r>
      <w:r>
        <w:rPr>
          <w:spacing w:val="-55"/>
        </w:rPr>
        <w:t> </w:t>
      </w:r>
      <w:r>
        <w:rPr>
          <w:rFonts w:ascii="宋体" w:hAnsi="宋体" w:cs="宋体" w:eastAsia="宋体" w:hint="default"/>
        </w:rPr>
        <w:t>1.2</w:t>
      </w:r>
      <w:r>
        <w:rPr>
          <w:rFonts w:ascii="宋体" w:hAnsi="宋体" w:cs="宋体" w:eastAsia="宋体" w:hint="default"/>
          <w:spacing w:val="-55"/>
        </w:rPr>
        <w:t> </w:t>
      </w:r>
      <w:r>
        <w:rPr/>
        <w:t>亿，所用产品种类为大宗商</w:t>
      </w:r>
      <w:r>
        <w:rPr>
          <w:w w:val="100"/>
        </w:rPr>
        <w:t> </w:t>
      </w:r>
      <w:r>
        <w:rPr>
          <w:spacing w:val="-2"/>
        </w:rPr>
        <w:t>品衍生品融资等，本次协议金融衍生品交易是双方以一对一方式达成，按双方的具体要求拟定交</w:t>
      </w:r>
      <w:r>
        <w:rPr>
          <w:spacing w:val="-25"/>
        </w:rPr>
        <w:t> </w:t>
      </w:r>
      <w:r>
        <w:rPr>
          <w:spacing w:val="-25"/>
        </w:rPr>
      </w:r>
      <w:r>
        <w:rPr/>
        <w:t>易条款的金融衍生合约。</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月至</w:t>
      </w:r>
      <w:r>
        <w:rPr>
          <w:spacing w:val="-53"/>
        </w:rPr>
        <w:t> </w:t>
      </w:r>
      <w:r>
        <w:rPr>
          <w:rFonts w:ascii="宋体" w:hAnsi="宋体" w:cs="宋体" w:eastAsia="宋体" w:hint="default"/>
        </w:rPr>
        <w:t>2</w:t>
      </w:r>
      <w:r>
        <w:rPr>
          <w:rFonts w:ascii="宋体" w:hAnsi="宋体" w:cs="宋体" w:eastAsia="宋体" w:hint="default"/>
          <w:spacing w:val="-55"/>
        </w:rPr>
        <w:t> </w:t>
      </w:r>
      <w:r>
        <w:rPr/>
        <w:t>月，公司先后与银行成交上期所螺纹钢</w:t>
      </w:r>
      <w:r>
        <w:rPr>
          <w:spacing w:val="-53"/>
        </w:rPr>
        <w:t> </w:t>
      </w:r>
      <w:r>
        <w:rPr>
          <w:rFonts w:ascii="宋体" w:hAnsi="宋体" w:cs="宋体" w:eastAsia="宋体" w:hint="default"/>
        </w:rPr>
        <w:t>1802</w:t>
      </w:r>
      <w:r>
        <w:rPr>
          <w:rFonts w:ascii="宋体" w:hAnsi="宋体" w:cs="宋体" w:eastAsia="宋体" w:hint="default"/>
          <w:spacing w:val="-55"/>
        </w:rPr>
        <w:t> </w:t>
      </w:r>
      <w:r>
        <w:rPr/>
        <w:t>商品欧式</w:t>
      </w:r>
      <w:r>
        <w:rPr>
          <w:w w:val="100"/>
        </w:rPr>
        <w:t> </w:t>
      </w:r>
      <w:r>
        <w:rPr/>
        <w:t>期权组合</w:t>
      </w:r>
      <w:r>
        <w:rPr>
          <w:rFonts w:ascii="宋体" w:hAnsi="宋体" w:cs="宋体" w:eastAsia="宋体" w:hint="default"/>
        </w:rPr>
        <w:t>-</w:t>
      </w:r>
      <w:r>
        <w:rPr/>
        <w:t>现金交割交易</w:t>
      </w:r>
      <w:r>
        <w:rPr>
          <w:spacing w:val="-56"/>
        </w:rPr>
        <w:t> </w:t>
      </w:r>
      <w:r>
        <w:rPr>
          <w:rFonts w:ascii="宋体" w:hAnsi="宋体" w:cs="宋体" w:eastAsia="宋体" w:hint="default"/>
        </w:rPr>
        <w:t>6,500.00</w:t>
      </w:r>
      <w:r>
        <w:rPr>
          <w:rFonts w:ascii="宋体" w:hAnsi="宋体" w:cs="宋体" w:eastAsia="宋体" w:hint="default"/>
          <w:spacing w:val="-53"/>
        </w:rPr>
        <w:t> </w:t>
      </w:r>
      <w:r>
        <w:rPr/>
        <w:t>万元、</w:t>
      </w:r>
      <w:r>
        <w:rPr>
          <w:rFonts w:ascii="宋体" w:hAnsi="宋体" w:cs="宋体" w:eastAsia="宋体" w:hint="default"/>
        </w:rPr>
        <w:t>4,000.00</w:t>
      </w:r>
      <w:r>
        <w:rPr>
          <w:rFonts w:ascii="宋体" w:hAnsi="宋体" w:cs="宋体" w:eastAsia="宋体" w:hint="default"/>
          <w:spacing w:val="-56"/>
        </w:rPr>
        <w:t> </w:t>
      </w:r>
      <w:r>
        <w:rPr/>
        <w:t>万元、</w:t>
      </w:r>
      <w:r>
        <w:rPr>
          <w:rFonts w:ascii="宋体" w:hAnsi="宋体" w:cs="宋体" w:eastAsia="宋体" w:hint="default"/>
        </w:rPr>
        <w:t>1,500.00</w:t>
      </w:r>
      <w:r>
        <w:rPr>
          <w:rFonts w:ascii="宋体" w:hAnsi="宋体" w:cs="宋体" w:eastAsia="宋体" w:hint="default"/>
          <w:spacing w:val="-54"/>
        </w:rPr>
        <w:t> </w:t>
      </w:r>
      <w:r>
        <w:rPr/>
        <w:t>万元。行权日分别为</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w w:val="100"/>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t>日、</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5"/>
        </w:rPr>
        <w:t> </w:t>
      </w:r>
      <w:r>
        <w:rPr/>
        <w:t>日、</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日。截至报告出具日，所有交易已全部行权，所有</w:t>
      </w:r>
      <w:r>
        <w:rPr>
          <w:w w:val="100"/>
        </w:rPr>
        <w:t> </w:t>
      </w:r>
      <w:r>
        <w:rPr/>
        <w:t>款项均已支付完毕。</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20</w:t>
      </w:r>
      <w:r>
        <w:rPr/>
        <w:t>、</w:t>
      </w:r>
      <w:r>
        <w:rPr>
          <w:spacing w:val="-24"/>
        </w:rPr>
        <w:t> </w:t>
      </w:r>
      <w:r>
        <w:rPr/>
        <w:t>应付票据</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54,928,109.54</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35,000,000.00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393,755,118.47</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321,816,926.60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448,683,228.01</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356,816,926.60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ind w:right="-19"/>
        <w:jc w:val="left"/>
        <w:rPr>
          <w:b w:val="0"/>
          <w:bCs w:val="0"/>
        </w:rPr>
      </w:pPr>
      <w:r>
        <w:rPr>
          <w:rFonts w:ascii="宋体" w:hAnsi="宋体" w:cs="宋体" w:eastAsia="宋体" w:hint="default"/>
        </w:rPr>
        <w:t>21</w:t>
      </w:r>
      <w:r>
        <w:rPr/>
        <w:t>、</w:t>
      </w:r>
      <w:r>
        <w:rPr>
          <w:spacing w:val="-25"/>
        </w:rPr>
        <w:t> </w:t>
      </w:r>
      <w:r>
        <w:rPr/>
        <w:t>应付账款</w:t>
      </w:r>
      <w:r>
        <w:rPr>
          <w:b w:val="0"/>
          <w:bCs w:val="0"/>
        </w:rPr>
      </w:r>
    </w:p>
    <w:p>
      <w:pPr>
        <w:pStyle w:val="Heading3"/>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73" w:space="444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3,131,991,759.60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3,249,950,238.13</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1,487,949,762.27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1,155,651,572.72</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4,619,941,521.87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4,405,601,810.85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0"/>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566" w:space="295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1985"/>
        <w:gridCol w:w="3980"/>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浙江广天建筑劳务有限公司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456,012,728.62</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宁波天久建筑劳务有限公司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115,756,721.67</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宁波同润鼎贸易有限公司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53,650,525.89</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浙江现代建工集团有限公司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40,493,903.94</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宁波阳光混凝土有限公司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38,322,593.50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北京天龙装饰公司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37,106,375.39</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湖州鼎兴建设有限公司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33,050,000.00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宁波金鑫商品混凝土有限公司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24,273,148.04</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平湖市市政工程有限公司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24,140,000.00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宁波博励建材有限公司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17,047,949.41</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四川省雅安西南水泥有限公司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15,927,212.67</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北京建磊国际装饰工程股份有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13,254,524.03</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浙江申诚环境工程有限公司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11,240,352.50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煌盛集团有限公司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10,156,741.54</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浙江胜裕建设有限公司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11,000,000.00</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宁波市镇海九龙混凝土有限公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10,564,844.59</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工程项目未决算导致与供应商结算滞后</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911,997,621.79</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40" w:lineRule="auto"/>
        <w:ind w:right="-19"/>
        <w:jc w:val="left"/>
        <w:rPr>
          <w:b w:val="0"/>
          <w:bCs w:val="0"/>
        </w:rPr>
      </w:pPr>
      <w:r>
        <w:rPr>
          <w:rFonts w:ascii="宋体" w:hAnsi="宋体" w:cs="宋体" w:eastAsia="宋体" w:hint="default"/>
        </w:rPr>
        <w:t>22</w:t>
      </w:r>
      <w:r>
        <w:rPr/>
        <w:t>、</w:t>
      </w:r>
      <w:r>
        <w:rPr>
          <w:spacing w:val="-25"/>
        </w:rPr>
        <w:t> </w:t>
      </w:r>
      <w:r>
        <w:rPr/>
        <w:t>预收款项</w:t>
      </w:r>
      <w:r>
        <w:rPr>
          <w:b w:val="0"/>
          <w:bCs w:val="0"/>
        </w:rPr>
      </w:r>
    </w:p>
    <w:p>
      <w:pPr>
        <w:pStyle w:val="Heading3"/>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预收工程款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179,320,494.77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169,249,179.03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已结算尚未完工款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123,377,679.17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74,454,787.28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302,698,173.94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243,703,966.31</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882" w:top="1120" w:bottom="1380" w:left="1060" w:right="1560"/>
        </w:sectPr>
      </w:pPr>
    </w:p>
    <w:p>
      <w:pPr>
        <w:pStyle w:val="Heading3"/>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506" w:space="301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宁波市政工程前期办公室</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10,680,000.00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未获业主计量确认</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舟山阿鲁亚大酒店开发有限公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3,564,186.53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未获业主计量确认</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上海南翔市政建设工程有限公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未获业主计量确认</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贵州锦湖房地产开发有限公司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未获业主计量确认</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抚州万景房地产开发有限公司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1,068,974.55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未获业主计量确认</w:t>
            </w:r>
          </w:p>
        </w:tc>
      </w:tr>
      <w:tr>
        <w:trPr>
          <w:trHeight w:val="555"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扬州化工园区投资发展有限公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1,050,079.52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未获业主计量确认</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20,563,240.60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right="-16"/>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965" w:space="1557"/>
            <w:col w:w="2768"/>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4448"/>
        <w:gridCol w:w="4448"/>
      </w:tblGrid>
      <w:tr>
        <w:trPr>
          <w:trHeight w:val="28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1,406,538,473.24</w:t>
            </w: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68,668,640.78</w:t>
            </w:r>
          </w:p>
        </w:tc>
      </w:tr>
      <w:tr>
        <w:trPr>
          <w:trHeight w:val="28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1,598,584,793.19</w:t>
            </w:r>
          </w:p>
        </w:tc>
      </w:tr>
      <w:tr>
        <w:trPr>
          <w:trHeight w:val="288"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-123,377,679.17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3"/>
        <w:spacing w:line="290" w:lineRule="auto"/>
        <w:ind w:right="-15"/>
        <w:jc w:val="left"/>
        <w:rPr>
          <w:b w:val="0"/>
          <w:bCs w:val="0"/>
        </w:rPr>
      </w:pPr>
      <w:r>
        <w:rPr>
          <w:rFonts w:ascii="宋体" w:hAnsi="宋体" w:cs="宋体" w:eastAsia="宋体" w:hint="default"/>
        </w:rPr>
        <w:t>23</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43" w:space="3978"/>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5"/>
        <w:gridCol w:w="1702"/>
        <w:gridCol w:w="1702"/>
        <w:gridCol w:w="1790"/>
        <w:gridCol w:w="1621"/>
      </w:tblGrid>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9"/>
              <w:jc w:val="righ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6"/>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32,878,444.69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433,153,844.92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422,353,800.40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43,678,489.21</w:t>
            </w: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30,918.41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34,549,273.41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34,544,970.38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35,221.44</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6"/>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9"/>
              <w:jc w:val="righ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32,909,363.10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467,703,118.33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456,898,770.78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43,713,710.65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3"/>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left="21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60" w:right="1560"/>
          <w:cols w:num="2" w:equalWidth="0">
            <w:col w:w="2121" w:space="4554"/>
            <w:col w:w="2615"/>
          </w:cols>
        </w:sect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1" w:right="0"/>
              <w:jc w:val="left"/>
              <w:rPr>
                <w:rFonts w:ascii="Times New Roman" w:hAnsi="Times New Roman" w:cs="Times New Roman" w:eastAsia="Times New Roman" w:hint="default"/>
                <w:sz w:val="21"/>
                <w:szCs w:val="21"/>
              </w:rPr>
            </w:pPr>
            <w:r>
              <w:rPr>
                <w:rFonts w:ascii="Times New Roman"/>
                <w:sz w:val="21"/>
              </w:rPr>
              <w:t>32,137,957.73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363,410,144.18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352,293,987.97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7" w:right="0"/>
              <w:jc w:val="left"/>
              <w:rPr>
                <w:rFonts w:ascii="Times New Roman" w:hAnsi="Times New Roman" w:cs="Times New Roman" w:eastAsia="Times New Roman" w:hint="default"/>
                <w:sz w:val="21"/>
                <w:szCs w:val="21"/>
              </w:rPr>
            </w:pPr>
            <w:r>
              <w:rPr>
                <w:rFonts w:ascii="Times New Roman"/>
                <w:sz w:val="21"/>
              </w:rPr>
              <w:t>43,254,113.94</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19,961,335.52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19,961,335.52</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33,268.00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23,923,127.65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23,923,533.49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32,862.16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22,038.51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20,575,414.36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20,575,777.15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21,675.72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1,893,096.20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1,893,119.91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1,970.52</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9,235.26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1,454,617.09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1,454,636.43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9,215.92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18,674,040.25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18,674,040.25</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707,218.96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7,185,197.32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7,500,903.17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391,513.11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32,878,444.69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433,153,844.92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422,353,800.40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43,678,489.21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0"/>
          <w:pgSz w:w="11910" w:h="16840"/>
          <w:pgMar w:footer="1195" w:header="882" w:top="1120" w:bottom="1380" w:left="1060" w:right="1560"/>
          <w:pgNumType w:start="121"/>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7"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27,925.89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32,462,086.53</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32,457,746.76</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32,265.66</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2,992.52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2,087,186.88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2,087,223.62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2,955.78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30,918.41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34,549,273.41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34,544,970.38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35,221.44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24</w:t>
      </w:r>
      <w:r>
        <w:rPr/>
        <w:t>、</w:t>
      </w:r>
      <w:r>
        <w:rPr>
          <w:spacing w:val="-24"/>
        </w:rPr>
        <w:t> </w:t>
      </w:r>
      <w:r>
        <w:rPr/>
        <w:t>应交税费</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6,459,716.18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6,804,295.78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1,875,315.81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4,128,080.29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42,562,106.59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47,315,567.00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4,298,906.89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2,265,651.40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3,744,766.54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10,315,689.89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1,570,296.86</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745,484.41</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1,902,359.61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7,345,072.50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608,547.66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809,876.61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1,383,153.49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2,603,312.48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12,769.11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571,074.80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65,163,423.15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82,158,620.75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3"/>
        <w:spacing w:line="240" w:lineRule="auto"/>
        <w:ind w:right="-12"/>
        <w:jc w:val="left"/>
        <w:rPr>
          <w:b w:val="0"/>
          <w:bCs w:val="0"/>
        </w:rPr>
      </w:pPr>
      <w:r>
        <w:rPr>
          <w:rFonts w:ascii="宋体" w:hAnsi="宋体" w:cs="宋体" w:eastAsia="宋体" w:hint="default"/>
        </w:rPr>
        <w:t>25</w:t>
      </w:r>
      <w:r>
        <w:rPr/>
        <w:t>、</w:t>
      </w:r>
      <w:r>
        <w:rPr>
          <w:spacing w:val="-24"/>
        </w:rPr>
        <w:t> </w:t>
      </w:r>
      <w:r>
        <w:rPr/>
        <w:t>应付利息</w:t>
      </w:r>
      <w:r>
        <w:rPr>
          <w:b w:val="0"/>
          <w:bCs w:val="0"/>
        </w:rPr>
      </w:r>
    </w:p>
    <w:p>
      <w:pPr>
        <w:pStyle w:val="BodyText"/>
        <w:tabs>
          <w:tab w:pos="1059" w:val="left" w:leader="none"/>
        </w:tabs>
        <w:spacing w:line="240" w:lineRule="auto" w:before="58"/>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2"/>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7,149,051.87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6,181,790.51</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122,708.33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202,772.22</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0"/>
              <w:jc w:val="right"/>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7,271,760.20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6,384,562.73</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left="217" w:right="227"/>
        <w:jc w:val="left"/>
      </w:pPr>
      <w:r>
        <w:rPr>
          <w:spacing w:val="-5"/>
        </w:rPr>
        <w:t>注：因银行一般计算利息仅到每年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20</w:t>
      </w:r>
      <w:r>
        <w:rPr>
          <w:rFonts w:ascii="宋体" w:hAnsi="宋体" w:cs="宋体" w:eastAsia="宋体" w:hint="default"/>
          <w:spacing w:val="-48"/>
        </w:rPr>
        <w:t> </w:t>
      </w:r>
      <w:r>
        <w:rPr>
          <w:spacing w:val="-6"/>
        </w:rPr>
        <w:t>日，公司按权责发生制计提</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21</w:t>
      </w:r>
      <w:r>
        <w:rPr>
          <w:rFonts w:ascii="宋体" w:hAnsi="宋体" w:cs="宋体" w:eastAsia="宋体" w:hint="default"/>
          <w:spacing w:val="-50"/>
        </w:rPr>
        <w:t> </w:t>
      </w:r>
      <w:r>
        <w:rPr/>
        <w:t>日至</w:t>
      </w:r>
      <w:r>
        <w:rPr>
          <w:spacing w:val="-49"/>
        </w:rPr>
        <w:t> </w:t>
      </w:r>
      <w:r>
        <w:rPr>
          <w:rFonts w:ascii="宋体" w:hAnsi="宋体" w:cs="宋体" w:eastAsia="宋体" w:hint="default"/>
        </w:rPr>
        <w:t>31</w:t>
      </w:r>
      <w:r>
        <w:rPr>
          <w:rFonts w:ascii="宋体" w:hAnsi="宋体" w:cs="宋体" w:eastAsia="宋体" w:hint="default"/>
          <w:spacing w:val="-48"/>
        </w:rPr>
        <w:t> </w:t>
      </w:r>
      <w:r>
        <w:rPr/>
        <w:t>日的借款</w:t>
      </w:r>
      <w:r>
        <w:rPr>
          <w:spacing w:val="-103"/>
        </w:rPr>
        <w:t> </w:t>
      </w:r>
      <w:r>
        <w:rPr>
          <w:spacing w:val="-103"/>
        </w:rPr>
      </w:r>
      <w:r>
        <w:rPr/>
        <w:t>利息。</w:t>
      </w:r>
    </w:p>
    <w:p>
      <w:pPr>
        <w:spacing w:line="240" w:lineRule="auto" w:before="10"/>
        <w:rPr>
          <w:rFonts w:ascii="宋体" w:hAnsi="宋体" w:cs="宋体" w:eastAsia="宋体" w:hint="default"/>
          <w:sz w:val="18"/>
          <w:szCs w:val="18"/>
        </w:rPr>
      </w:pPr>
    </w:p>
    <w:p>
      <w:pPr>
        <w:pStyle w:val="BodyText"/>
        <w:spacing w:line="274" w:lineRule="exact"/>
        <w:ind w:left="217" w:right="2465"/>
        <w:jc w:val="left"/>
      </w:pPr>
      <w:r>
        <w:rPr/>
        <w:t>重要的已逾期未支付的利息情况：</w:t>
      </w:r>
    </w:p>
    <w:p>
      <w:pPr>
        <w:pStyle w:val="BodyText"/>
        <w:tabs>
          <w:tab w:pos="1059" w:val="left" w:leader="none"/>
        </w:tabs>
        <w:spacing w:line="290" w:lineRule="auto"/>
        <w:ind w:left="217" w:right="7384"/>
        <w:jc w:val="left"/>
      </w:pPr>
      <w:r>
        <w:rPr/>
        <w:t>□适用</w:t>
        <w:tab/>
      </w:r>
      <w:r>
        <w:rPr>
          <w:spacing w:val="-2"/>
        </w:rPr>
        <w:t>√不适用</w:t>
      </w:r>
      <w:r>
        <w:rPr>
          <w:spacing w:val="-99"/>
        </w:rPr>
        <w:t> </w:t>
      </w:r>
      <w:r>
        <w:rPr>
          <w:spacing w:val="-99"/>
        </w:rPr>
      </w:r>
      <w:r>
        <w:rPr/>
        <w:t>其他说明：</w:t>
      </w:r>
    </w:p>
    <w:p>
      <w:pPr>
        <w:pStyle w:val="BodyText"/>
        <w:tabs>
          <w:tab w:pos="1059" w:val="left" w:leader="none"/>
        </w:tabs>
        <w:spacing w:line="240" w:lineRule="auto" w:before="14"/>
        <w:ind w:left="217" w:right="2465"/>
        <w:jc w:val="left"/>
      </w:pPr>
      <w:r>
        <w:rPr/>
        <w:t>□适用</w:t>
        <w:tab/>
        <w:t>√不适用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26</w:t>
      </w:r>
      <w:r>
        <w:rPr/>
        <w:t>、</w:t>
      </w:r>
      <w:r>
        <w:rPr>
          <w:spacing w:val="-24"/>
        </w:rPr>
        <w:t> </w:t>
      </w:r>
      <w:r>
        <w:rPr/>
        <w:t>应付股利</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989,545.89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989,545.89</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划分为权益工具的优先股</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永</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989,545.89</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989,545.89</w:t>
            </w:r>
          </w:p>
        </w:tc>
      </w:tr>
    </w:tbl>
    <w:p>
      <w:pPr>
        <w:pStyle w:val="BodyText"/>
        <w:spacing w:line="247" w:lineRule="exact"/>
        <w:ind w:left="217" w:right="227"/>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年未支付的应付股利，应披露未支付原因：</w:t>
      </w:r>
    </w:p>
    <w:p>
      <w:pPr>
        <w:pStyle w:val="BodyText"/>
        <w:spacing w:line="265" w:lineRule="exact"/>
        <w:ind w:left="217" w:right="2465"/>
        <w:jc w:val="left"/>
      </w:pPr>
      <w:r>
        <w:rPr/>
        <w:t>子公司少数股东未领取。</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right="-17"/>
        <w:jc w:val="left"/>
        <w:rPr>
          <w:b w:val="0"/>
          <w:bCs w:val="0"/>
        </w:rPr>
      </w:pPr>
      <w:r>
        <w:rPr>
          <w:rFonts w:ascii="宋体" w:hAnsi="宋体" w:cs="宋体" w:eastAsia="宋体" w:hint="default"/>
        </w:rPr>
        <w:t>27</w:t>
      </w:r>
      <w:r>
        <w:rPr/>
        <w:t>、</w:t>
      </w:r>
      <w:r>
        <w:rPr>
          <w:spacing w:val="-24"/>
        </w:rPr>
        <w:t> </w:t>
      </w:r>
      <w:r>
        <w:rPr/>
        <w:t>其他应付款</w:t>
      </w:r>
      <w:r>
        <w:rPr>
          <w:b w:val="0"/>
          <w:bCs w:val="0"/>
        </w:rPr>
      </w:r>
    </w:p>
    <w:p>
      <w:pPr>
        <w:pStyle w:val="Heading3"/>
        <w:spacing w:line="240" w:lineRule="auto" w:before="58"/>
        <w:ind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1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分包单位押金或保证金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193,490,633.65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164,208,946.96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874,059,251.56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1,112,949,877.51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1,067,549,885.21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1,277,158,824.47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3"/>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17" w:space="28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宁波华宁建设开发有限公司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宁波市华宁投资有限公司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555"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宁波市江东区东郊街道宁江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股份经济合作社</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41,819,082.18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温州市中梁梦置业有限公司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41,077,078.00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55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宁波阿鲁亚德胜隔离开关有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280,896,160.18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4" w:lineRule="exact" w:before="36"/>
        <w:ind w:left="217" w:right="2465"/>
        <w:jc w:val="left"/>
      </w:pPr>
      <w:r>
        <w:rPr/>
        <w:t>其他说明</w:t>
      </w:r>
    </w:p>
    <w:p>
      <w:pPr>
        <w:pStyle w:val="BodyText"/>
        <w:spacing w:line="290"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28</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92" w:space="35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52,500,000.00</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52,500,000.00</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7" w:lineRule="exact"/>
        <w:ind w:left="21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245,229,277.66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137,093,979.06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245,229,277.66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137,093,979.06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30</w:t>
      </w:r>
      <w:r>
        <w:rPr/>
        <w:t>、</w:t>
      </w:r>
      <w:r>
        <w:rPr>
          <w:spacing w:val="-24"/>
        </w:rPr>
        <w:t> </w:t>
      </w:r>
      <w:r>
        <w:rPr/>
        <w:t>长期借款</w:t>
      </w:r>
      <w:r>
        <w:rPr>
          <w:b w:val="0"/>
          <w:bCs w:val="0"/>
        </w:rPr>
      </w:r>
    </w:p>
    <w:p>
      <w:pPr>
        <w:pStyle w:val="Heading3"/>
        <w:tabs>
          <w:tab w:pos="848" w:val="left" w:leader="none"/>
        </w:tabs>
        <w:spacing w:line="240" w:lineRule="auto" w:before="56"/>
        <w:ind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116" w:space="4406"/>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145,000,000.00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信托贷款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150,000,000.00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295,000,000.00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130,000,000.00</w:t>
            </w:r>
          </w:p>
        </w:tc>
      </w:tr>
    </w:tbl>
    <w:p>
      <w:pPr>
        <w:spacing w:line="240" w:lineRule="auto" w:before="2"/>
        <w:rPr>
          <w:rFonts w:ascii="宋体" w:hAnsi="宋体" w:cs="宋体" w:eastAsia="宋体" w:hint="default"/>
          <w:sz w:val="22"/>
          <w:szCs w:val="22"/>
        </w:rPr>
      </w:pPr>
    </w:p>
    <w:p>
      <w:pPr>
        <w:pStyle w:val="BodyText"/>
        <w:spacing w:line="274" w:lineRule="exact" w:before="36"/>
        <w:ind w:left="217" w:right="2465"/>
        <w:jc w:val="left"/>
      </w:pPr>
      <w:r>
        <w:rPr/>
        <w:t>其他说明，包括利率区间：</w:t>
      </w:r>
    </w:p>
    <w:p>
      <w:pPr>
        <w:pStyle w:val="BodyText"/>
        <w:tabs>
          <w:tab w:pos="1059" w:val="left" w:leader="none"/>
        </w:tabs>
        <w:spacing w:line="272" w:lineRule="exact"/>
        <w:ind w:left="217" w:right="2465"/>
        <w:jc w:val="left"/>
      </w:pPr>
      <w:r>
        <w:rPr/>
        <w:t>√适用</w:t>
        <w:tab/>
        <w:t>□不适用</w:t>
      </w:r>
    </w:p>
    <w:p>
      <w:pPr>
        <w:pStyle w:val="BodyText"/>
        <w:spacing w:line="273" w:lineRule="exact"/>
        <w:ind w:left="217" w:right="2465"/>
        <w:jc w:val="left"/>
      </w:pPr>
      <w:r>
        <w:rPr/>
        <w:t>保证借款利率区间为</w:t>
      </w:r>
      <w:r>
        <w:rPr>
          <w:spacing w:val="-57"/>
        </w:rPr>
        <w:t> </w:t>
      </w:r>
      <w:r>
        <w:rPr>
          <w:rFonts w:ascii="宋体" w:hAnsi="宋体" w:cs="宋体" w:eastAsia="宋体" w:hint="default"/>
        </w:rPr>
        <w:t>4.75%-5.51%</w:t>
      </w:r>
      <w:r>
        <w:rPr/>
        <w:t>，委托借款利率为</w:t>
      </w:r>
      <w:r>
        <w:rPr>
          <w:spacing w:val="-57"/>
        </w:rPr>
        <w:t> </w:t>
      </w:r>
      <w:r>
        <w:rPr>
          <w:rFonts w:ascii="宋体" w:hAnsi="宋体" w:cs="宋体" w:eastAsia="宋体" w:hint="default"/>
        </w:rPr>
        <w:t>4.90%</w:t>
      </w:r>
      <w:r>
        <w:rPr/>
        <w:t>。</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31</w:t>
      </w:r>
      <w:r>
        <w:rPr/>
        <w:t>、</w:t>
      </w:r>
      <w:r>
        <w:rPr>
          <w:spacing w:val="-23"/>
        </w:rPr>
        <w:t> </w:t>
      </w:r>
      <w:r>
        <w:rPr/>
        <w:t>长期应付职工薪酬</w:t>
      </w:r>
      <w:r>
        <w:rPr>
          <w:b w:val="0"/>
          <w:bCs w:val="0"/>
        </w:rPr>
      </w:r>
    </w:p>
    <w:p>
      <w:pPr>
        <w:pStyle w:val="BodyText"/>
        <w:spacing w:line="240" w:lineRule="auto" w:before="59"/>
        <w:ind w:left="217"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right="-19"/>
        <w:jc w:val="left"/>
        <w:rPr>
          <w:b w:val="0"/>
          <w:bCs w:val="0"/>
        </w:rPr>
      </w:pPr>
      <w:r>
        <w:rPr>
          <w:rFonts w:ascii="宋体" w:hAnsi="宋体" w:cs="宋体" w:eastAsia="宋体" w:hint="default"/>
        </w:rPr>
        <w:t>32</w:t>
      </w:r>
      <w:r>
        <w:rPr/>
        <w:t>、</w:t>
      </w:r>
      <w:r>
        <w:rPr>
          <w:spacing w:val="-24"/>
        </w:rPr>
        <w:t> </w:t>
      </w:r>
      <w:r>
        <w:rPr/>
        <w:t>专项应付款</w:t>
      </w:r>
      <w:r>
        <w:rPr>
          <w:b w:val="0"/>
          <w:bCs w:val="0"/>
        </w:rPr>
      </w:r>
    </w:p>
    <w:p>
      <w:pPr>
        <w:pStyle w:val="BodyText"/>
        <w:spacing w:line="240" w:lineRule="auto" w:before="56"/>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448"/>
        <w:gridCol w:w="1448"/>
        <w:gridCol w:w="1409"/>
        <w:gridCol w:w="1474"/>
        <w:gridCol w:w="1462"/>
        <w:gridCol w:w="1657"/>
      </w:tblGrid>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政府拨付的专</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5" w:right="0"/>
              <w:jc w:val="left"/>
              <w:rPr>
                <w:rFonts w:ascii="Times New Roman" w:hAnsi="Times New Roman" w:cs="Times New Roman" w:eastAsia="Times New Roman" w:hint="default"/>
                <w:sz w:val="21"/>
                <w:szCs w:val="21"/>
              </w:rPr>
            </w:pPr>
            <w:r>
              <w:rPr>
                <w:rFonts w:ascii="Times New Roman"/>
                <w:sz w:val="21"/>
              </w:rPr>
              <w:t>1,400,000.00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1" w:right="0"/>
              <w:jc w:val="left"/>
              <w:rPr>
                <w:rFonts w:ascii="Times New Roman" w:hAnsi="Times New Roman" w:cs="Times New Roman" w:eastAsia="Times New Roman" w:hint="default"/>
                <w:sz w:val="21"/>
                <w:szCs w:val="21"/>
              </w:rPr>
            </w:pPr>
            <w:r>
              <w:rPr>
                <w:rFonts w:ascii="Times New Roman"/>
                <w:sz w:val="21"/>
              </w:rPr>
              <w:t>1,400,000.00</w:t>
            </w: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5" w:right="0"/>
              <w:jc w:val="left"/>
              <w:rPr>
                <w:rFonts w:ascii="Times New Roman" w:hAnsi="Times New Roman" w:cs="Times New Roman" w:eastAsia="Times New Roman" w:hint="default"/>
                <w:sz w:val="21"/>
                <w:szCs w:val="21"/>
              </w:rPr>
            </w:pPr>
            <w:r>
              <w:rPr>
                <w:rFonts w:ascii="Times New Roman"/>
                <w:sz w:val="21"/>
              </w:rPr>
              <w:t>1,400,000.00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1" w:right="0"/>
              <w:jc w:val="left"/>
              <w:rPr>
                <w:rFonts w:ascii="Times New Roman" w:hAnsi="Times New Roman" w:cs="Times New Roman" w:eastAsia="Times New Roman" w:hint="default"/>
                <w:sz w:val="21"/>
                <w:szCs w:val="21"/>
              </w:rPr>
            </w:pPr>
            <w:r>
              <w:rPr>
                <w:rFonts w:ascii="Times New Roman"/>
                <w:sz w:val="21"/>
              </w:rPr>
              <w:t>1,400,000.00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26"/>
        <w:ind w:left="217" w:right="0"/>
        <w:jc w:val="both"/>
      </w:pPr>
      <w:r>
        <w:rPr/>
        <w:t>其他说明：</w:t>
      </w:r>
    </w:p>
    <w:p>
      <w:pPr>
        <w:pStyle w:val="BodyText"/>
        <w:spacing w:line="272" w:lineRule="exact" w:before="87"/>
        <w:ind w:left="217" w:right="229"/>
        <w:jc w:val="both"/>
      </w:pPr>
      <w:r>
        <w:rPr>
          <w:spacing w:val="-4"/>
        </w:rPr>
        <w:t>注：专项应付款中，</w:t>
      </w:r>
      <w:r>
        <w:rPr>
          <w:rFonts w:ascii="Times New Roman" w:hAnsi="Times New Roman" w:cs="Times New Roman" w:eastAsia="Times New Roman" w:hint="default"/>
          <w:spacing w:val="-4"/>
        </w:rPr>
        <w:t>40</w:t>
      </w:r>
      <w:r>
        <w:rPr>
          <w:rFonts w:ascii="Times New Roman" w:hAnsi="Times New Roman" w:cs="Times New Roman" w:eastAsia="Times New Roman" w:hint="default"/>
        </w:rPr>
        <w:t> </w:t>
      </w:r>
      <w:r>
        <w:rPr>
          <w:spacing w:val="-2"/>
        </w:rPr>
        <w:t>万元系本公司收到的由宁波市财政局根据宁波市财政局、宁波市总部经济</w:t>
      </w:r>
      <w:r>
        <w:rPr>
          <w:spacing w:val="-98"/>
        </w:rPr>
        <w:t> </w:t>
      </w:r>
      <w:r>
        <w:rPr>
          <w:spacing w:val="-98"/>
        </w:rPr>
      </w:r>
      <w:r>
        <w:rPr/>
        <w:t>发展领导小组办公室联合下发的甬财政工【</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1378 </w:t>
      </w:r>
      <w:r>
        <w:rPr/>
        <w:t>号文件《关于下达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年宁波市优势总</w:t>
      </w:r>
      <w:r>
        <w:rPr>
          <w:w w:val="100"/>
        </w:rPr>
        <w:t> </w:t>
      </w:r>
      <w:r>
        <w:rPr/>
        <w:t>部企业激励资金的通知》拨付本公司专款专用的激励资金；</w:t>
      </w:r>
      <w:r>
        <w:rPr>
          <w:rFonts w:ascii="Times New Roman" w:hAnsi="Times New Roman" w:cs="Times New Roman" w:eastAsia="Times New Roman" w:hint="default"/>
        </w:rPr>
        <w:t>100 </w:t>
      </w:r>
      <w:r>
        <w:rPr>
          <w:rFonts w:ascii="Times New Roman" w:hAnsi="Times New Roman" w:cs="Times New Roman" w:eastAsia="Times New Roman" w:hint="default"/>
          <w:spacing w:val="8"/>
        </w:rPr>
        <w:t> </w:t>
      </w:r>
      <w:r>
        <w:rPr/>
        <w:t>万元系本公司收到的由宁波市财</w:t>
      </w:r>
    </w:p>
    <w:p>
      <w:pPr>
        <w:spacing w:after="0" w:line="272" w:lineRule="exact"/>
        <w:jc w:val="both"/>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81" w:lineRule="exact" w:before="36"/>
        <w:ind w:left="217" w:right="0"/>
        <w:jc w:val="left"/>
      </w:pPr>
      <w:r>
        <w:rPr>
          <w:spacing w:val="-3"/>
        </w:rPr>
        <w:t>政局、宁波市总部经济发展领导小组办公室联合下发的甬财政工【</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1543 </w:t>
      </w:r>
      <w:r>
        <w:rPr>
          <w:rFonts w:ascii="Times New Roman" w:hAnsi="Times New Roman" w:cs="Times New Roman" w:eastAsia="Times New Roman" w:hint="default"/>
          <w:spacing w:val="37"/>
        </w:rPr>
        <w:t> </w:t>
      </w:r>
      <w:r>
        <w:rPr>
          <w:spacing w:val="-3"/>
        </w:rPr>
        <w:t>号文件《关于下达</w:t>
      </w:r>
    </w:p>
    <w:p>
      <w:pPr>
        <w:pStyle w:val="BodyText"/>
        <w:spacing w:line="281" w:lineRule="exact"/>
        <w:ind w:left="217" w:right="227"/>
        <w:jc w:val="left"/>
      </w:pPr>
      <w:r>
        <w:rPr>
          <w:rFonts w:ascii="Times New Roman" w:hAnsi="Times New Roman" w:cs="Times New Roman" w:eastAsia="Times New Roman" w:hint="default"/>
        </w:rPr>
        <w:t>2013 </w:t>
      </w:r>
      <w:r>
        <w:rPr>
          <w:rFonts w:ascii="Times New Roman" w:hAnsi="Times New Roman" w:cs="Times New Roman" w:eastAsia="Times New Roman" w:hint="default"/>
          <w:spacing w:val="6"/>
        </w:rPr>
        <w:t> </w:t>
      </w:r>
      <w:r>
        <w:rPr>
          <w:spacing w:val="-2"/>
        </w:rPr>
        <w:t>年宁波市优势总部企业激励资金的通知》拨付本公司专款专用的激励资金。</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560"/>
        </w:sectPr>
      </w:pPr>
    </w:p>
    <w:p>
      <w:pPr>
        <w:spacing w:line="290" w:lineRule="auto" w:before="36"/>
        <w:ind w:left="217" w:right="315"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59" w:val="left" w:leader="none"/>
        </w:tabs>
        <w:spacing w:line="229"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03"/>
        <w:gridCol w:w="1443"/>
        <w:gridCol w:w="1457"/>
        <w:gridCol w:w="1440"/>
        <w:gridCol w:w="1486"/>
        <w:gridCol w:w="1568"/>
      </w:tblGrid>
      <w:tr>
        <w:trPr>
          <w:trHeight w:val="346"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宁波市政集团</w:t>
            </w:r>
          </w:p>
          <w:p>
            <w:pPr>
              <w:pStyle w:val="TableParagraph"/>
              <w:spacing w:line="272" w:lineRule="exact" w:before="27"/>
              <w:ind w:left="26" w:right="201"/>
              <w:jc w:val="left"/>
              <w:rPr>
                <w:rFonts w:ascii="宋体" w:hAnsi="宋体" w:cs="宋体" w:eastAsia="宋体" w:hint="default"/>
                <w:sz w:val="21"/>
                <w:szCs w:val="21"/>
              </w:rPr>
            </w:pPr>
            <w:r>
              <w:rPr>
                <w:rFonts w:ascii="宋体" w:hAnsi="宋体" w:cs="宋体" w:eastAsia="宋体" w:hint="default"/>
                <w:sz w:val="21"/>
                <w:szCs w:val="21"/>
              </w:rPr>
              <w:t>本部土地拆迁</w:t>
            </w:r>
            <w:r>
              <w:rPr>
                <w:rFonts w:ascii="宋体" w:hAnsi="宋体" w:cs="宋体" w:eastAsia="宋体" w:hint="default"/>
                <w:w w:val="100"/>
                <w:sz w:val="21"/>
                <w:szCs w:val="21"/>
              </w:rPr>
              <w:t> </w:t>
            </w:r>
            <w:r>
              <w:rPr>
                <w:rFonts w:ascii="宋体" w:hAnsi="宋体" w:cs="宋体" w:eastAsia="宋体" w:hint="default"/>
                <w:sz w:val="21"/>
                <w:szCs w:val="21"/>
              </w:rPr>
              <w:t>补偿</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28,698,284.84</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769,832.61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27,928,452.23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与资产相关的拆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迁补偿款</w:t>
            </w:r>
          </w:p>
        </w:tc>
      </w:tr>
      <w:tr>
        <w:trPr>
          <w:trHeight w:val="284"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28,698,284.84</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769,832.61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27,928,452.23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BodyText"/>
        <w:spacing w:line="240" w:lineRule="auto" w:before="36"/>
        <w:ind w:left="217" w:right="0"/>
        <w:jc w:val="left"/>
      </w:pPr>
      <w:r>
        <w:rPr>
          <w:spacing w:val="-2"/>
        </w:rPr>
        <w:t>涉及政府补助的项目：</w:t>
      </w:r>
    </w:p>
    <w:p>
      <w:pPr>
        <w:pStyle w:val="BodyText"/>
        <w:spacing w:line="240" w:lineRule="auto" w:before="56"/>
        <w:ind w:left="2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8" w:val="left" w:leader="none"/>
        </w:tabs>
        <w:spacing w:line="240" w:lineRule="auto" w:before="177"/>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20" w:space="4201"/>
            <w:col w:w="2769"/>
          </w:cols>
        </w:sectPr>
      </w:pPr>
    </w:p>
    <w:p>
      <w:pPr>
        <w:spacing w:line="240" w:lineRule="auto" w:before="12"/>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1131"/>
        <w:gridCol w:w="1270"/>
        <w:gridCol w:w="1265"/>
        <w:gridCol w:w="1378"/>
        <w:gridCol w:w="1162"/>
        <w:gridCol w:w="1267"/>
        <w:gridCol w:w="1424"/>
      </w:tblGrid>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2"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宁波市政集</w:t>
            </w:r>
          </w:p>
          <w:p>
            <w:pPr>
              <w:pStyle w:val="TableParagraph"/>
              <w:spacing w:line="272" w:lineRule="exact" w:before="27"/>
              <w:ind w:left="26" w:right="20"/>
              <w:jc w:val="left"/>
              <w:rPr>
                <w:rFonts w:ascii="宋体" w:hAnsi="宋体" w:cs="宋体" w:eastAsia="宋体" w:hint="default"/>
                <w:sz w:val="21"/>
                <w:szCs w:val="21"/>
              </w:rPr>
            </w:pPr>
            <w:r>
              <w:rPr>
                <w:rFonts w:ascii="宋体" w:hAnsi="宋体" w:cs="宋体" w:eastAsia="宋体" w:hint="default"/>
                <w:spacing w:val="2"/>
                <w:sz w:val="21"/>
                <w:szCs w:val="21"/>
              </w:rPr>
              <w:t>团本部土地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拆迁补偿</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28,698,284.84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769,832.61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27,928,452.23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1"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28,698,284.84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769,832.61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27,928,452.23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7" w:lineRule="exact"/>
        <w:ind w:left="217" w:right="0"/>
        <w:jc w:val="left"/>
      </w:pPr>
      <w:r>
        <w:rPr/>
        <w:t>注</w:t>
      </w:r>
      <w:r>
        <w:rPr>
          <w:spacing w:val="-45"/>
        </w:rPr>
        <w:t> </w:t>
      </w:r>
      <w:r>
        <w:rPr>
          <w:rFonts w:ascii="Times New Roman" w:hAnsi="Times New Roman" w:cs="Times New Roman" w:eastAsia="Times New Roman" w:hint="default"/>
          <w:spacing w:val="-5"/>
        </w:rPr>
        <w:t>1</w:t>
      </w:r>
      <w:r>
        <w:rPr>
          <w:spacing w:val="-5"/>
        </w:rPr>
        <w:t>：本公司子公司宁波市政集团本部于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年收到拆迁补偿款</w:t>
      </w:r>
      <w:r>
        <w:rPr>
          <w:spacing w:val="-45"/>
        </w:rPr>
        <w:t> </w:t>
      </w:r>
      <w:r>
        <w:rPr>
          <w:rFonts w:ascii="Times New Roman" w:hAnsi="Times New Roman" w:cs="Times New Roman" w:eastAsia="Times New Roman" w:hint="default"/>
        </w:rPr>
        <w:t>41,825,944.00</w:t>
      </w:r>
      <w:r>
        <w:rPr>
          <w:rFonts w:ascii="Times New Roman" w:hAnsi="Times New Roman" w:cs="Times New Roman" w:eastAsia="Times New Roman" w:hint="default"/>
          <w:spacing w:val="5"/>
        </w:rPr>
        <w:t> </w:t>
      </w:r>
      <w:r>
        <w:rPr>
          <w:spacing w:val="-7"/>
        </w:rPr>
        <w:t>元，收到的补偿款</w:t>
      </w:r>
    </w:p>
    <w:p>
      <w:pPr>
        <w:pStyle w:val="BodyText"/>
        <w:spacing w:line="272" w:lineRule="exact"/>
        <w:ind w:left="217" w:right="0"/>
        <w:jc w:val="left"/>
        <w:rPr>
          <w:rFonts w:ascii="Times New Roman" w:hAnsi="Times New Roman" w:cs="Times New Roman" w:eastAsia="Times New Roman" w:hint="default"/>
        </w:rPr>
      </w:pPr>
      <w:r>
        <w:rPr/>
        <w:t>中用于弥补拆迁损失的金额为</w:t>
      </w:r>
      <w:r>
        <w:rPr>
          <w:spacing w:val="-48"/>
        </w:rPr>
        <w:t> </w:t>
      </w:r>
      <w:r>
        <w:rPr>
          <w:rFonts w:ascii="Times New Roman" w:hAnsi="Times New Roman" w:cs="Times New Roman" w:eastAsia="Times New Roman" w:hint="default"/>
        </w:rPr>
        <w:t>11,318,078.60</w:t>
      </w:r>
      <w:r>
        <w:rPr>
          <w:rFonts w:ascii="Times New Roman" w:hAnsi="Times New Roman" w:cs="Times New Roman" w:eastAsia="Times New Roman" w:hint="default"/>
          <w:spacing w:val="4"/>
        </w:rPr>
        <w:t> </w:t>
      </w:r>
      <w:r>
        <w:rPr>
          <w:spacing w:val="-4"/>
        </w:rPr>
        <w:t>元，用于补偿拆迁后新建资产的金额为</w:t>
      </w:r>
      <w:r>
        <w:rPr>
          <w:spacing w:val="-44"/>
        </w:rPr>
        <w:t> </w:t>
      </w:r>
      <w:r>
        <w:rPr>
          <w:rFonts w:ascii="Times New Roman" w:hAnsi="Times New Roman" w:cs="Times New Roman" w:eastAsia="Times New Roman" w:hint="default"/>
        </w:rPr>
        <w:t>30,507,865.40</w:t>
      </w:r>
    </w:p>
    <w:p>
      <w:pPr>
        <w:pStyle w:val="BodyText"/>
        <w:spacing w:line="282" w:lineRule="exact"/>
        <w:ind w:left="217" w:right="227"/>
        <w:jc w:val="left"/>
      </w:pPr>
      <w:r>
        <w:rPr/>
        <w:t>元，计入递延收益并按照资产使用年限分摊。本年分摊递延收益</w:t>
      </w:r>
      <w:r>
        <w:rPr>
          <w:spacing w:val="-54"/>
        </w:rPr>
        <w:t> </w:t>
      </w:r>
      <w:r>
        <w:rPr>
          <w:rFonts w:ascii="Times New Roman" w:hAnsi="Times New Roman" w:cs="Times New Roman" w:eastAsia="Times New Roman" w:hint="default"/>
        </w:rPr>
        <w:t>769,832.61</w:t>
      </w:r>
      <w:r>
        <w:rPr>
          <w:rFonts w:ascii="Times New Roman" w:hAnsi="Times New Roman" w:cs="Times New Roman" w:eastAsia="Times New Roman" w:hint="default"/>
          <w:spacing w:val="-4"/>
        </w:rPr>
        <w:t> </w:t>
      </w:r>
      <w:r>
        <w:rPr/>
        <w:t>元。</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34</w:t>
      </w:r>
      <w:r>
        <w:rPr/>
        <w:t>、</w:t>
      </w:r>
      <w:r>
        <w:rPr>
          <w:spacing w:val="-25"/>
        </w:rPr>
        <w:t> </w:t>
      </w:r>
      <w:r>
        <w:rPr/>
        <w:t>股本</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92"/>
        <w:gridCol w:w="1531"/>
        <w:gridCol w:w="937"/>
        <w:gridCol w:w="936"/>
        <w:gridCol w:w="1008"/>
        <w:gridCol w:w="1022"/>
        <w:gridCol w:w="994"/>
        <w:gridCol w:w="1529"/>
      </w:tblGrid>
      <w:tr>
        <w:trPr>
          <w:trHeight w:val="283" w:hRule="exact"/>
        </w:trPr>
        <w:tc>
          <w:tcPr>
            <w:tcW w:w="1092" w:type="dxa"/>
            <w:vMerge w:val="restart"/>
            <w:tcBorders>
              <w:top w:val="single" w:sz="4" w:space="0" w:color="000000"/>
              <w:left w:val="single" w:sz="4" w:space="0" w:color="000000"/>
              <w:right w:val="single" w:sz="4" w:space="0" w:color="000000"/>
            </w:tcBorders>
          </w:tcPr>
          <w:p>
            <w:pPr/>
          </w:p>
        </w:tc>
        <w:tc>
          <w:tcPr>
            <w:tcW w:w="15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33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92" w:type="dxa"/>
            <w:vMerge/>
            <w:tcBorders>
              <w:left w:val="single" w:sz="4" w:space="0" w:color="000000"/>
              <w:bottom w:val="single" w:sz="4" w:space="0" w:color="000000"/>
              <w:right w:val="single" w:sz="4" w:space="0" w:color="000000"/>
            </w:tcBorders>
          </w:tcPr>
          <w:p>
            <w:pPr/>
          </w:p>
        </w:tc>
        <w:tc>
          <w:tcPr>
            <w:tcW w:w="1531" w:type="dxa"/>
            <w:vMerge/>
            <w:tcBorders>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5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4" w:space="0" w:color="000000"/>
              <w:bottom w:val="single" w:sz="4" w:space="0" w:color="000000"/>
              <w:right w:val="single" w:sz="4" w:space="0" w:color="000000"/>
            </w:tcBorders>
          </w:tcPr>
          <w:p>
            <w:pP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976,080,000.00</w:t>
            </w: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976,080,000.00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35</w:t>
      </w:r>
      <w:r>
        <w:rPr/>
        <w:t>、</w:t>
      </w:r>
      <w:r>
        <w:rPr>
          <w:spacing w:val="-24"/>
        </w:rPr>
        <w:t> </w:t>
      </w:r>
      <w:r>
        <w:rPr/>
        <w:t>资本公积</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9" w:right="0"/>
              <w:jc w:val="left"/>
              <w:rPr>
                <w:rFonts w:ascii="Times New Roman" w:hAnsi="Times New Roman" w:cs="Times New Roman" w:eastAsia="Times New Roman" w:hint="default"/>
                <w:sz w:val="21"/>
                <w:szCs w:val="21"/>
              </w:rPr>
            </w:pPr>
            <w:r>
              <w:rPr>
                <w:rFonts w:ascii="Times New Roman"/>
                <w:sz w:val="21"/>
              </w:rPr>
              <w:t>515,771,014.05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91,914.35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6" w:right="0"/>
              <w:jc w:val="left"/>
              <w:rPr>
                <w:rFonts w:ascii="Times New Roman" w:hAnsi="Times New Roman" w:cs="Times New Roman" w:eastAsia="Times New Roman" w:hint="default"/>
                <w:sz w:val="21"/>
                <w:szCs w:val="21"/>
              </w:rPr>
            </w:pPr>
            <w:r>
              <w:rPr>
                <w:rFonts w:ascii="Times New Roman"/>
                <w:sz w:val="21"/>
              </w:rPr>
              <w:t>515,679,099.70</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39" w:right="0"/>
              <w:jc w:val="left"/>
              <w:rPr>
                <w:rFonts w:ascii="Times New Roman" w:hAnsi="Times New Roman" w:cs="Times New Roman" w:eastAsia="Times New Roman" w:hint="default"/>
                <w:sz w:val="21"/>
                <w:szCs w:val="21"/>
              </w:rPr>
            </w:pPr>
            <w:r>
              <w:rPr>
                <w:rFonts w:ascii="Times New Roman"/>
                <w:sz w:val="21"/>
              </w:rPr>
              <w:t>515,771,014.05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91,914.35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56" w:right="0"/>
              <w:jc w:val="left"/>
              <w:rPr>
                <w:rFonts w:ascii="Times New Roman" w:hAnsi="Times New Roman" w:cs="Times New Roman" w:eastAsia="Times New Roman" w:hint="default"/>
                <w:sz w:val="21"/>
                <w:szCs w:val="21"/>
              </w:rPr>
            </w:pPr>
            <w:r>
              <w:rPr>
                <w:rFonts w:ascii="Times New Roman"/>
                <w:sz w:val="21"/>
              </w:rPr>
              <w:t>515,679,099.70</w:t>
            </w:r>
          </w:p>
        </w:tc>
      </w:tr>
    </w:tbl>
    <w:p>
      <w:pPr>
        <w:pStyle w:val="BodyText"/>
        <w:spacing w:line="240" w:lineRule="exact"/>
        <w:ind w:left="217" w:right="0"/>
        <w:jc w:val="both"/>
      </w:pPr>
      <w:r>
        <w:rPr/>
        <w:t>其他说明，包括本期增减变动情况、变动原因说明：</w:t>
      </w:r>
    </w:p>
    <w:p>
      <w:pPr>
        <w:pStyle w:val="BodyText"/>
        <w:spacing w:line="281" w:lineRule="exact"/>
        <w:ind w:left="217" w:right="0"/>
        <w:jc w:val="both"/>
      </w:pPr>
      <w:r>
        <w:rPr>
          <w:w w:val="100"/>
        </w:rPr>
        <w:t>注</w:t>
      </w:r>
      <w:r>
        <w:rPr>
          <w:spacing w:val="-32"/>
          <w:w w:val="100"/>
        </w:rPr>
        <w:t>：</w:t>
      </w:r>
      <w:r>
        <w:rPr>
          <w:spacing w:val="-3"/>
          <w:w w:val="100"/>
        </w:rPr>
        <w:t>本</w:t>
      </w:r>
      <w:r>
        <w:rPr>
          <w:w w:val="100"/>
        </w:rPr>
        <w:t>次</w:t>
      </w:r>
      <w:r>
        <w:rPr>
          <w:spacing w:val="-3"/>
          <w:w w:val="100"/>
        </w:rPr>
        <w:t>资</w:t>
      </w:r>
      <w:r>
        <w:rPr>
          <w:w w:val="100"/>
        </w:rPr>
        <w:t>本</w:t>
      </w:r>
      <w:r>
        <w:rPr>
          <w:spacing w:val="-3"/>
          <w:w w:val="100"/>
        </w:rPr>
        <w:t>公</w:t>
      </w:r>
      <w:r>
        <w:rPr>
          <w:w w:val="100"/>
        </w:rPr>
        <w:t>积</w:t>
      </w:r>
      <w:r>
        <w:rPr>
          <w:spacing w:val="-3"/>
          <w:w w:val="100"/>
        </w:rPr>
        <w:t>减</w:t>
      </w:r>
      <w:r>
        <w:rPr>
          <w:w w:val="100"/>
        </w:rPr>
        <w:t>少</w:t>
      </w:r>
      <w:r>
        <w:rPr>
          <w:spacing w:val="-3"/>
          <w:w w:val="100"/>
        </w:rPr>
        <w:t>原</w:t>
      </w:r>
      <w:r>
        <w:rPr>
          <w:w w:val="100"/>
        </w:rPr>
        <w:t>因主</w:t>
      </w:r>
      <w:r>
        <w:rPr>
          <w:spacing w:val="-3"/>
          <w:w w:val="100"/>
        </w:rPr>
        <w:t>要</w:t>
      </w:r>
      <w:r>
        <w:rPr>
          <w:w w:val="100"/>
        </w:rPr>
        <w:t>系</w:t>
      </w:r>
      <w:r>
        <w:rPr>
          <w:spacing w:val="-137"/>
          <w:w w:val="100"/>
        </w:rPr>
        <w:t>：</w:t>
      </w:r>
      <w:r>
        <w:rPr>
          <w:spacing w:val="-3"/>
          <w:w w:val="100"/>
        </w:rPr>
        <w:t>（</w:t>
      </w:r>
      <w:r>
        <w:rPr>
          <w:rFonts w:ascii="Times New Roman" w:hAnsi="Times New Roman" w:cs="Times New Roman" w:eastAsia="Times New Roman" w:hint="default"/>
          <w:w w:val="100"/>
        </w:rPr>
        <w:t>1</w:t>
      </w:r>
      <w:r>
        <w:rPr>
          <w:spacing w:val="-34"/>
          <w:w w:val="100"/>
        </w:rPr>
        <w:t>）</w:t>
      </w:r>
      <w:r>
        <w:rPr>
          <w:w w:val="100"/>
        </w:rPr>
        <w:t>根据</w:t>
      </w:r>
      <w:r>
        <w:rPr>
          <w:spacing w:val="-3"/>
          <w:w w:val="100"/>
        </w:rPr>
        <w:t>浙江</w:t>
      </w:r>
      <w:r>
        <w:rPr>
          <w:w w:val="100"/>
        </w:rPr>
        <w:t>广天</w:t>
      </w:r>
      <w:r>
        <w:rPr>
          <w:spacing w:val="-3"/>
          <w:w w:val="100"/>
        </w:rPr>
        <w:t>构</w:t>
      </w:r>
      <w:r>
        <w:rPr>
          <w:w w:val="100"/>
        </w:rPr>
        <w:t>件</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3"/>
        </w:rPr>
        <w:t> </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spacing w:val="-3"/>
          <w:w w:val="100"/>
        </w:rPr>
        <w:t>年</w:t>
      </w:r>
      <w:r>
        <w:rPr>
          <w:w w:val="100"/>
        </w:rPr>
        <w:t>度</w:t>
      </w:r>
      <w:r>
        <w:rPr>
          <w:spacing w:val="-3"/>
          <w:w w:val="100"/>
        </w:rPr>
        <w:t>第</w:t>
      </w:r>
      <w:r>
        <w:rPr>
          <w:w w:val="100"/>
        </w:rPr>
        <w:t>一</w:t>
      </w:r>
      <w:r>
        <w:rPr>
          <w:spacing w:val="-3"/>
          <w:w w:val="100"/>
        </w:rPr>
        <w:t>次</w:t>
      </w:r>
      <w:r>
        <w:rPr>
          <w:w w:val="100"/>
        </w:rPr>
        <w:t>股</w:t>
      </w:r>
      <w:r>
        <w:rPr>
          <w:spacing w:val="-3"/>
          <w:w w:val="100"/>
        </w:rPr>
        <w:t>东</w:t>
      </w:r>
      <w:r>
        <w:rPr>
          <w:w w:val="100"/>
        </w:rPr>
        <w:t>大</w:t>
      </w:r>
    </w:p>
    <w:p>
      <w:pPr>
        <w:pStyle w:val="BodyText"/>
        <w:spacing w:line="225" w:lineRule="auto" w:before="5"/>
        <w:ind w:left="217" w:right="228"/>
        <w:jc w:val="both"/>
      </w:pPr>
      <w:r>
        <w:rPr>
          <w:spacing w:val="-4"/>
        </w:rPr>
        <w:t>会决议，公司以</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股向原股东增发新股，宁波建工本次向广天构件增资</w:t>
      </w:r>
      <w:r>
        <w:rPr>
          <w:spacing w:val="-52"/>
        </w:rPr>
        <w:t> </w:t>
      </w:r>
      <w:r>
        <w:rPr>
          <w:rFonts w:ascii="Times New Roman" w:hAnsi="Times New Roman" w:cs="Times New Roman" w:eastAsia="Times New Roman" w:hint="default"/>
        </w:rPr>
        <w:t>8,280.00</w:t>
      </w:r>
      <w:r>
        <w:rPr>
          <w:rFonts w:ascii="Times New Roman" w:hAnsi="Times New Roman" w:cs="Times New Roman" w:eastAsia="Times New Roman" w:hint="default"/>
          <w:spacing w:val="-3"/>
        </w:rPr>
        <w:t> </w:t>
      </w:r>
      <w:r>
        <w:rPr>
          <w:spacing w:val="-4"/>
        </w:rPr>
        <w:t>万元，增资后</w:t>
      </w:r>
      <w:r>
        <w:rPr>
          <w:w w:val="100"/>
        </w:rPr>
        <w:t> </w:t>
      </w:r>
      <w:r>
        <w:rPr>
          <w:spacing w:val="2"/>
        </w:rPr>
        <w:t>持股比例由</w:t>
      </w:r>
      <w:r>
        <w:rPr>
          <w:spacing w:val="41"/>
        </w:rPr>
        <w:t> </w:t>
      </w:r>
      <w:r>
        <w:rPr>
          <w:rFonts w:ascii="Times New Roman" w:hAnsi="Times New Roman" w:cs="Times New Roman" w:eastAsia="Times New Roman" w:hint="default"/>
        </w:rPr>
        <w:t>60.69%</w:t>
      </w:r>
      <w:r>
        <w:rPr/>
        <w:t>上升至</w:t>
      </w:r>
      <w:r>
        <w:rPr>
          <w:spacing w:val="41"/>
        </w:rPr>
        <w:t> </w:t>
      </w:r>
      <w:r>
        <w:rPr>
          <w:rFonts w:ascii="Times New Roman" w:hAnsi="Times New Roman" w:cs="Times New Roman" w:eastAsia="Times New Roman" w:hint="default"/>
          <w:spacing w:val="2"/>
        </w:rPr>
        <w:t>74.77%</w:t>
      </w:r>
      <w:r>
        <w:rPr>
          <w:spacing w:val="2"/>
        </w:rPr>
        <w:t>，投资成本与应享有的净资产权益之间的差额调增资本公积</w:t>
      </w:r>
      <w:r>
        <w:rPr>
          <w:spacing w:val="-95"/>
        </w:rPr>
        <w:t> </w:t>
      </w:r>
      <w:r>
        <w:rPr>
          <w:spacing w:val="-95"/>
        </w:rPr>
      </w:r>
      <w:r>
        <w:rPr>
          <w:rFonts w:ascii="Times New Roman" w:hAnsi="Times New Roman" w:cs="Times New Roman" w:eastAsia="Times New Roman" w:hint="default"/>
          <w:spacing w:val="-1"/>
          <w:w w:val="100"/>
        </w:rPr>
        <w:t>2,242,608.13</w:t>
      </w:r>
      <w:r>
        <w:rPr>
          <w:rFonts w:ascii="Times New Roman" w:hAnsi="Times New Roman" w:cs="Times New Roman" w:eastAsia="Times New Roman" w:hint="default"/>
          <w:w w:val="100"/>
        </w:rPr>
        <w:t> </w:t>
      </w:r>
      <w:r>
        <w:rPr>
          <w:spacing w:val="-5"/>
          <w:w w:val="100"/>
        </w:rPr>
        <w:t>元；（</w:t>
      </w:r>
      <w:r>
        <w:rPr>
          <w:rFonts w:ascii="Times New Roman" w:hAnsi="Times New Roman" w:cs="Times New Roman" w:eastAsia="Times New Roman" w:hint="default"/>
          <w:spacing w:val="-5"/>
          <w:w w:val="100"/>
        </w:rPr>
        <w:t>2</w:t>
      </w:r>
      <w:r>
        <w:rPr>
          <w:spacing w:val="-5"/>
          <w:w w:val="100"/>
        </w:rPr>
        <w:t>）根据上海雍胜投资管理有限公司股权转让协议，公司以</w:t>
      </w:r>
      <w:r>
        <w:rPr>
          <w:w w:val="100"/>
        </w:rPr>
        <w:t> </w:t>
      </w:r>
      <w:r>
        <w:rPr>
          <w:rFonts w:ascii="Times New Roman" w:hAnsi="Times New Roman" w:cs="Times New Roman" w:eastAsia="Times New Roman" w:hint="default"/>
          <w:w w:val="100"/>
        </w:rPr>
        <w:t>515.90</w:t>
      </w:r>
      <w:r>
        <w:rPr>
          <w:rFonts w:ascii="Times New Roman" w:hAnsi="Times New Roman" w:cs="Times New Roman" w:eastAsia="Times New Roman" w:hint="default"/>
          <w:spacing w:val="17"/>
          <w:w w:val="100"/>
        </w:rPr>
        <w:t> </w:t>
      </w:r>
      <w:r>
        <w:rPr>
          <w:spacing w:val="-2"/>
          <w:w w:val="100"/>
        </w:rPr>
        <w:t>万元受让少</w:t>
      </w:r>
    </w:p>
    <w:p>
      <w:pPr>
        <w:spacing w:after="0" w:line="225" w:lineRule="auto"/>
        <w:jc w:val="both"/>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left="137" w:right="149"/>
        <w:jc w:val="both"/>
      </w:pPr>
      <w:r>
        <w:rPr/>
        <w:t>数股东林海、游克合计持有的上海雍盛</w:t>
      </w:r>
      <w:r>
        <w:rPr>
          <w:spacing w:val="-12"/>
        </w:rPr>
        <w:t> </w:t>
      </w:r>
      <w:r>
        <w:rPr>
          <w:rFonts w:ascii="Times New Roman" w:hAnsi="Times New Roman" w:cs="Times New Roman" w:eastAsia="Times New Roman" w:hint="default"/>
        </w:rPr>
        <w:t>13.4%</w:t>
      </w:r>
      <w:r>
        <w:rPr/>
        <w:t>的股权，购买少数股权成本与应享有的净资产权益</w:t>
      </w:r>
      <w:r>
        <w:rPr>
          <w:w w:val="100"/>
        </w:rPr>
        <w:t> </w:t>
      </w:r>
      <w:r>
        <w:rPr>
          <w:spacing w:val="-2"/>
          <w:w w:val="100"/>
        </w:rPr>
        <w:t>之间的差额调减资本公积</w:t>
      </w:r>
      <w:r>
        <w:rPr>
          <w:spacing w:val="-50"/>
          <w:w w:val="100"/>
        </w:rPr>
        <w:t> </w:t>
      </w:r>
      <w:r>
        <w:rPr>
          <w:rFonts w:ascii="Times New Roman" w:hAnsi="Times New Roman" w:cs="Times New Roman" w:eastAsia="Times New Roman" w:hint="default"/>
          <w:spacing w:val="-1"/>
          <w:w w:val="100"/>
        </w:rPr>
        <w:t>807,007.27</w:t>
      </w:r>
      <w:r>
        <w:rPr>
          <w:rFonts w:ascii="Times New Roman" w:hAnsi="Times New Roman" w:cs="Times New Roman" w:eastAsia="Times New Roman" w:hint="default"/>
          <w:spacing w:val="4"/>
          <w:w w:val="100"/>
        </w:rPr>
        <w:t> </w:t>
      </w:r>
      <w:r>
        <w:rPr>
          <w:spacing w:val="-20"/>
          <w:w w:val="100"/>
        </w:rPr>
        <w:t>元；（</w:t>
      </w:r>
      <w:r>
        <w:rPr>
          <w:rFonts w:ascii="Times New Roman" w:hAnsi="Times New Roman" w:cs="Times New Roman" w:eastAsia="Times New Roman" w:hint="default"/>
          <w:spacing w:val="-20"/>
          <w:w w:val="100"/>
        </w:rPr>
        <w:t>3</w:t>
      </w:r>
      <w:r>
        <w:rPr>
          <w:spacing w:val="-20"/>
          <w:w w:val="100"/>
        </w:rPr>
        <w:t>）根据宁波建工</w:t>
      </w:r>
      <w:r>
        <w:rPr>
          <w:spacing w:val="-46"/>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7"/>
          <w:w w:val="100"/>
        </w:rPr>
        <w:t> </w:t>
      </w:r>
      <w:r>
        <w:rPr>
          <w:spacing w:val="-2"/>
          <w:w w:val="100"/>
        </w:rPr>
        <w:t>年第三届董事会第十九次会议及</w:t>
      </w:r>
    </w:p>
    <w:p>
      <w:pPr>
        <w:pStyle w:val="BodyText"/>
        <w:spacing w:line="225" w:lineRule="auto"/>
        <w:ind w:left="137" w:right="149"/>
        <w:jc w:val="both"/>
      </w:pPr>
      <w:r>
        <w:rPr>
          <w:spacing w:val="-3"/>
        </w:rPr>
        <w:t>子公司宁波建工建乐工程有限公司股东会决定，宁波建工建乐工程有限公司以 </w:t>
      </w:r>
      <w:r>
        <w:rPr>
          <w:rFonts w:ascii="Times New Roman" w:hAnsi="Times New Roman" w:cs="Times New Roman" w:eastAsia="Times New Roman" w:hint="default"/>
        </w:rPr>
        <w:t>26,162,500.11 </w:t>
      </w:r>
      <w:r>
        <w:rPr>
          <w:spacing w:val="-3"/>
        </w:rPr>
        <w:t>元收</w:t>
      </w:r>
      <w:r>
        <w:rPr>
          <w:spacing w:val="-98"/>
        </w:rPr>
        <w:t> </w:t>
      </w:r>
      <w:r>
        <w:rPr>
          <w:spacing w:val="-2"/>
        </w:rPr>
        <w:t>购其下属子公司宁波建乐建筑装潢有限公司全部</w:t>
      </w:r>
      <w:r>
        <w:rPr/>
        <w:t> </w:t>
      </w:r>
      <w:r>
        <w:rPr>
          <w:rFonts w:ascii="Times New Roman" w:hAnsi="Times New Roman" w:cs="Times New Roman" w:eastAsia="Times New Roman" w:hint="default"/>
          <w:spacing w:val="-2"/>
        </w:rPr>
        <w:t>10%</w:t>
      </w:r>
      <w:r>
        <w:rPr>
          <w:spacing w:val="-2"/>
        </w:rPr>
        <w:t>的少数股权。收购成本与少数股东权益之间</w:t>
      </w:r>
      <w:r>
        <w:rPr>
          <w:spacing w:val="-85"/>
        </w:rPr>
        <w:t> </w:t>
      </w:r>
      <w:r>
        <w:rPr>
          <w:spacing w:val="-85"/>
        </w:rPr>
      </w:r>
      <w:r>
        <w:rPr/>
        <w:t>的差额调减资本公积</w:t>
      </w:r>
      <w:r>
        <w:rPr>
          <w:spacing w:val="-54"/>
        </w:rPr>
        <w:t> </w:t>
      </w:r>
      <w:r>
        <w:rPr>
          <w:rFonts w:ascii="Times New Roman" w:hAnsi="Times New Roman" w:cs="Times New Roman" w:eastAsia="Times New Roman" w:hint="default"/>
        </w:rPr>
        <w:t>1,527,515.21</w:t>
      </w:r>
      <w:r>
        <w:rPr>
          <w:rFonts w:ascii="Times New Roman" w:hAnsi="Times New Roman" w:cs="Times New Roman" w:eastAsia="Times New Roman" w:hint="default"/>
          <w:spacing w:val="-1"/>
        </w:rPr>
        <w:t> </w:t>
      </w:r>
      <w:r>
        <w:rPr>
          <w:spacing w:val="-3"/>
        </w:rPr>
        <w:t>元。</w:t>
      </w:r>
      <w:r>
        <w:rPr/>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140" w:right="1640"/>
        </w:sectPr>
      </w:pPr>
    </w:p>
    <w:p>
      <w:pPr>
        <w:pStyle w:val="Heading3"/>
        <w:spacing w:line="240" w:lineRule="auto"/>
        <w:ind w:left="137" w:right="-18"/>
        <w:jc w:val="left"/>
        <w:rPr>
          <w:b w:val="0"/>
          <w:bCs w:val="0"/>
        </w:rPr>
      </w:pPr>
      <w:r>
        <w:rPr>
          <w:rFonts w:ascii="宋体" w:hAnsi="宋体" w:cs="宋体" w:eastAsia="宋体" w:hint="default"/>
        </w:rPr>
        <w:t>36</w:t>
      </w:r>
      <w:r>
        <w:rPr/>
        <w:t>、</w:t>
      </w:r>
      <w:r>
        <w:rPr>
          <w:spacing w:val="-24"/>
        </w:rPr>
        <w:t> </w:t>
      </w:r>
      <w:r>
        <w:rPr/>
        <w:t>专项储备</w:t>
      </w:r>
      <w:r>
        <w:rPr>
          <w:b w:val="0"/>
          <w:bCs w:val="0"/>
        </w:rPr>
      </w:r>
    </w:p>
    <w:p>
      <w:pPr>
        <w:pStyle w:val="BodyText"/>
        <w:spacing w:line="240" w:lineRule="auto" w:before="56"/>
        <w:ind w:left="1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537" w:space="4985"/>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3"/>
        <w:gridCol w:w="1789"/>
        <w:gridCol w:w="1791"/>
        <w:gridCol w:w="1829"/>
        <w:gridCol w:w="1805"/>
      </w:tblGrid>
      <w:tr>
        <w:trPr>
          <w:trHeight w:val="28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1"/>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0"/>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4,246,982.81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1" w:right="0"/>
              <w:jc w:val="left"/>
              <w:rPr>
                <w:rFonts w:ascii="Times New Roman" w:hAnsi="Times New Roman" w:cs="Times New Roman" w:eastAsia="Times New Roman" w:hint="default"/>
                <w:sz w:val="21"/>
                <w:szCs w:val="21"/>
              </w:rPr>
            </w:pPr>
            <w:r>
              <w:rPr>
                <w:rFonts w:ascii="Times New Roman"/>
                <w:sz w:val="21"/>
              </w:rPr>
              <w:t>272,896,159.94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2" w:right="0"/>
              <w:jc w:val="left"/>
              <w:rPr>
                <w:rFonts w:ascii="Times New Roman" w:hAnsi="Times New Roman" w:cs="Times New Roman" w:eastAsia="Times New Roman" w:hint="default"/>
                <w:sz w:val="21"/>
                <w:szCs w:val="21"/>
              </w:rPr>
            </w:pPr>
            <w:r>
              <w:rPr>
                <w:rFonts w:ascii="Times New Roman"/>
                <w:sz w:val="21"/>
              </w:rPr>
              <w:t>274,221,984.35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2,921,158.40</w:t>
            </w:r>
          </w:p>
        </w:tc>
      </w:tr>
      <w:tr>
        <w:trPr>
          <w:trHeight w:val="28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1"/>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4,246,982.81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1" w:right="0"/>
              <w:jc w:val="left"/>
              <w:rPr>
                <w:rFonts w:ascii="Times New Roman" w:hAnsi="Times New Roman" w:cs="Times New Roman" w:eastAsia="Times New Roman" w:hint="default"/>
                <w:sz w:val="21"/>
                <w:szCs w:val="21"/>
              </w:rPr>
            </w:pPr>
            <w:r>
              <w:rPr>
                <w:rFonts w:ascii="Times New Roman"/>
                <w:sz w:val="21"/>
              </w:rPr>
              <w:t>272,896,159.94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2" w:right="0"/>
              <w:jc w:val="left"/>
              <w:rPr>
                <w:rFonts w:ascii="Times New Roman" w:hAnsi="Times New Roman" w:cs="Times New Roman" w:eastAsia="Times New Roman" w:hint="default"/>
                <w:sz w:val="21"/>
                <w:szCs w:val="21"/>
              </w:rPr>
            </w:pPr>
            <w:r>
              <w:rPr>
                <w:rFonts w:ascii="Times New Roman"/>
                <w:sz w:val="21"/>
              </w:rPr>
              <w:t>274,221,984.35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2,921,158.40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140" w:right="1640"/>
        </w:sectPr>
      </w:pPr>
    </w:p>
    <w:p>
      <w:pPr>
        <w:pStyle w:val="Heading3"/>
        <w:spacing w:line="240" w:lineRule="auto"/>
        <w:ind w:left="137" w:right="-18"/>
        <w:jc w:val="left"/>
        <w:rPr>
          <w:b w:val="0"/>
          <w:bCs w:val="0"/>
        </w:rPr>
      </w:pPr>
      <w:r>
        <w:rPr>
          <w:rFonts w:ascii="宋体" w:hAnsi="宋体" w:cs="宋体" w:eastAsia="宋体" w:hint="default"/>
        </w:rPr>
        <w:t>37</w:t>
      </w:r>
      <w:r>
        <w:rPr/>
        <w:t>、</w:t>
      </w:r>
      <w:r>
        <w:rPr>
          <w:spacing w:val="-24"/>
        </w:rPr>
        <w:t> </w:t>
      </w:r>
      <w:r>
        <w:rPr/>
        <w:t>盈余公积</w:t>
      </w:r>
      <w:r>
        <w:rPr>
          <w:b w:val="0"/>
          <w:bCs w:val="0"/>
        </w:rPr>
      </w:r>
    </w:p>
    <w:p>
      <w:pPr>
        <w:pStyle w:val="BodyText"/>
        <w:spacing w:line="240" w:lineRule="auto" w:before="56"/>
        <w:ind w:left="1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537" w:space="4985"/>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75,726,390.27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20,809,921.78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96,536,312.05</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75,726,390.27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20,809,921.78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96,536,312.05</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40" w:right="1640"/>
        </w:sectPr>
      </w:pPr>
    </w:p>
    <w:p>
      <w:pPr>
        <w:pStyle w:val="Heading3"/>
        <w:spacing w:line="240" w:lineRule="auto"/>
        <w:ind w:left="137" w:right="-19"/>
        <w:jc w:val="left"/>
        <w:rPr>
          <w:b w:val="0"/>
          <w:bCs w:val="0"/>
        </w:rPr>
      </w:pPr>
      <w:r>
        <w:rPr>
          <w:rFonts w:ascii="宋体" w:hAnsi="宋体" w:cs="宋体" w:eastAsia="宋体" w:hint="default"/>
        </w:rPr>
        <w:t>38</w:t>
      </w:r>
      <w:r>
        <w:rPr/>
        <w:t>、</w:t>
      </w:r>
      <w:r>
        <w:rPr>
          <w:spacing w:val="-24"/>
        </w:rPr>
        <w:t> </w:t>
      </w:r>
      <w:r>
        <w:rPr/>
        <w:t>未分配利润</w:t>
      </w:r>
      <w:r>
        <w:rPr>
          <w:b w:val="0"/>
          <w:bCs w:val="0"/>
        </w:rPr>
      </w:r>
    </w:p>
    <w:p>
      <w:pPr>
        <w:pStyle w:val="BodyText"/>
        <w:spacing w:line="240" w:lineRule="auto" w:before="58"/>
        <w:ind w:left="1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698" w:space="4824"/>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31"/>
        <w:gridCol w:w="2777"/>
        <w:gridCol w:w="2689"/>
      </w:tblGrid>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870,352,713.91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733,530,982.38</w:t>
            </w:r>
          </w:p>
        </w:tc>
      </w:tr>
      <w:tr>
        <w:trPr>
          <w:trHeight w:val="55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870,352,713.91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733,530,982.38</w:t>
            </w:r>
          </w:p>
        </w:tc>
      </w:tr>
      <w:tr>
        <w:trPr>
          <w:trHeight w:val="555"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213,929,328.80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195,386,531.53</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20,809,921.78</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68,325,600.00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58,564,800.00</w:t>
            </w:r>
          </w:p>
        </w:tc>
      </w:tr>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995,146,520.93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870,352,713.91</w:t>
            </w:r>
          </w:p>
        </w:tc>
      </w:tr>
    </w:tbl>
    <w:p>
      <w:pPr>
        <w:pStyle w:val="BodyText"/>
        <w:spacing w:line="240" w:lineRule="auto" w:before="26"/>
        <w:ind w:left="137" w:right="0"/>
        <w:jc w:val="left"/>
      </w:pPr>
      <w:r>
        <w:rPr/>
        <w:t>调整期初未分配利润明细：</w:t>
      </w:r>
    </w:p>
    <w:p>
      <w:pPr>
        <w:pStyle w:val="BodyText"/>
        <w:spacing w:line="281" w:lineRule="exact" w:before="58"/>
        <w:ind w:left="137"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元。</w:t>
      </w:r>
    </w:p>
    <w:p>
      <w:pPr>
        <w:pStyle w:val="BodyText"/>
        <w:spacing w:line="272" w:lineRule="exact"/>
        <w:ind w:left="137" w:right="0"/>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72" w:lineRule="exact"/>
        <w:ind w:left="137" w:right="0"/>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pStyle w:val="BodyText"/>
        <w:spacing w:line="271" w:lineRule="exact"/>
        <w:ind w:left="137" w:right="0"/>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81" w:lineRule="exact"/>
        <w:ind w:left="137" w:right="0"/>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after="0" w:line="281" w:lineRule="exact"/>
        <w:jc w:val="left"/>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39</w:t>
      </w:r>
      <w:r>
        <w:rPr/>
        <w:t>、</w:t>
      </w:r>
      <w:r>
        <w:rPr>
          <w:spacing w:val="-23"/>
        </w:rPr>
        <w:t> </w:t>
      </w:r>
      <w:r>
        <w:rPr/>
        <w:t>营业收入和营业成本</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4"/>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14,705,037,155.86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13,702,270,809.12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13,680,119,369.84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12,645,500,116.92</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41,234,018.62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6,195,308.90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15,677,432.84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9,488,129.23</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14,746,271,174.48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13,708,466,118.02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13,695,796,802.68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12,654,988,246.15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3"/>
        <w:spacing w:line="240" w:lineRule="auto"/>
        <w:ind w:right="-19"/>
        <w:jc w:val="left"/>
        <w:rPr>
          <w:b w:val="0"/>
          <w:bCs w:val="0"/>
        </w:rPr>
      </w:pPr>
      <w:r>
        <w:rPr>
          <w:rFonts w:ascii="宋体" w:hAnsi="宋体" w:cs="宋体" w:eastAsia="宋体" w:hint="default"/>
        </w:rPr>
        <w:t>40</w:t>
      </w:r>
      <w:r>
        <w:rPr/>
        <w:t>、</w:t>
      </w:r>
      <w:r>
        <w:rPr>
          <w:spacing w:val="-24"/>
        </w:rPr>
        <w:t> </w:t>
      </w:r>
      <w:r>
        <w:rPr/>
        <w:t>税金及附加</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5,882,103.27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158,537,826.04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18,023,121.19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22,730,101.00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13,834,168.25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18,426,910.88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3,979,639.42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2,149,344.48</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2,215,791.34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1,476,179.41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65,630.80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35,374.00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9,275,372.97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4,617,343.68</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627,319.24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7,507,288.47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164,544.66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348,822.57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54,067,691.14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215,829,190.53</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41</w:t>
      </w:r>
      <w:r>
        <w:rPr/>
        <w:t>、</w:t>
      </w:r>
      <w:r>
        <w:rPr>
          <w:spacing w:val="-24"/>
        </w:rPr>
        <w:t> </w:t>
      </w:r>
      <w:r>
        <w:rPr/>
        <w:t>销售费用</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16,465,038.34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5,787,031.52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1,265,854.60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1,406,138.45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980,366.41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123,088.88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439,077.78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237,251.44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313,293.23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393,906.25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19,463,630.36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7,947,416.54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42</w:t>
      </w:r>
      <w:r>
        <w:rPr/>
        <w:t>、</w:t>
      </w:r>
      <w:r>
        <w:rPr>
          <w:spacing w:val="-24"/>
        </w:rPr>
        <w:t> </w:t>
      </w:r>
      <w:r>
        <w:rPr/>
        <w:t>管理费用</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256,669,648.99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216,216,535.86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53,659,097.28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37,403,732.89</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28,184,559.81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28,063,772.62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20,820,476.79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19,423,581.70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2,721,802.69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35,240,386.37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14,980,626.66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13,191,228.55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16,543,010.94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14,904,831.35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12,083,019.78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8,001,280.45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6,056,994.90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430,671,509.59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353,493,078.04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43</w:t>
      </w:r>
      <w:r>
        <w:rPr/>
        <w:t>、</w:t>
      </w:r>
      <w:r>
        <w:rPr>
          <w:spacing w:val="-24"/>
        </w:rPr>
        <w:t> </w:t>
      </w:r>
      <w:r>
        <w:rPr/>
        <w:t>财务费用</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223,396,711.22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181,811,010.88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-15,244,401.23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-18,650,974.55</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10,936.14</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-296,949.68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-8,227.13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6,597,090.21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4,418,538.19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214,463,386.66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167,570,347.39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3"/>
        <w:spacing w:line="240" w:lineRule="auto"/>
        <w:ind w:right="-19"/>
        <w:jc w:val="left"/>
        <w:rPr>
          <w:b w:val="0"/>
          <w:bCs w:val="0"/>
        </w:rPr>
      </w:pPr>
      <w:r>
        <w:rPr>
          <w:rFonts w:ascii="宋体" w:hAnsi="宋体" w:cs="宋体" w:eastAsia="宋体" w:hint="default"/>
        </w:rPr>
        <w:t>44</w:t>
      </w:r>
      <w:r>
        <w:rPr/>
        <w:t>、</w:t>
      </w:r>
      <w:r>
        <w:rPr>
          <w:spacing w:val="-23"/>
        </w:rPr>
        <w:t> </w:t>
      </w:r>
      <w:r>
        <w:rPr/>
        <w:t>资产减值损失</w:t>
      </w:r>
      <w:r>
        <w:rPr>
          <w:b w:val="0"/>
          <w:bCs w:val="0"/>
        </w:rPr>
      </w:r>
    </w:p>
    <w:p>
      <w:pPr>
        <w:pStyle w:val="BodyText"/>
        <w:spacing w:line="240" w:lineRule="auto" w:before="56"/>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2,964,031.83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28,254,782.44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19,262,562.86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11,895,734.07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22,226,594.69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40,150,516.51</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45</w:t>
      </w:r>
      <w:r>
        <w:rPr/>
        <w:t>、</w:t>
      </w:r>
      <w:r>
        <w:rPr>
          <w:spacing w:val="-24"/>
        </w:rPr>
        <w:t> </w:t>
      </w:r>
      <w:r>
        <w:rPr/>
        <w:t>投资收益</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84" w:right="0"/>
              <w:jc w:val="left"/>
              <w:rPr>
                <w:rFonts w:ascii="Times New Roman" w:hAnsi="Times New Roman" w:cs="Times New Roman" w:eastAsia="Times New Roman" w:hint="default"/>
                <w:sz w:val="21"/>
                <w:szCs w:val="21"/>
              </w:rPr>
            </w:pPr>
            <w:r>
              <w:rPr>
                <w:rFonts w:ascii="Times New Roman"/>
                <w:sz w:val="21"/>
              </w:rPr>
              <w:t>-4,431,734.15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90" w:right="0"/>
              <w:jc w:val="left"/>
              <w:rPr>
                <w:rFonts w:ascii="Times New Roman" w:hAnsi="Times New Roman" w:cs="Times New Roman" w:eastAsia="Times New Roman" w:hint="default"/>
                <w:sz w:val="21"/>
                <w:szCs w:val="21"/>
              </w:rPr>
            </w:pPr>
            <w:r>
              <w:rPr>
                <w:rFonts w:ascii="Times New Roman"/>
                <w:sz w:val="21"/>
              </w:rPr>
              <w:t>-4,212,504.57</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15,126,700.00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342,000.00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273,600.00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11,136,965.85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-3,838,904.57</w:t>
            </w:r>
          </w:p>
        </w:tc>
      </w:tr>
    </w:tbl>
    <w:p>
      <w:pPr>
        <w:pStyle w:val="BodyText"/>
        <w:spacing w:line="240" w:lineRule="exact"/>
        <w:ind w:left="217" w:right="0"/>
        <w:jc w:val="left"/>
      </w:pPr>
      <w:r>
        <w:rPr>
          <w:spacing w:val="-3"/>
        </w:rPr>
        <w:t>注：本公司所属子公司宁波建工建乐工程有限公司对宁波建乐东城木业有限公司投资，</w:t>
      </w:r>
      <w:r>
        <w:rPr>
          <w:rFonts w:ascii="宋体" w:hAnsi="宋体" w:cs="宋体" w:eastAsia="宋体" w:hint="default"/>
          <w:spacing w:val="-3"/>
        </w:rPr>
        <w:t>2017</w:t>
      </w:r>
      <w:r>
        <w:rPr>
          <w:rFonts w:ascii="宋体" w:hAnsi="宋体" w:cs="宋体" w:eastAsia="宋体" w:hint="default"/>
          <w:spacing w:val="28"/>
        </w:rPr>
        <w:t> </w:t>
      </w:r>
      <w:r>
        <w:rPr>
          <w:spacing w:val="-3"/>
        </w:rPr>
        <w:t>年收</w:t>
      </w:r>
      <w:r>
        <w:rPr/>
      </w:r>
    </w:p>
    <w:p>
      <w:pPr>
        <w:pStyle w:val="BodyText"/>
        <w:spacing w:line="274" w:lineRule="exact"/>
        <w:ind w:left="217" w:right="2465"/>
        <w:jc w:val="left"/>
      </w:pPr>
      <w:r>
        <w:rPr/>
        <w:t>到投资分红</w:t>
      </w:r>
      <w:r>
        <w:rPr>
          <w:spacing w:val="-52"/>
        </w:rPr>
        <w:t> </w:t>
      </w:r>
      <w:r>
        <w:rPr>
          <w:rFonts w:ascii="宋体" w:hAnsi="宋体" w:cs="宋体" w:eastAsia="宋体" w:hint="default"/>
        </w:rPr>
        <w:t>342,000.00</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40" w:lineRule="auto" w:before="5"/>
        <w:rPr>
          <w:rFonts w:ascii="宋体" w:hAnsi="宋体" w:cs="宋体" w:eastAsia="宋体" w:hint="default"/>
          <w:sz w:val="16"/>
          <w:szCs w:val="16"/>
        </w:rPr>
      </w:pPr>
    </w:p>
    <w:p>
      <w:pPr>
        <w:spacing w:line="290" w:lineRule="auto" w:before="0"/>
        <w:ind w:left="217" w:right="104" w:firstLine="0"/>
        <w:jc w:val="left"/>
        <w:rPr>
          <w:rFonts w:ascii="宋体" w:hAnsi="宋体" w:cs="宋体" w:eastAsia="宋体" w:hint="default"/>
          <w:sz w:val="21"/>
          <w:szCs w:val="21"/>
        </w:rPr>
      </w:pP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9" w:val="left" w:leader="none"/>
        </w:tabs>
        <w:spacing w:line="227"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19,906,126.46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548,000.00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1,158,630.41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8,977,706.79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1,158,630.41</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2,706,630.41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28,883,833.25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2,706,630.41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BodyText"/>
        <w:spacing w:line="273" w:lineRule="exact" w:before="36"/>
        <w:ind w:left="217" w:right="0"/>
        <w:jc w:val="left"/>
      </w:pPr>
      <w:r>
        <w:rPr>
          <w:spacing w:val="-2"/>
        </w:rPr>
        <w:t>计入当期损益的政府补助</w:t>
      </w:r>
    </w:p>
    <w:p>
      <w:pPr>
        <w:pStyle w:val="BodyText"/>
        <w:spacing w:line="273"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8"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1560"/>
          <w:cols w:num="2" w:equalWidth="0">
            <w:col w:w="2531" w:space="3993"/>
            <w:col w:w="2766"/>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5"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4"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财政补贴款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14,763,616.49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宁波市政集团拆迁补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偿</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654,831.66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财政奖励款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3" w:right="0"/>
              <w:jc w:val="left"/>
              <w:rPr>
                <w:rFonts w:ascii="宋体" w:hAnsi="宋体" w:cs="宋体" w:eastAsia="宋体" w:hint="default"/>
                <w:sz w:val="21"/>
                <w:szCs w:val="21"/>
              </w:rPr>
            </w:pPr>
            <w:r>
              <w:rPr>
                <w:rFonts w:ascii="宋体"/>
                <w:sz w:val="21"/>
              </w:rPr>
              <w:t>548,000.00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2,378,262.00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060"/>
        <w:gridCol w:w="2278"/>
        <w:gridCol w:w="2278"/>
        <w:gridCol w:w="2281"/>
      </w:tblGrid>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税收返还款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959,412.31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其他政府补贴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1,150,004.00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3" w:right="0"/>
              <w:jc w:val="left"/>
              <w:rPr>
                <w:rFonts w:ascii="宋体" w:hAnsi="宋体" w:cs="宋体" w:eastAsia="宋体" w:hint="default"/>
                <w:sz w:val="21"/>
                <w:szCs w:val="21"/>
              </w:rPr>
            </w:pPr>
            <w:r>
              <w:rPr>
                <w:rFonts w:ascii="宋体"/>
                <w:sz w:val="21"/>
              </w:rPr>
              <w:t>548,000.00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19,906,126.46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60" w:right="1560"/>
        </w:sectPr>
      </w:pPr>
    </w:p>
    <w:p>
      <w:pPr>
        <w:pStyle w:val="Heading3"/>
        <w:spacing w:line="240" w:lineRule="auto"/>
        <w:ind w:right="-19"/>
        <w:jc w:val="left"/>
        <w:rPr>
          <w:b w:val="0"/>
          <w:bCs w:val="0"/>
        </w:rPr>
      </w:pPr>
      <w:r>
        <w:rPr>
          <w:rFonts w:ascii="宋体" w:hAnsi="宋体" w:cs="宋体" w:eastAsia="宋体" w:hint="default"/>
        </w:rPr>
        <w:t>47</w:t>
      </w:r>
      <w:r>
        <w:rPr/>
        <w:t>、</w:t>
      </w:r>
      <w:r>
        <w:rPr>
          <w:spacing w:val="-24"/>
        </w:rPr>
        <w:t> </w:t>
      </w:r>
      <w:r>
        <w:rPr/>
        <w:t>营业外支出</w:t>
      </w:r>
      <w:r>
        <w:rPr>
          <w:b w:val="0"/>
          <w:bCs w:val="0"/>
        </w:rPr>
      </w:r>
    </w:p>
    <w:p>
      <w:pPr>
        <w:pStyle w:val="BodyText"/>
        <w:tabs>
          <w:tab w:pos="963" w:val="left" w:leader="none"/>
        </w:tabs>
        <w:spacing w:line="240" w:lineRule="auto" w:before="58"/>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808,439.62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509,923.57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808,439.62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808,439.62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509,923.57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808,439.62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1,626,800.00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1,626,800.00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429,682.77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565,785.97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429,682.77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1,081,752.51</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1,081,752.51</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473,080.01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306,773.70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473,080.01</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4,419,754.91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1,401,483.24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4,419,754.91</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spacing w:line="290" w:lineRule="auto"/>
        <w:ind w:right="-19"/>
        <w:jc w:val="left"/>
        <w:rPr>
          <w:b w:val="0"/>
          <w:bCs w:val="0"/>
        </w:rPr>
      </w:pPr>
      <w:r>
        <w:rPr>
          <w:rFonts w:ascii="宋体" w:hAnsi="宋体" w:cs="宋体" w:eastAsia="宋体" w:hint="default"/>
        </w:rPr>
        <w:t>48</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0" w:space="461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109,398,213.20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94,426,646.22</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-5,846,507.58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-20,349,540.03</w:t>
            </w:r>
          </w:p>
        </w:tc>
      </w:tr>
      <w:tr>
        <w:trPr>
          <w:trHeight w:val="28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103,551,705.62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74,077,106.19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(2) </w:t>
      </w:r>
      <w:r>
        <w:rPr/>
        <w:t>会计利润与所得税费用调整过程：</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6" w:space="2716"/>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302"/>
        <w:gridCol w:w="4592"/>
      </w:tblGrid>
      <w:tr>
        <w:trPr>
          <w:trHeight w:val="283"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321,875,936.71</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80,468,984.18</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112,653.26</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6,766,819.34</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1,107,933.54</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5,614,683.36</w:t>
            </w:r>
          </w:p>
        </w:tc>
      </w:tr>
      <w:tr>
        <w:trPr>
          <w:trHeight w:val="56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3,001,260.82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302"/>
        <w:gridCol w:w="4592"/>
      </w:tblGrid>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6,856,873.03</w:t>
            </w:r>
          </w:p>
        </w:tc>
      </w:tr>
      <w:tr>
        <w:trPr>
          <w:trHeight w:val="288"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税法规定的可以额外扣除费用的影响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-377,501.91</w:t>
            </w: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103,551,705.62</w:t>
            </w:r>
          </w:p>
        </w:tc>
      </w:tr>
    </w:tbl>
    <w:p>
      <w:pPr>
        <w:spacing w:line="240" w:lineRule="auto" w:before="10"/>
        <w:rPr>
          <w:rFonts w:ascii="宋体" w:hAnsi="宋体" w:cs="宋体" w:eastAsia="宋体" w:hint="default"/>
          <w:sz w:val="17"/>
          <w:szCs w:val="17"/>
        </w:rPr>
      </w:pPr>
    </w:p>
    <w:p>
      <w:pPr>
        <w:pStyle w:val="BodyText"/>
        <w:spacing w:line="240" w:lineRule="auto" w:before="36"/>
        <w:ind w:left="157" w:right="0"/>
        <w:jc w:val="left"/>
      </w:pPr>
      <w:r>
        <w:rPr/>
        <w:t>其他说明：</w:t>
      </w:r>
    </w:p>
    <w:p>
      <w:pPr>
        <w:pStyle w:val="BodyText"/>
        <w:spacing w:line="240" w:lineRule="auto" w:before="56"/>
        <w:ind w:left="15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1"/>
          <w:pgSz w:w="11910" w:h="16840"/>
          <w:pgMar w:footer="1195" w:header="882" w:top="1120" w:bottom="1380" w:left="1120" w:right="1640"/>
        </w:sectPr>
      </w:pPr>
    </w:p>
    <w:p>
      <w:pPr>
        <w:pStyle w:val="Heading3"/>
        <w:spacing w:line="240" w:lineRule="auto"/>
        <w:ind w:left="157" w:right="-2"/>
        <w:jc w:val="left"/>
        <w:rPr>
          <w:b w:val="0"/>
          <w:bCs w:val="0"/>
        </w:rPr>
      </w:pPr>
      <w:r>
        <w:rPr>
          <w:rFonts w:ascii="宋体" w:hAnsi="宋体" w:cs="宋体" w:eastAsia="宋体" w:hint="default"/>
        </w:rPr>
        <w:t>49</w:t>
      </w:r>
      <w:r>
        <w:rPr/>
        <w:t>、</w:t>
      </w:r>
      <w:r>
        <w:rPr>
          <w:spacing w:val="-23"/>
        </w:rPr>
        <w:t> </w:t>
      </w:r>
      <w:r>
        <w:rPr/>
        <w:t>现金流量表项目</w:t>
      </w:r>
      <w:r>
        <w:rPr>
          <w:b w:val="0"/>
          <w:bCs w:val="0"/>
        </w:rPr>
      </w:r>
    </w:p>
    <w:p>
      <w:pPr>
        <w:pStyle w:val="Heading3"/>
        <w:tabs>
          <w:tab w:pos="857" w:val="left" w:leader="none"/>
        </w:tabs>
        <w:spacing w:line="240" w:lineRule="auto" w:before="58"/>
        <w:ind w:left="157"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57"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640"/>
          <w:cols w:num="2" w:equalWidth="0">
            <w:col w:w="4233" w:space="2289"/>
            <w:col w:w="262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暂收款和收回暂付款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672,910,142.46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790,494,365.16</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用于经营活动的</w:t>
            </w:r>
            <w:r>
              <w:rPr>
                <w:rFonts w:ascii="Times New Roman" w:hAnsi="Times New Roman" w:cs="Times New Roman" w:eastAsia="Times New Roman" w:hint="default"/>
                <w:sz w:val="21"/>
                <w:szCs w:val="21"/>
              </w:rPr>
              <w:t>3</w:t>
            </w:r>
            <w:r>
              <w:rPr>
                <w:rFonts w:ascii="宋体" w:hAnsi="宋体" w:cs="宋体" w:eastAsia="宋体" w:hint="default"/>
                <w:sz w:val="21"/>
                <w:szCs w:val="21"/>
              </w:rPr>
              <w:t>个月以上其他货币</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资金变动净额</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23,807,379.87</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收到补贴款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12,767,061.62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18,291,882.49</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15,244,401.23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18,650,974.55</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收到的赔偿款及其他收入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2,455,580.09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8,912,010.74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
              <w:jc w:val="right"/>
              <w:rPr>
                <w:rFonts w:ascii="Times New Roman" w:hAnsi="Times New Roman" w:cs="Times New Roman" w:eastAsia="Times New Roman" w:hint="default"/>
                <w:sz w:val="21"/>
                <w:szCs w:val="21"/>
              </w:rPr>
            </w:pPr>
            <w:r>
              <w:rPr>
                <w:rFonts w:ascii="Times New Roman"/>
                <w:spacing w:val="-1"/>
                <w:sz w:val="21"/>
              </w:rPr>
              <w:t>703,377,185.40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860,156,612.81</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20" w:right="1640"/>
        </w:sectPr>
      </w:pPr>
    </w:p>
    <w:p>
      <w:pPr>
        <w:pStyle w:val="Heading3"/>
        <w:tabs>
          <w:tab w:pos="857" w:val="left" w:leader="none"/>
        </w:tabs>
        <w:spacing w:line="240" w:lineRule="auto"/>
        <w:ind w:left="157"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tabs>
          <w:tab w:pos="999" w:val="left" w:leader="none"/>
        </w:tabs>
        <w:spacing w:line="240" w:lineRule="auto" w:before="56"/>
        <w:ind w:left="157" w:right="-2"/>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640"/>
          <w:cols w:num="2" w:equalWidth="0">
            <w:col w:w="4233" w:space="2289"/>
            <w:col w:w="262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9"/>
        <w:gridCol w:w="2760"/>
        <w:gridCol w:w="2787"/>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法院冻结款变动净额</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45,512,965.61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15,624,901.03</w:t>
            </w:r>
          </w:p>
        </w:tc>
      </w:tr>
      <w:tr>
        <w:trPr>
          <w:trHeight w:val="557"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用于经营活动的</w:t>
            </w:r>
            <w:r>
              <w:rPr>
                <w:rFonts w:ascii="宋体" w:hAnsi="宋体" w:cs="宋体" w:eastAsia="宋体" w:hint="default"/>
                <w:sz w:val="21"/>
                <w:szCs w:val="21"/>
              </w:rPr>
              <w:t>3</w:t>
            </w:r>
            <w:r>
              <w:rPr>
                <w:rFonts w:ascii="宋体" w:hAnsi="宋体" w:cs="宋体" w:eastAsia="宋体" w:hint="default"/>
                <w:sz w:val="21"/>
                <w:szCs w:val="21"/>
              </w:rPr>
              <w:t>个月以上其他货币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资金变动净额</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149,338,546.09</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20,820,476.79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19,423,581.70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35,240,386.37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14,980,626.66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中介、诉讼、咨询费用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13,191,228.55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16,543,010.94</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14,904,831.35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12,083,019.78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办公运营费用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53,659,097.28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37,403,732.89</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16,465,038.34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5,787,031.52</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其他运营费用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pacing w:val="-1"/>
                <w:sz w:val="21"/>
              </w:rPr>
              <w:t>20,131,202.51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11,545,373.84</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暂付款和支付暂收款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994,783,191.78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795,826,952.91</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1,364,046,964.67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929,218,231.27</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1640"/>
        </w:sectPr>
      </w:pPr>
    </w:p>
    <w:p>
      <w:pPr>
        <w:pStyle w:val="BodyText"/>
        <w:spacing w:line="290" w:lineRule="auto" w:before="26"/>
        <w:ind w:left="157" w:right="69"/>
        <w:jc w:val="left"/>
      </w:pPr>
      <w:r>
        <w:rPr>
          <w:spacing w:val="-2"/>
        </w:rPr>
        <w:t>支付的其他与经营活动有关的现金说明：</w:t>
      </w:r>
      <w:r>
        <w:rPr>
          <w:spacing w:val="-69"/>
        </w:rPr>
        <w:t> </w:t>
      </w:r>
      <w:r>
        <w:rPr>
          <w:spacing w:val="-69"/>
        </w:rPr>
      </w:r>
      <w:r>
        <w:rPr/>
        <w:t>无</w:t>
      </w:r>
    </w:p>
    <w:p>
      <w:pPr>
        <w:pStyle w:val="Heading3"/>
        <w:tabs>
          <w:tab w:pos="997" w:val="left" w:leader="none"/>
        </w:tabs>
        <w:spacing w:line="240" w:lineRule="auto" w:before="14"/>
        <w:ind w:left="157" w:right="-4"/>
        <w:jc w:val="left"/>
        <w:rPr>
          <w:b w:val="0"/>
          <w:bCs w:val="0"/>
        </w:rPr>
      </w:pPr>
      <w:r>
        <w:rPr>
          <w:rFonts w:ascii="宋体" w:hAnsi="宋体" w:cs="宋体" w:eastAsia="宋体" w:hint="default"/>
          <w:w w:val="95"/>
        </w:rPr>
        <w:t>(3).</w:t>
        <w:tab/>
      </w:r>
      <w:r>
        <w:rPr>
          <w:spacing w:val="-1"/>
        </w:rPr>
        <w:t>收到的其他与筹资活动有关的现金</w:t>
      </w:r>
      <w:r>
        <w:rPr>
          <w:b w:val="0"/>
          <w:bCs w:val="0"/>
          <w:spacing w:val="-1"/>
        </w:rPr>
      </w:r>
    </w:p>
    <w:p>
      <w:pPr>
        <w:pStyle w:val="BodyText"/>
        <w:spacing w:line="240" w:lineRule="auto" w:before="56"/>
        <w:ind w:left="157" w:right="6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640"/>
          <w:cols w:num="2" w:equalWidth="0">
            <w:col w:w="4161" w:space="2361"/>
            <w:col w:w="262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收到浦发银行大宗商品衍生品融资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120,000,000.00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120,000,000.00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157" w:right="0"/>
        <w:jc w:val="left"/>
      </w:pPr>
      <w:r>
        <w:rPr/>
        <w:t>收到的其他与筹资活动有关的现金说明：</w:t>
      </w:r>
    </w:p>
    <w:p>
      <w:pPr>
        <w:spacing w:after="0" w:line="240" w:lineRule="auto"/>
        <w:jc w:val="left"/>
        <w:sectPr>
          <w:type w:val="continuous"/>
          <w:pgSz w:w="11910" w:h="16840"/>
          <w:pgMar w:top="1120" w:bottom="1380" w:left="1120" w:right="16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2"/>
          <w:pgSz w:w="11910" w:h="16840"/>
          <w:pgMar w:footer="1195" w:header="882" w:top="1120" w:bottom="1380" w:left="1060" w:right="1560"/>
          <w:pgNumType w:start="131"/>
        </w:sectPr>
      </w:pPr>
    </w:p>
    <w:p>
      <w:pPr>
        <w:pStyle w:val="BodyText"/>
        <w:spacing w:line="240" w:lineRule="auto" w:before="36"/>
        <w:ind w:left="217" w:right="-4"/>
        <w:jc w:val="left"/>
      </w:pPr>
      <w:r>
        <w:rPr>
          <w:w w:val="100"/>
        </w:rPr>
        <w:t>无</w:t>
      </w:r>
    </w:p>
    <w:p>
      <w:pPr>
        <w:pStyle w:val="Heading3"/>
        <w:tabs>
          <w:tab w:pos="1057" w:val="left" w:leader="none"/>
        </w:tabs>
        <w:spacing w:line="240" w:lineRule="auto" w:before="56"/>
        <w:ind w:right="-4"/>
        <w:jc w:val="left"/>
        <w:rPr>
          <w:b w:val="0"/>
          <w:bCs w:val="0"/>
        </w:rPr>
      </w:pPr>
      <w:r>
        <w:rPr>
          <w:rFonts w:ascii="宋体" w:hAnsi="宋体" w:cs="宋体" w:eastAsia="宋体" w:hint="default"/>
          <w:w w:val="95"/>
        </w:rPr>
        <w:t>(4).</w:t>
        <w:tab/>
      </w:r>
      <w:r>
        <w:rPr>
          <w:spacing w:val="-1"/>
        </w:rPr>
        <w:t>支付的其他与筹资活动有关的现金</w:t>
      </w:r>
      <w:r>
        <w:rPr>
          <w:b w:val="0"/>
          <w:bCs w:val="0"/>
          <w:spacing w:val="-1"/>
        </w:rPr>
      </w:r>
    </w:p>
    <w:p>
      <w:pPr>
        <w:pStyle w:val="BodyText"/>
        <w:spacing w:line="240" w:lineRule="auto" w:before="58"/>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221" w:space="2301"/>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购买少数股东股权支付的现金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31,321,500.11</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31,321,500.11</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pStyle w:val="BodyText"/>
        <w:spacing w:line="290" w:lineRule="auto" w:before="26"/>
        <w:ind w:left="217" w:right="0"/>
        <w:jc w:val="left"/>
      </w:pPr>
      <w:r>
        <w:rPr>
          <w:spacing w:val="-2"/>
        </w:rPr>
        <w:t>支付的其他与筹资活动有关的现金说明：</w:t>
      </w:r>
      <w:r>
        <w:rPr>
          <w:spacing w:val="-69"/>
        </w:rPr>
        <w:t> </w:t>
      </w:r>
      <w:r>
        <w:rPr>
          <w:spacing w:val="-69"/>
        </w:rPr>
      </w:r>
      <w:r>
        <w:rPr/>
        <w:t>无</w:t>
      </w:r>
    </w:p>
    <w:p>
      <w:pPr>
        <w:pStyle w:val="Heading3"/>
        <w:spacing w:line="290" w:lineRule="auto" w:before="14"/>
        <w:ind w:right="1362"/>
        <w:jc w:val="left"/>
        <w:rPr>
          <w:b w:val="0"/>
          <w:bCs w:val="0"/>
        </w:rPr>
      </w:pPr>
      <w:r>
        <w:rPr>
          <w:rFonts w:ascii="宋体" w:hAnsi="宋体" w:cs="宋体" w:eastAsia="宋体" w:hint="default"/>
        </w:rPr>
        <w:t>50</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963" w:val="left" w:leader="none"/>
        </w:tabs>
        <w:spacing w:line="240" w:lineRule="auto" w:before="15"/>
        <w:ind w:left="21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003" w:space="2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218,324,231.09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205,494,622.61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22,226,594.69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40,150,516.51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57,555,570.92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66,808,123.40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10,163,606.90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9,051,729.90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1,803,951.26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9,292,820.06</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-1,097,362.04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-110,275.84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808,439.62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509,923.57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213,295,411.11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175,829,547.40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-11,136,965.85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3,838,904.57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-5,846,507.58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-20,349,540.03</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-618,792,954.68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259,443,582.77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831,704,077.53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-645,266,067.96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-234,232,627.49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294,905,689.92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484,775,465.48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399,599,576.88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2,074,601,944.81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1,652,249,118.52</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1,652,249,118.52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1,259,081,369.73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422,352,826.29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393,167,748.79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1"/>
        </w:rPr>
        <w:t> </w:t>
      </w:r>
      <w:r>
        <w:rPr/>
        <w:t>现金和现金等价物的构成</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3" w:space="3558"/>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2,074,601,944.81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1,652,249,118.52</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549,867.00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533,327.16</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1,703,312,113.02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1,505,641,490.18</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370,739,964.79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146,074,301.18</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2,074,601,944.81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1,652,249,118.52</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2"/>
          <w:szCs w:val="22"/>
        </w:rPr>
      </w:pPr>
    </w:p>
    <w:p>
      <w:pPr>
        <w:pStyle w:val="BodyText"/>
        <w:spacing w:line="240" w:lineRule="auto" w:before="36"/>
        <w:ind w:left="217" w:right="2465"/>
        <w:jc w:val="left"/>
      </w:pPr>
      <w:r>
        <w:rPr/>
        <w:t>其他说明：</w:t>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3"/>
        <w:spacing w:line="240" w:lineRule="auto"/>
        <w:ind w:right="-18"/>
        <w:jc w:val="left"/>
        <w:rPr>
          <w:b w:val="0"/>
          <w:bCs w:val="0"/>
        </w:rPr>
      </w:pPr>
      <w:r>
        <w:rPr>
          <w:rFonts w:ascii="宋体" w:hAnsi="宋体" w:cs="宋体" w:eastAsia="宋体" w:hint="default"/>
        </w:rPr>
        <w:t>51</w:t>
      </w:r>
      <w:r>
        <w:rPr/>
        <w:t>、</w:t>
      </w:r>
      <w:r>
        <w:rPr>
          <w:spacing w:val="-26"/>
        </w:rPr>
        <w:t> </w:t>
      </w:r>
      <w:r>
        <w:rPr/>
        <w:t>所有权或使用权受到限制的资产</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674" w:space="2848"/>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267,269,792.97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法院冻结款及到期日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以上其他货币资金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243,274,319.73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146,417,589.88</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抵押贷款</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656,961,702.58</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3"/>
        <w:tabs>
          <w:tab w:pos="917"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52</w:t>
      </w:r>
      <w:r>
        <w:rPr/>
        <w:t>、</w:t>
      </w:r>
      <w:r>
        <w:rPr>
          <w:spacing w:val="-16"/>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2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060" w:right="1560"/>
          <w:cols w:num="2" w:equalWidth="0">
            <w:col w:w="2608" w:space="5385"/>
            <w:col w:w="129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期末折算人民币</w:t>
            </w:r>
          </w:p>
        </w:tc>
      </w:tr>
    </w:tbl>
    <w:p>
      <w:pPr>
        <w:spacing w:after="0" w:line="24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7,537.12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6.5063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49,038.76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255.94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6.5063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130,126,000.00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15,424,000.00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120,342,675.00</w:t>
            </w:r>
          </w:p>
        </w:tc>
      </w:tr>
    </w:tbl>
    <w:p>
      <w:pPr>
        <w:pStyle w:val="Heading3"/>
        <w:tabs>
          <w:tab w:pos="917" w:val="left" w:leader="none"/>
        </w:tabs>
        <w:spacing w:line="240" w:lineRule="auto" w:before="26"/>
        <w:ind w:left="637" w:right="229"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80"/>
        </w:rPr>
        <w:t> </w:t>
      </w:r>
      <w:r>
        <w:rPr>
          <w:spacing w:val="-80"/>
        </w:rPr>
      </w:r>
      <w:r>
        <w:rPr/>
        <w:t>币及选择依据，记账本位币发生变化的还应披露原因。</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19"/>
          <w:szCs w:val="19"/>
        </w:rPr>
      </w:pPr>
    </w:p>
    <w:tbl>
      <w:tblPr>
        <w:tblW w:w="0" w:type="auto"/>
        <w:jc w:val="left"/>
        <w:tblInd w:w="183" w:type="dxa"/>
        <w:tblLayout w:type="fixed"/>
        <w:tblCellMar>
          <w:top w:w="0" w:type="dxa"/>
          <w:left w:w="0" w:type="dxa"/>
          <w:bottom w:w="0" w:type="dxa"/>
          <w:right w:w="0" w:type="dxa"/>
        </w:tblCellMar>
        <w:tblLook w:val="01E0"/>
      </w:tblPr>
      <w:tblGrid>
        <w:gridCol w:w="2141"/>
        <w:gridCol w:w="2129"/>
        <w:gridCol w:w="2127"/>
        <w:gridCol w:w="2129"/>
      </w:tblGrid>
      <w:tr>
        <w:trPr>
          <w:trHeight w:val="360" w:hRule="exact"/>
        </w:trPr>
        <w:tc>
          <w:tcPr>
            <w:tcW w:w="21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358" w:right="0"/>
              <w:jc w:val="left"/>
              <w:rPr>
                <w:rFonts w:ascii="宋体" w:hAnsi="宋体" w:cs="宋体" w:eastAsia="宋体" w:hint="default"/>
                <w:sz w:val="18"/>
                <w:szCs w:val="18"/>
              </w:rPr>
            </w:pPr>
            <w:r>
              <w:rPr>
                <w:rFonts w:ascii="宋体" w:hAnsi="宋体" w:cs="宋体" w:eastAsia="宋体" w:hint="default"/>
                <w:sz w:val="18"/>
                <w:szCs w:val="18"/>
              </w:rPr>
              <w:t>重要境外经营实体</w:t>
            </w:r>
          </w:p>
        </w:tc>
        <w:tc>
          <w:tcPr>
            <w:tcW w:w="21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1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698" w:right="0"/>
              <w:jc w:val="left"/>
              <w:rPr>
                <w:rFonts w:ascii="宋体" w:hAnsi="宋体" w:cs="宋体" w:eastAsia="宋体" w:hint="default"/>
                <w:sz w:val="18"/>
                <w:szCs w:val="18"/>
              </w:rPr>
            </w:pPr>
            <w:r>
              <w:rPr>
                <w:rFonts w:ascii="宋体" w:hAnsi="宋体" w:cs="宋体" w:eastAsia="宋体" w:hint="default"/>
                <w:sz w:val="18"/>
                <w:szCs w:val="18"/>
              </w:rPr>
              <w:t>选择依据</w:t>
            </w:r>
          </w:p>
        </w:tc>
      </w:tr>
      <w:tr>
        <w:trPr>
          <w:trHeight w:val="362" w:hRule="exact"/>
        </w:trPr>
        <w:tc>
          <w:tcPr>
            <w:tcW w:w="21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南非安兰证券公司</w:t>
            </w:r>
          </w:p>
        </w:tc>
        <w:tc>
          <w:tcPr>
            <w:tcW w:w="21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南非</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南非兰特</w:t>
            </w:r>
          </w:p>
        </w:tc>
        <w:tc>
          <w:tcPr>
            <w:tcW w:w="21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经营需要</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060" w:right="1560"/>
        </w:sectPr>
      </w:pPr>
    </w:p>
    <w:p>
      <w:pPr>
        <w:pStyle w:val="Heading3"/>
        <w:spacing w:line="240" w:lineRule="auto"/>
        <w:ind w:right="-20"/>
        <w:jc w:val="left"/>
        <w:rPr>
          <w:b w:val="0"/>
          <w:bCs w:val="0"/>
        </w:rPr>
      </w:pPr>
      <w:r>
        <w:rPr>
          <w:rFonts w:ascii="宋体" w:hAnsi="宋体" w:cs="宋体" w:eastAsia="宋体" w:hint="default"/>
        </w:rPr>
        <w:t>53</w:t>
      </w:r>
      <w:r>
        <w:rPr/>
        <w:t>、</w:t>
      </w:r>
      <w:r>
        <w:rPr>
          <w:spacing w:val="-25"/>
        </w:rPr>
        <w:t> </w:t>
      </w:r>
      <w:r>
        <w:rPr/>
        <w:t>政府补助</w:t>
      </w:r>
      <w:r>
        <w:rPr>
          <w:b w:val="0"/>
          <w:bCs w:val="0"/>
        </w:rPr>
      </w:r>
    </w:p>
    <w:p>
      <w:pPr>
        <w:pStyle w:val="Heading3"/>
        <w:tabs>
          <w:tab w:pos="641" w:val="left" w:leader="none"/>
        </w:tabs>
        <w:spacing w:line="240" w:lineRule="auto" w:before="56"/>
        <w:ind w:right="-16"/>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963" w:val="left" w:leader="none"/>
        </w:tabs>
        <w:spacing w:line="240" w:lineRule="auto" w:before="58"/>
        <w:ind w:left="217"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6"/>
        <w:gridCol w:w="2149"/>
        <w:gridCol w:w="2264"/>
        <w:gridCol w:w="2261"/>
      </w:tblGrid>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与收益相关的政府补贴</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
              <w:jc w:val="center"/>
              <w:rPr>
                <w:rFonts w:ascii="Times New Roman" w:hAnsi="Times New Roman" w:cs="Times New Roman" w:eastAsia="Times New Roman" w:hint="default"/>
                <w:sz w:val="21"/>
                <w:szCs w:val="21"/>
              </w:rPr>
            </w:pPr>
            <w:r>
              <w:rPr>
                <w:rFonts w:ascii="Times New Roman"/>
                <w:sz w:val="21"/>
              </w:rPr>
              <w:t>13,672,656.69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13,672,656.69</w:t>
            </w:r>
          </w:p>
        </w:tc>
      </w:tr>
      <w:tr>
        <w:trPr>
          <w:trHeight w:val="49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与收益相关的政府补贴</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548,000.00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Times New Roman" w:hAnsi="Times New Roman" w:cs="Times New Roman" w:eastAsia="Times New Roman" w:hint="default"/>
                <w:sz w:val="21"/>
                <w:szCs w:val="21"/>
              </w:rPr>
            </w:pPr>
            <w:r>
              <w:rPr>
                <w:rFonts w:ascii="Times New Roman"/>
                <w:sz w:val="21"/>
              </w:rPr>
              <w:t>548,000.00</w:t>
            </w:r>
          </w:p>
        </w:tc>
      </w:tr>
      <w:tr>
        <w:trPr>
          <w:trHeight w:val="49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与资产相关的政府补贴</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769,832.61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769,832.61</w:t>
            </w:r>
          </w:p>
        </w:tc>
      </w:tr>
    </w:tbl>
    <w:p>
      <w:pPr>
        <w:spacing w:line="240" w:lineRule="auto" w:before="12"/>
        <w:rPr>
          <w:rFonts w:ascii="宋体" w:hAnsi="宋体" w:cs="宋体" w:eastAsia="宋体" w:hint="default"/>
          <w:sz w:val="19"/>
          <w:szCs w:val="19"/>
        </w:rPr>
      </w:pPr>
    </w:p>
    <w:p>
      <w:pPr>
        <w:pStyle w:val="Heading3"/>
        <w:tabs>
          <w:tab w:pos="641" w:val="left" w:leader="none"/>
        </w:tabs>
        <w:spacing w:line="240" w:lineRule="auto"/>
        <w:ind w:right="2465"/>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8"/>
        <w:ind w:left="217" w:right="246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t>八、合并范围的变更</w:t>
      </w:r>
      <w:r>
        <w:rPr>
          <w:b w:val="0"/>
          <w:bCs w:val="0"/>
        </w:rPr>
      </w:r>
    </w:p>
    <w:p>
      <w:pPr>
        <w:pStyle w:val="Heading3"/>
        <w:spacing w:line="240" w:lineRule="auto" w:before="56"/>
        <w:ind w:right="246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3"/>
        <w:spacing w:line="240" w:lineRule="auto"/>
        <w:ind w:left="477" w:right="97"/>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477" w:right="9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spacing w:line="290" w:lineRule="auto" w:before="0"/>
        <w:ind w:left="477" w:right="9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477" w:right="97"/>
        <w:jc w:val="left"/>
      </w:pPr>
      <w:r>
        <w:rPr/>
        <w:t>√适用 □不适用</w:t>
      </w:r>
    </w:p>
    <w:p>
      <w:pPr>
        <w:pStyle w:val="BodyText"/>
        <w:spacing w:line="274" w:lineRule="exact" w:before="24"/>
        <w:ind w:left="894" w:right="97" w:hanging="779"/>
        <w:jc w:val="left"/>
      </w:pPr>
      <w:r>
        <w:rPr>
          <w:rFonts w:ascii="Arial" w:hAnsi="Arial" w:cs="Arial" w:eastAsia="Arial" w:hint="default"/>
        </w:rPr>
        <w:t>1</w:t>
      </w:r>
      <w:r>
        <w:rPr/>
        <w:t>、</w:t>
      </w:r>
      <w:r>
        <w:rPr>
          <w:spacing w:val="-74"/>
        </w:rPr>
        <w:t> </w:t>
      </w:r>
      <w:r>
        <w:rPr/>
        <w:t>在子公司所有者权益份额发生变化的情况说明</w:t>
      </w:r>
      <w:r>
        <w:rPr>
          <w:w w:val="100"/>
        </w:rPr>
        <w:t> </w:t>
      </w:r>
      <w:r>
        <w:rPr>
          <w:spacing w:val="-5"/>
          <w:w w:val="100"/>
        </w:rPr>
        <w:t>本期公司向子公司浙江广天构件股份有限公司增资，增资后持股比例由</w:t>
      </w:r>
      <w:r>
        <w:rPr>
          <w:w w:val="100"/>
        </w:rPr>
        <w:t> </w:t>
      </w:r>
      <w:r>
        <w:rPr>
          <w:rFonts w:ascii="宋体" w:hAnsi="宋体" w:cs="宋体" w:eastAsia="宋体" w:hint="default"/>
          <w:spacing w:val="-1"/>
          <w:w w:val="100"/>
        </w:rPr>
        <w:t>60.69%</w:t>
      </w:r>
      <w:r>
        <w:rPr>
          <w:spacing w:val="-1"/>
          <w:w w:val="100"/>
        </w:rPr>
        <w:t>上升至</w:t>
      </w:r>
      <w:r>
        <w:rPr>
          <w:spacing w:val="-77"/>
          <w:w w:val="100"/>
        </w:rPr>
        <w:t> </w:t>
      </w:r>
      <w:r>
        <w:rPr>
          <w:rFonts w:ascii="宋体" w:hAnsi="宋体" w:cs="宋体" w:eastAsia="宋体" w:hint="default"/>
          <w:spacing w:val="-2"/>
          <w:w w:val="100"/>
        </w:rPr>
        <w:t>74.77%</w:t>
      </w:r>
      <w:r>
        <w:rPr>
          <w:spacing w:val="-2"/>
          <w:w w:val="100"/>
        </w:rPr>
        <w:t>；</w:t>
      </w:r>
    </w:p>
    <w:p>
      <w:pPr>
        <w:pStyle w:val="BodyText"/>
        <w:spacing w:line="245" w:lineRule="exact"/>
        <w:ind w:left="477" w:right="97"/>
        <w:jc w:val="left"/>
        <w:rPr>
          <w:rFonts w:ascii="宋体" w:hAnsi="宋体" w:cs="宋体" w:eastAsia="宋体" w:hint="default"/>
        </w:rPr>
      </w:pPr>
      <w:r>
        <w:rPr/>
        <w:t>同时收购子公司上海雍胜投资管理有限公司部分少数股东股权，股权收购完成后持股比例由</w:t>
      </w:r>
      <w:r>
        <w:rPr>
          <w:spacing w:val="8"/>
        </w:rPr>
        <w:t> </w:t>
      </w:r>
      <w:r>
        <w:rPr>
          <w:rFonts w:ascii="宋体" w:hAnsi="宋体" w:cs="宋体" w:eastAsia="宋体" w:hint="default"/>
        </w:rPr>
        <w:t>65%</w:t>
      </w:r>
    </w:p>
    <w:p>
      <w:pPr>
        <w:pStyle w:val="BodyText"/>
        <w:spacing w:line="272" w:lineRule="exact"/>
        <w:ind w:left="477" w:right="97"/>
        <w:jc w:val="left"/>
      </w:pPr>
      <w:r>
        <w:rPr/>
        <w:t>上升至</w:t>
      </w:r>
      <w:r>
        <w:rPr>
          <w:spacing w:val="-54"/>
        </w:rPr>
        <w:t> </w:t>
      </w:r>
      <w:r>
        <w:rPr>
          <w:rFonts w:ascii="宋体" w:hAnsi="宋体" w:cs="宋体" w:eastAsia="宋体" w:hint="default"/>
        </w:rPr>
        <w:t>78.40%</w:t>
      </w:r>
      <w:r>
        <w:rPr/>
        <w:t>。</w:t>
      </w:r>
    </w:p>
    <w:p>
      <w:pPr>
        <w:pStyle w:val="BodyText"/>
        <w:spacing w:line="288" w:lineRule="exact"/>
        <w:ind w:left="116" w:right="97"/>
        <w:jc w:val="left"/>
      </w:pPr>
      <w:r>
        <w:rPr>
          <w:rFonts w:ascii="Arial" w:hAnsi="Arial" w:cs="Arial" w:eastAsia="Arial" w:hint="default"/>
        </w:rPr>
        <w:t>2</w:t>
      </w:r>
      <w:r>
        <w:rPr/>
        <w:t>、</w:t>
      </w:r>
      <w:r>
        <w:rPr>
          <w:spacing w:val="-23"/>
        </w:rPr>
        <w:t> </w:t>
      </w:r>
      <w:r>
        <w:rPr>
          <w:spacing w:val="-2"/>
        </w:rPr>
        <w:t>交易对于少数股东权益及归属于母公司所有者权益的影响</w:t>
      </w:r>
    </w:p>
    <w:tbl>
      <w:tblPr>
        <w:tblW w:w="0" w:type="auto"/>
        <w:jc w:val="left"/>
        <w:tblInd w:w="340" w:type="dxa"/>
        <w:tblLayout w:type="fixed"/>
        <w:tblCellMar>
          <w:top w:w="0" w:type="dxa"/>
          <w:left w:w="0" w:type="dxa"/>
          <w:bottom w:w="0" w:type="dxa"/>
          <w:right w:w="0" w:type="dxa"/>
        </w:tblCellMar>
        <w:tblLook w:val="01E0"/>
      </w:tblPr>
      <w:tblGrid>
        <w:gridCol w:w="2775"/>
        <w:gridCol w:w="3144"/>
        <w:gridCol w:w="3144"/>
      </w:tblGrid>
      <w:tr>
        <w:trPr>
          <w:trHeight w:val="291" w:hRule="exact"/>
        </w:trPr>
        <w:tc>
          <w:tcPr>
            <w:tcW w:w="2775"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4"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484" w:right="0"/>
              <w:jc w:val="left"/>
              <w:rPr>
                <w:rFonts w:ascii="宋体" w:hAnsi="宋体" w:cs="宋体" w:eastAsia="宋体" w:hint="default"/>
                <w:sz w:val="18"/>
                <w:szCs w:val="18"/>
              </w:rPr>
            </w:pPr>
            <w:r>
              <w:rPr>
                <w:rFonts w:ascii="宋体" w:hAnsi="宋体" w:cs="宋体" w:eastAsia="宋体" w:hint="default"/>
                <w:sz w:val="18"/>
                <w:szCs w:val="18"/>
              </w:rPr>
              <w:t>浙江广天构件股份有限公司</w:t>
            </w:r>
          </w:p>
        </w:tc>
        <w:tc>
          <w:tcPr>
            <w:tcW w:w="3144"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left="484" w:right="0"/>
              <w:jc w:val="left"/>
              <w:rPr>
                <w:rFonts w:ascii="宋体" w:hAnsi="宋体" w:cs="宋体" w:eastAsia="宋体" w:hint="default"/>
                <w:sz w:val="18"/>
                <w:szCs w:val="18"/>
              </w:rPr>
            </w:pPr>
            <w:r>
              <w:rPr>
                <w:rFonts w:ascii="宋体" w:hAnsi="宋体" w:cs="宋体" w:eastAsia="宋体" w:hint="default"/>
                <w:sz w:val="18"/>
                <w:szCs w:val="18"/>
              </w:rPr>
              <w:t>上海雍胜投资管理有限公司</w:t>
            </w:r>
          </w:p>
        </w:tc>
      </w:tr>
      <w:tr>
        <w:trPr>
          <w:trHeight w:val="360"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82,800,000.00</w:t>
            </w:r>
          </w:p>
        </w:tc>
        <w:tc>
          <w:tcPr>
            <w:tcW w:w="3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5,500,000.00</w:t>
            </w:r>
          </w:p>
        </w:tc>
      </w:tr>
      <w:tr>
        <w:trPr>
          <w:trHeight w:val="360"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82,800,000.00</w:t>
            </w:r>
          </w:p>
        </w:tc>
        <w:tc>
          <w:tcPr>
            <w:tcW w:w="3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5,500,000.00</w:t>
            </w:r>
          </w:p>
        </w:tc>
      </w:tr>
      <w:tr>
        <w:trPr>
          <w:trHeight w:val="552"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w:t>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公司净资产份额</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85,042,608.13</w:t>
            </w:r>
          </w:p>
        </w:tc>
        <w:tc>
          <w:tcPr>
            <w:tcW w:w="3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pacing w:val="-1"/>
                <w:sz w:val="18"/>
              </w:rPr>
              <w:t>4,692,992.73</w:t>
            </w:r>
          </w:p>
        </w:tc>
      </w:tr>
      <w:tr>
        <w:trPr>
          <w:trHeight w:val="360"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-2,242,608.13</w:t>
            </w:r>
          </w:p>
        </w:tc>
        <w:tc>
          <w:tcPr>
            <w:tcW w:w="3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807,007.27</w:t>
            </w:r>
          </w:p>
        </w:tc>
      </w:tr>
      <w:tr>
        <w:trPr>
          <w:trHeight w:val="346" w:hRule="exact"/>
        </w:trPr>
        <w:tc>
          <w:tcPr>
            <w:tcW w:w="2775"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2,242,608.13</w:t>
            </w:r>
          </w:p>
        </w:tc>
        <w:tc>
          <w:tcPr>
            <w:tcW w:w="31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-807,007.27</w:t>
            </w:r>
          </w:p>
        </w:tc>
      </w:tr>
    </w:tbl>
    <w:p>
      <w:pPr>
        <w:spacing w:line="240" w:lineRule="auto" w:before="4"/>
        <w:rPr>
          <w:rFonts w:ascii="宋体" w:hAnsi="宋体" w:cs="宋体" w:eastAsia="宋体" w:hint="default"/>
          <w:sz w:val="10"/>
          <w:szCs w:val="10"/>
        </w:rPr>
      </w:pPr>
    </w:p>
    <w:p>
      <w:pPr>
        <w:pStyle w:val="BodyText"/>
        <w:spacing w:line="240" w:lineRule="auto" w:before="36"/>
        <w:ind w:left="897" w:right="97"/>
        <w:jc w:val="left"/>
      </w:pPr>
      <w:r>
        <w:rPr/>
        <w:t>本期公司注销其下属全资子公司芜湖宁建建筑工程有限公司。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3"/>
        <w:spacing w:line="240" w:lineRule="auto" w:before="0"/>
        <w:ind w:left="477" w:right="97"/>
        <w:jc w:val="left"/>
        <w:rPr>
          <w:b w:val="0"/>
          <w:bCs w:val="0"/>
        </w:rPr>
      </w:pPr>
      <w:r>
        <w:rPr>
          <w:rFonts w:ascii="宋体" w:hAnsi="宋体" w:cs="宋体" w:eastAsia="宋体" w:hint="default"/>
        </w:rPr>
        <w:t>4</w:t>
      </w:r>
      <w:r>
        <w:rPr/>
        <w:t>、</w:t>
      </w:r>
      <w:r>
        <w:rPr>
          <w:spacing w:val="-3"/>
        </w:rPr>
        <w:t> </w:t>
      </w:r>
      <w:r>
        <w:rPr/>
        <w:t>其他</w:t>
      </w:r>
      <w:r>
        <w:rPr>
          <w:b w:val="0"/>
          <w:bCs w:val="0"/>
        </w:rPr>
      </w:r>
    </w:p>
    <w:p>
      <w:pPr>
        <w:pStyle w:val="BodyText"/>
        <w:tabs>
          <w:tab w:pos="1319" w:val="left" w:leader="none"/>
        </w:tabs>
        <w:spacing w:line="240" w:lineRule="auto" w:before="56"/>
        <w:ind w:left="477" w:right="3050"/>
        <w:jc w:val="left"/>
      </w:pPr>
      <w:r>
        <w:rPr/>
        <w:t>√适用</w:t>
        <w:tab/>
        <w:t>□不适用</w:t>
      </w:r>
      <w:r>
        <w:rPr>
          <w:w w:val="100"/>
        </w:rPr>
        <w:t> </w:t>
      </w:r>
      <w:r>
        <w:rPr>
          <w:spacing w:val="-2"/>
        </w:rPr>
        <w:t>报告期内，公司注销下属全资子公司芜湖宁建建筑工程有限公司。</w:t>
      </w:r>
    </w:p>
    <w:p>
      <w:pPr>
        <w:spacing w:after="0" w:line="240" w:lineRule="auto"/>
        <w:jc w:val="left"/>
        <w:sectPr>
          <w:pgSz w:w="11910" w:h="16840"/>
          <w:pgMar w:header="882" w:footer="1195" w:top="1120" w:bottom="1380" w:left="800" w:right="14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tabs>
          <w:tab w:pos="861" w:val="left" w:leader="none"/>
        </w:tabs>
        <w:spacing w:line="290" w:lineRule="auto"/>
        <w:ind w:left="218"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57"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
              <w:ind w:left="415" w:right="324"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21"/>
              <w:ind w:left="18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1"/>
              <w:ind w:left="3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21"/>
              <w:ind w:left="28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78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3"/>
              <w:ind w:left="523" w:right="521"/>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16" w:type="dxa"/>
            <w:vMerge/>
            <w:tcBorders>
              <w:left w:val="single" w:sz="4" w:space="0" w:color="000000"/>
              <w:bottom w:val="single" w:sz="4" w:space="0" w:color="000000"/>
              <w:right w:val="single" w:sz="4" w:space="0" w:color="000000"/>
            </w:tcBorders>
          </w:tcPr>
          <w:p>
            <w:pP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宁波建工工</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6"/>
                <w:sz w:val="18"/>
                <w:szCs w:val="18"/>
              </w:rPr>
              <w:t>程集团有限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土建施工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71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浙江广天构</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6"/>
                <w:sz w:val="18"/>
                <w:szCs w:val="18"/>
              </w:rPr>
              <w:t>件股份有限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商品混凝土、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管桩销售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74.77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同一控制下企</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宁波市明州</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6"/>
                <w:sz w:val="18"/>
                <w:szCs w:val="18"/>
              </w:rPr>
              <w:t>建筑设计院</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同一控制下企</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94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宁波市政工</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16"/>
                <w:sz w:val="18"/>
                <w:szCs w:val="18"/>
              </w:rPr>
              <w:t>程建设集团</w:t>
            </w:r>
            <w:r>
              <w:rPr>
                <w:rFonts w:ascii="宋体" w:hAnsi="宋体" w:cs="宋体" w:eastAsia="宋体" w:hint="default"/>
                <w:spacing w:val="-86"/>
                <w:sz w:val="18"/>
                <w:szCs w:val="18"/>
              </w:rPr>
              <w:t> </w:t>
            </w:r>
            <w:r>
              <w:rPr>
                <w:rFonts w:ascii="宋体" w:hAnsi="宋体" w:cs="宋体" w:eastAsia="宋体" w:hint="default"/>
                <w:spacing w:val="16"/>
                <w:sz w:val="18"/>
                <w:szCs w:val="18"/>
              </w:rPr>
              <w:t>股份有限公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城市建设工程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非同一控制企</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94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6"/>
                <w:sz w:val="18"/>
                <w:szCs w:val="18"/>
              </w:rPr>
              <w:t>宁波冶金勘</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2" w:lineRule="exact" w:before="24"/>
              <w:ind w:left="103" w:right="77"/>
              <w:jc w:val="both"/>
              <w:rPr>
                <w:rFonts w:ascii="宋体" w:hAnsi="宋体" w:cs="宋体" w:eastAsia="宋体" w:hint="default"/>
                <w:sz w:val="18"/>
                <w:szCs w:val="18"/>
              </w:rPr>
            </w:pPr>
            <w:r>
              <w:rPr>
                <w:rFonts w:ascii="宋体" w:hAnsi="宋体" w:cs="宋体" w:eastAsia="宋体" w:hint="default"/>
                <w:spacing w:val="16"/>
                <w:sz w:val="18"/>
                <w:szCs w:val="18"/>
              </w:rPr>
              <w:t>察设计研究</w:t>
            </w:r>
            <w:r>
              <w:rPr>
                <w:rFonts w:ascii="宋体" w:hAnsi="宋体" w:cs="宋体" w:eastAsia="宋体" w:hint="default"/>
                <w:spacing w:val="-86"/>
                <w:sz w:val="18"/>
                <w:szCs w:val="18"/>
              </w:rPr>
              <w:t> </w:t>
            </w:r>
            <w:r>
              <w:rPr>
                <w:rFonts w:ascii="宋体" w:hAnsi="宋体" w:cs="宋体" w:eastAsia="宋体" w:hint="default"/>
                <w:spacing w:val="16"/>
                <w:sz w:val="18"/>
                <w:szCs w:val="18"/>
              </w:rPr>
              <w:t>股份有限公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勘察设计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非同一控制企</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宁波建工建</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before="21"/>
              <w:ind w:left="103" w:right="77"/>
              <w:jc w:val="left"/>
              <w:rPr>
                <w:rFonts w:ascii="宋体" w:hAnsi="宋体" w:cs="宋体" w:eastAsia="宋体" w:hint="default"/>
                <w:sz w:val="18"/>
                <w:szCs w:val="18"/>
              </w:rPr>
            </w:pPr>
            <w:r>
              <w:rPr>
                <w:rFonts w:ascii="宋体" w:hAnsi="宋体" w:cs="宋体" w:eastAsia="宋体" w:hint="default"/>
                <w:spacing w:val="16"/>
                <w:sz w:val="18"/>
                <w:szCs w:val="18"/>
              </w:rPr>
              <w:t>乐工程有限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土建施工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非同一控制企</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上海雍胜投</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2" w:lineRule="exact" w:before="23"/>
              <w:ind w:left="103" w:right="77"/>
              <w:jc w:val="left"/>
              <w:rPr>
                <w:rFonts w:ascii="宋体" w:hAnsi="宋体" w:cs="宋体" w:eastAsia="宋体" w:hint="default"/>
                <w:sz w:val="18"/>
                <w:szCs w:val="18"/>
              </w:rPr>
            </w:pPr>
            <w:r>
              <w:rPr>
                <w:rFonts w:ascii="宋体" w:hAnsi="宋体" w:cs="宋体" w:eastAsia="宋体" w:hint="default"/>
                <w:spacing w:val="16"/>
                <w:sz w:val="18"/>
                <w:szCs w:val="18"/>
              </w:rPr>
              <w:t>资管理有限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78.40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47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宁波建工投</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上海安旌投</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6"/>
                <w:sz w:val="18"/>
                <w:szCs w:val="18"/>
              </w:rPr>
              <w:t>资管理有限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温州宁建金</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6"/>
                <w:sz w:val="18"/>
                <w:szCs w:val="18"/>
              </w:rPr>
              <w:t>科投资管理</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浙江温州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浙江温州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p>
        </w:tc>
      </w:tr>
    </w:tbl>
    <w:p>
      <w:pPr>
        <w:spacing w:line="240" w:lineRule="auto" w:before="6"/>
        <w:rPr>
          <w:rFonts w:ascii="宋体" w:hAnsi="宋体" w:cs="宋体" w:eastAsia="宋体" w:hint="default"/>
          <w:sz w:val="14"/>
          <w:szCs w:val="14"/>
        </w:rPr>
      </w:pPr>
    </w:p>
    <w:p>
      <w:pPr>
        <w:pStyle w:val="BodyText"/>
        <w:spacing w:line="273" w:lineRule="exact" w:before="36"/>
        <w:ind w:left="218" w:right="2465"/>
        <w:jc w:val="left"/>
      </w:pPr>
      <w:r>
        <w:rPr/>
        <w:t>在子公司的持股比例不同于表决权比例的说明：</w:t>
      </w:r>
    </w:p>
    <w:p>
      <w:pPr>
        <w:pStyle w:val="BodyText"/>
        <w:tabs>
          <w:tab w:pos="1057" w:val="left" w:leader="none"/>
        </w:tabs>
        <w:spacing w:line="274" w:lineRule="exact" w:before="24"/>
        <w:ind w:left="218" w:right="228"/>
        <w:jc w:val="left"/>
      </w:pPr>
      <w:r>
        <w:rPr>
          <w:spacing w:val="-1"/>
        </w:rPr>
        <w:t>（</w:t>
      </w:r>
      <w:r>
        <w:rPr>
          <w:rFonts w:ascii="Times New Roman" w:hAnsi="Times New Roman" w:cs="Times New Roman" w:eastAsia="Times New Roman" w:hint="default"/>
          <w:spacing w:val="-1"/>
        </w:rPr>
        <w:t>1</w:t>
      </w:r>
      <w:r>
        <w:rPr>
          <w:spacing w:val="-1"/>
        </w:rPr>
        <w:t>）</w:t>
        <w:tab/>
      </w:r>
      <w:r>
        <w:rPr>
          <w:spacing w:val="-2"/>
        </w:rPr>
        <w:t>本公司对宁波市政工程建设集团股份有限公司直接持股比例为</w:t>
      </w:r>
      <w:r>
        <w:rPr>
          <w:spacing w:val="13"/>
        </w:rPr>
        <w:t> </w:t>
      </w:r>
      <w:r>
        <w:rPr>
          <w:rFonts w:ascii="Times New Roman" w:hAnsi="Times New Roman" w:cs="Times New Roman" w:eastAsia="Times New Roman" w:hint="default"/>
          <w:spacing w:val="-2"/>
        </w:rPr>
        <w:t>95%</w:t>
      </w:r>
      <w:r>
        <w:rPr>
          <w:spacing w:val="-2"/>
        </w:rPr>
        <w:t>，通过子公司宁波建</w:t>
      </w:r>
      <w:r>
        <w:rPr>
          <w:w w:val="100"/>
        </w:rPr>
        <w:t> </w:t>
      </w:r>
      <w:r>
        <w:rPr/>
        <w:t>工投资有限公司持有宁波市政集团</w:t>
      </w:r>
      <w:r>
        <w:rPr>
          <w:spacing w:val="-56"/>
        </w:rPr>
        <w:t> </w:t>
      </w:r>
      <w:r>
        <w:rPr>
          <w:rFonts w:ascii="Times New Roman" w:hAnsi="Times New Roman" w:cs="Times New Roman" w:eastAsia="Times New Roman" w:hint="default"/>
        </w:rPr>
        <w:t>5%</w:t>
      </w:r>
      <w:r>
        <w:rPr/>
        <w:t>股权，合计表决权比例为</w:t>
      </w:r>
      <w:r>
        <w:rPr>
          <w:spacing w:val="-56"/>
        </w:rPr>
        <w:t> </w:t>
      </w:r>
      <w:r>
        <w:rPr>
          <w:rFonts w:ascii="Times New Roman" w:hAnsi="Times New Roman" w:cs="Times New Roman" w:eastAsia="Times New Roman" w:hint="default"/>
        </w:rPr>
        <w:t>100%</w:t>
      </w:r>
      <w:r>
        <w:rPr/>
        <w:t>。</w:t>
      </w:r>
    </w:p>
    <w:p>
      <w:pPr>
        <w:pStyle w:val="BodyText"/>
        <w:tabs>
          <w:tab w:pos="1057" w:val="left" w:leader="none"/>
        </w:tabs>
        <w:spacing w:line="253" w:lineRule="exact"/>
        <w:ind w:left="218" w:right="0"/>
        <w:jc w:val="left"/>
      </w:pPr>
      <w:r>
        <w:rPr>
          <w:spacing w:val="-1"/>
        </w:rPr>
        <w:t>（</w:t>
      </w:r>
      <w:r>
        <w:rPr>
          <w:rFonts w:ascii="Times New Roman" w:hAnsi="Times New Roman" w:cs="Times New Roman" w:eastAsia="Times New Roman" w:hint="default"/>
          <w:spacing w:val="-1"/>
        </w:rPr>
        <w:t>2</w:t>
      </w:r>
      <w:r>
        <w:rPr>
          <w:spacing w:val="-1"/>
        </w:rPr>
        <w:t>）</w:t>
        <w:tab/>
      </w:r>
      <w:r>
        <w:rPr>
          <w:spacing w:val="-2"/>
        </w:rPr>
        <w:t>本公司对温州宁建金科投资管理有限公司直接持股比例为</w:t>
      </w:r>
      <w:r>
        <w:rPr>
          <w:spacing w:val="13"/>
        </w:rPr>
        <w:t> </w:t>
      </w:r>
      <w:r>
        <w:rPr>
          <w:rFonts w:ascii="Times New Roman" w:hAnsi="Times New Roman" w:cs="Times New Roman" w:eastAsia="Times New Roman" w:hint="default"/>
          <w:spacing w:val="-2"/>
        </w:rPr>
        <w:t>90%</w:t>
      </w:r>
      <w:r>
        <w:rPr>
          <w:spacing w:val="-2"/>
        </w:rPr>
        <w:t>，通过子公司宁波建工工</w:t>
      </w:r>
    </w:p>
    <w:p>
      <w:pPr>
        <w:pStyle w:val="BodyText"/>
        <w:spacing w:line="272" w:lineRule="exact" w:before="19"/>
        <w:ind w:left="218" w:right="222"/>
        <w:jc w:val="left"/>
      </w:pPr>
      <w:r>
        <w:rPr/>
        <w:t>程集团有限公司持有 </w:t>
      </w:r>
      <w:r>
        <w:rPr>
          <w:rFonts w:ascii="Times New Roman" w:hAnsi="Times New Roman" w:cs="Times New Roman" w:eastAsia="Times New Roman" w:hint="default"/>
        </w:rPr>
        <w:t>5.00%</w:t>
      </w:r>
      <w:r>
        <w:rPr/>
        <w:t>股权，通过子公司宁波市政工程建设集团持有</w:t>
      </w:r>
      <w:r>
        <w:rPr>
          <w:spacing w:val="-29"/>
        </w:rPr>
        <w:t> </w:t>
      </w:r>
      <w:r>
        <w:rPr>
          <w:rFonts w:ascii="Times New Roman" w:hAnsi="Times New Roman" w:cs="Times New Roman" w:eastAsia="Times New Roman" w:hint="default"/>
        </w:rPr>
        <w:t>5.00%</w:t>
      </w:r>
      <w:r>
        <w:rPr/>
        <w:t>的股权，合计表</w:t>
      </w:r>
      <w:r>
        <w:rPr>
          <w:w w:val="100"/>
        </w:rPr>
        <w:t> </w:t>
      </w:r>
      <w:r>
        <w:rPr/>
        <w:t>决权比例为</w:t>
      </w:r>
      <w:r>
        <w:rPr>
          <w:spacing w:val="-53"/>
        </w:rPr>
        <w:t> </w:t>
      </w: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53"/>
          <w:footerReference w:type="default" r:id="rId54"/>
          <w:pgSz w:w="11910" w:h="16840"/>
          <w:pgMar w:header="882" w:footer="1195" w:top="1120" w:bottom="1380" w:left="1580" w:right="1040"/>
          <w:pgNumType w:start="135"/>
        </w:sectPr>
      </w:pPr>
    </w:p>
    <w:p>
      <w:pPr>
        <w:pStyle w:val="Heading3"/>
        <w:tabs>
          <w:tab w:pos="861" w:val="left" w:leader="none"/>
        </w:tabs>
        <w:spacing w:line="240" w:lineRule="auto"/>
        <w:ind w:left="21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763" w:space="4064"/>
            <w:col w:w="2463"/>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5"/>
        <w:gridCol w:w="1742"/>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浙江广天构件</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1" w:right="0"/>
              <w:jc w:val="left"/>
              <w:rPr>
                <w:rFonts w:ascii="Times New Roman" w:hAnsi="Times New Roman" w:cs="Times New Roman" w:eastAsia="Times New Roman" w:hint="default"/>
                <w:sz w:val="21"/>
                <w:szCs w:val="21"/>
              </w:rPr>
            </w:pPr>
            <w:r>
              <w:rPr>
                <w:rFonts w:ascii="Times New Roman"/>
                <w:sz w:val="21"/>
              </w:rPr>
              <w:t>25.23%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6" w:right="0"/>
              <w:jc w:val="left"/>
              <w:rPr>
                <w:rFonts w:ascii="Times New Roman" w:hAnsi="Times New Roman" w:cs="Times New Roman" w:eastAsia="Times New Roman" w:hint="default"/>
                <w:sz w:val="21"/>
                <w:szCs w:val="21"/>
              </w:rPr>
            </w:pPr>
            <w:r>
              <w:rPr>
                <w:rFonts w:ascii="Times New Roman"/>
                <w:sz w:val="21"/>
              </w:rPr>
              <w:t>-628,784.42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9" w:right="0"/>
              <w:jc w:val="left"/>
              <w:rPr>
                <w:rFonts w:ascii="Times New Roman" w:hAnsi="Times New Roman" w:cs="Times New Roman" w:eastAsia="Times New Roman" w:hint="default"/>
                <w:sz w:val="21"/>
                <w:szCs w:val="21"/>
              </w:rPr>
            </w:pPr>
            <w:r>
              <w:rPr>
                <w:rFonts w:ascii="Times New Roman"/>
                <w:sz w:val="21"/>
              </w:rPr>
              <w:t>1,885,500.00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2" w:right="0"/>
              <w:jc w:val="left"/>
              <w:rPr>
                <w:rFonts w:ascii="Times New Roman" w:hAnsi="Times New Roman" w:cs="Times New Roman" w:eastAsia="Times New Roman" w:hint="default"/>
                <w:sz w:val="21"/>
                <w:szCs w:val="21"/>
              </w:rPr>
            </w:pPr>
            <w:r>
              <w:rPr>
                <w:rFonts w:ascii="Times New Roman"/>
                <w:sz w:val="21"/>
              </w:rPr>
              <w:t>15,717,461.29</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258" w:right="0"/>
        <w:jc w:val="left"/>
      </w:pPr>
      <w:r>
        <w:rPr/>
        <w:t>子公司少数股东的持股比例不同于表决权比例的说明：</w:t>
      </w:r>
    </w:p>
    <w:p>
      <w:pPr>
        <w:pStyle w:val="BodyText"/>
        <w:spacing w:line="290" w:lineRule="exact"/>
        <w:ind w:left="12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1258" w:right="0"/>
        <w:jc w:val="left"/>
      </w:pPr>
      <w:r>
        <w:rPr/>
        <w:t>其他说明：</w:t>
      </w:r>
    </w:p>
    <w:p>
      <w:pPr>
        <w:pStyle w:val="BodyText"/>
        <w:spacing w:line="289" w:lineRule="exact"/>
        <w:ind w:left="12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540" w:right="1040"/>
        </w:sectPr>
      </w:pPr>
    </w:p>
    <w:p>
      <w:pPr>
        <w:pStyle w:val="Heading3"/>
        <w:tabs>
          <w:tab w:pos="1901" w:val="left" w:leader="none"/>
        </w:tabs>
        <w:spacing w:line="240" w:lineRule="auto"/>
        <w:ind w:left="1258"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1258"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158" w:val="left" w:leader="none"/>
        </w:tabs>
        <w:spacing w:line="240" w:lineRule="auto"/>
        <w:ind w:left="12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540" w:right="1040"/>
          <w:cols w:num="2" w:equalWidth="0">
            <w:col w:w="5065" w:space="1761"/>
            <w:col w:w="3504"/>
          </w:cols>
        </w:sectPr>
      </w:pPr>
    </w:p>
    <w:tbl>
      <w:tblPr>
        <w:tblW w:w="0" w:type="auto"/>
        <w:jc w:val="left"/>
        <w:tblInd w:w="117" w:type="dxa"/>
        <w:tblLayout w:type="fixed"/>
        <w:tblCellMar>
          <w:top w:w="0" w:type="dxa"/>
          <w:left w:w="0" w:type="dxa"/>
          <w:bottom w:w="0" w:type="dxa"/>
          <w:right w:w="0" w:type="dxa"/>
        </w:tblCellMar>
        <w:tblLook w:val="01E0"/>
      </w:tblPr>
      <w:tblGrid>
        <w:gridCol w:w="319"/>
        <w:gridCol w:w="929"/>
        <w:gridCol w:w="931"/>
        <w:gridCol w:w="931"/>
        <w:gridCol w:w="929"/>
        <w:gridCol w:w="226"/>
        <w:gridCol w:w="931"/>
        <w:gridCol w:w="932"/>
        <w:gridCol w:w="931"/>
        <w:gridCol w:w="931"/>
        <w:gridCol w:w="932"/>
        <w:gridCol w:w="226"/>
        <w:gridCol w:w="929"/>
      </w:tblGrid>
      <w:tr>
        <w:trPr>
          <w:trHeight w:val="252" w:hRule="exact"/>
        </w:trPr>
        <w:tc>
          <w:tcPr>
            <w:tcW w:w="319" w:type="dxa"/>
            <w:vMerge w:val="restart"/>
            <w:tcBorders>
              <w:top w:val="single" w:sz="4" w:space="0" w:color="000000"/>
              <w:left w:val="single" w:sz="4" w:space="0" w:color="000000"/>
              <w:right w:val="single" w:sz="4" w:space="0" w:color="000000"/>
            </w:tcBorders>
          </w:tcPr>
          <w:p>
            <w:pPr>
              <w:pStyle w:val="TableParagraph"/>
              <w:spacing w:line="240" w:lineRule="auto" w:before="101"/>
              <w:ind w:left="103" w:right="53"/>
              <w:jc w:val="both"/>
              <w:rPr>
                <w:rFonts w:ascii="宋体" w:hAnsi="宋体" w:cs="宋体" w:eastAsia="宋体" w:hint="default"/>
                <w:sz w:val="15"/>
                <w:szCs w:val="15"/>
              </w:rPr>
            </w:pPr>
            <w:r>
              <w:rPr>
                <w:rFonts w:ascii="宋体" w:hAnsi="宋体" w:cs="宋体" w:eastAsia="宋体" w:hint="default"/>
                <w:sz w:val="15"/>
                <w:szCs w:val="15"/>
              </w:rPr>
              <w:t>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名</w:t>
            </w:r>
            <w:r>
              <w:rPr>
                <w:rFonts w:ascii="宋体" w:hAnsi="宋体" w:cs="宋体" w:eastAsia="宋体" w:hint="default"/>
                <w:w w:val="100"/>
                <w:sz w:val="15"/>
                <w:szCs w:val="15"/>
              </w:rPr>
              <w:t> </w:t>
            </w:r>
            <w:r>
              <w:rPr>
                <w:rFonts w:ascii="宋体" w:hAnsi="宋体" w:cs="宋体" w:eastAsia="宋体" w:hint="default"/>
                <w:sz w:val="15"/>
                <w:szCs w:val="15"/>
              </w:rPr>
              <w:t>称</w:t>
            </w:r>
          </w:p>
        </w:tc>
        <w:tc>
          <w:tcPr>
            <w:tcW w:w="48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8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982" w:hRule="exact"/>
        </w:trPr>
        <w:tc>
          <w:tcPr>
            <w:tcW w:w="319" w:type="dxa"/>
            <w:vMerge/>
            <w:tcBorders>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62" w:right="0"/>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2" w:right="0"/>
              <w:jc w:val="both"/>
              <w:rPr>
                <w:rFonts w:ascii="宋体" w:hAnsi="宋体" w:cs="宋体" w:eastAsia="宋体" w:hint="default"/>
                <w:sz w:val="15"/>
                <w:szCs w:val="15"/>
              </w:rPr>
            </w:pPr>
            <w:r>
              <w:rPr>
                <w:rFonts w:ascii="宋体" w:hAnsi="宋体" w:cs="宋体" w:eastAsia="宋体" w:hint="default"/>
                <w:w w:val="100"/>
                <w:sz w:val="15"/>
                <w:szCs w:val="15"/>
              </w:rPr>
              <w:t>非</w:t>
            </w:r>
          </w:p>
          <w:p>
            <w:pPr>
              <w:pStyle w:val="TableParagraph"/>
              <w:spacing w:line="240" w:lineRule="auto"/>
              <w:ind w:left="62" w:right="0"/>
              <w:jc w:val="both"/>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动</w:t>
            </w:r>
            <w:r>
              <w:rPr>
                <w:rFonts w:ascii="宋体" w:hAnsi="宋体" w:cs="宋体" w:eastAsia="宋体" w:hint="default"/>
                <w:w w:val="100"/>
                <w:sz w:val="15"/>
                <w:szCs w:val="15"/>
              </w:rPr>
              <w:t> </w:t>
            </w:r>
            <w:r>
              <w:rPr>
                <w:rFonts w:ascii="宋体" w:hAnsi="宋体" w:cs="宋体" w:eastAsia="宋体" w:hint="default"/>
                <w:sz w:val="15"/>
                <w:szCs w:val="15"/>
              </w:rPr>
              <w:t>负</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2345" w:hRule="exact"/>
        </w:trPr>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浙</w:t>
            </w:r>
          </w:p>
          <w:p>
            <w:pPr>
              <w:pStyle w:val="TableParagraph"/>
              <w:spacing w:line="240" w:lineRule="auto"/>
              <w:ind w:left="103" w:right="53"/>
              <w:jc w:val="both"/>
              <w:rPr>
                <w:rFonts w:ascii="宋体" w:hAnsi="宋体" w:cs="宋体" w:eastAsia="宋体" w:hint="default"/>
                <w:sz w:val="15"/>
                <w:szCs w:val="15"/>
              </w:rPr>
            </w:pP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构</w:t>
            </w:r>
            <w:r>
              <w:rPr>
                <w:rFonts w:ascii="宋体" w:hAnsi="宋体" w:cs="宋体" w:eastAsia="宋体" w:hint="default"/>
                <w:w w:val="100"/>
                <w:sz w:val="15"/>
                <w:szCs w:val="15"/>
              </w:rPr>
              <w:t> </w:t>
            </w:r>
            <w:r>
              <w:rPr>
                <w:rFonts w:ascii="宋体" w:hAnsi="宋体" w:cs="宋体" w:eastAsia="宋体" w:hint="default"/>
                <w:sz w:val="15"/>
                <w:szCs w:val="15"/>
              </w:rPr>
              <w:t>件</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份</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9" w:right="0"/>
              <w:jc w:val="left"/>
              <w:rPr>
                <w:rFonts w:ascii="宋体" w:hAnsi="宋体" w:cs="宋体" w:eastAsia="宋体" w:hint="default"/>
                <w:sz w:val="15"/>
                <w:szCs w:val="15"/>
              </w:rPr>
            </w:pPr>
            <w:r>
              <w:rPr>
                <w:rFonts w:ascii="宋体"/>
                <w:sz w:val="15"/>
              </w:rPr>
              <w:t>614,524,4</w:t>
            </w:r>
          </w:p>
          <w:p>
            <w:pPr>
              <w:pStyle w:val="TableParagraph"/>
              <w:spacing w:line="195" w:lineRule="exact"/>
              <w:ind w:left="439" w:right="0"/>
              <w:jc w:val="left"/>
              <w:rPr>
                <w:rFonts w:ascii="宋体" w:hAnsi="宋体" w:cs="宋体" w:eastAsia="宋体" w:hint="default"/>
                <w:sz w:val="15"/>
                <w:szCs w:val="15"/>
              </w:rPr>
            </w:pPr>
            <w:r>
              <w:rPr>
                <w:rFonts w:ascii="宋体"/>
                <w:sz w:val="15"/>
              </w:rPr>
              <w:t>26.82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1" w:right="0"/>
              <w:jc w:val="left"/>
              <w:rPr>
                <w:rFonts w:ascii="宋体" w:hAnsi="宋体" w:cs="宋体" w:eastAsia="宋体" w:hint="default"/>
                <w:sz w:val="15"/>
                <w:szCs w:val="15"/>
              </w:rPr>
            </w:pPr>
            <w:r>
              <w:rPr>
                <w:rFonts w:ascii="宋体"/>
                <w:sz w:val="15"/>
              </w:rPr>
              <w:t>221,528,8</w:t>
            </w:r>
          </w:p>
          <w:p>
            <w:pPr>
              <w:pStyle w:val="TableParagraph"/>
              <w:spacing w:line="195" w:lineRule="exact"/>
              <w:ind w:left="441" w:right="0"/>
              <w:jc w:val="left"/>
              <w:rPr>
                <w:rFonts w:ascii="宋体" w:hAnsi="宋体" w:cs="宋体" w:eastAsia="宋体" w:hint="default"/>
                <w:sz w:val="15"/>
                <w:szCs w:val="15"/>
              </w:rPr>
            </w:pPr>
            <w:r>
              <w:rPr>
                <w:rFonts w:ascii="宋体"/>
                <w:sz w:val="15"/>
              </w:rPr>
              <w:t>62.94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1" w:right="0"/>
              <w:jc w:val="left"/>
              <w:rPr>
                <w:rFonts w:ascii="宋体" w:hAnsi="宋体" w:cs="宋体" w:eastAsia="宋体" w:hint="default"/>
                <w:sz w:val="15"/>
                <w:szCs w:val="15"/>
              </w:rPr>
            </w:pPr>
            <w:r>
              <w:rPr>
                <w:rFonts w:ascii="宋体"/>
                <w:sz w:val="15"/>
              </w:rPr>
              <w:t>836,053,2</w:t>
            </w:r>
          </w:p>
          <w:p>
            <w:pPr>
              <w:pStyle w:val="TableParagraph"/>
              <w:spacing w:line="195" w:lineRule="exact"/>
              <w:ind w:left="441" w:right="0"/>
              <w:jc w:val="left"/>
              <w:rPr>
                <w:rFonts w:ascii="宋体" w:hAnsi="宋体" w:cs="宋体" w:eastAsia="宋体" w:hint="default"/>
                <w:sz w:val="15"/>
                <w:szCs w:val="15"/>
              </w:rPr>
            </w:pPr>
            <w:r>
              <w:rPr>
                <w:rFonts w:ascii="宋体"/>
                <w:sz w:val="15"/>
              </w:rPr>
              <w:t>89.76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2" w:right="0"/>
              <w:jc w:val="left"/>
              <w:rPr>
                <w:rFonts w:ascii="宋体" w:hAnsi="宋体" w:cs="宋体" w:eastAsia="宋体" w:hint="default"/>
                <w:sz w:val="15"/>
                <w:szCs w:val="15"/>
              </w:rPr>
            </w:pPr>
            <w:r>
              <w:rPr>
                <w:rFonts w:ascii="宋体"/>
                <w:sz w:val="15"/>
              </w:rPr>
              <w:t>568,183,7</w:t>
            </w:r>
          </w:p>
          <w:p>
            <w:pPr>
              <w:pStyle w:val="TableParagraph"/>
              <w:spacing w:line="195" w:lineRule="exact"/>
              <w:ind w:left="442" w:right="0"/>
              <w:jc w:val="left"/>
              <w:rPr>
                <w:rFonts w:ascii="宋体" w:hAnsi="宋体" w:cs="宋体" w:eastAsia="宋体" w:hint="default"/>
                <w:sz w:val="15"/>
                <w:szCs w:val="15"/>
              </w:rPr>
            </w:pPr>
            <w:r>
              <w:rPr>
                <w:rFonts w:ascii="宋体"/>
                <w:sz w:val="15"/>
              </w:rPr>
              <w:t>61.94</w:t>
            </w:r>
          </w:p>
        </w:tc>
        <w:tc>
          <w:tcPr>
            <w:tcW w:w="22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4" w:right="0"/>
              <w:jc w:val="left"/>
              <w:rPr>
                <w:rFonts w:ascii="宋体" w:hAnsi="宋体" w:cs="宋体" w:eastAsia="宋体" w:hint="default"/>
                <w:sz w:val="15"/>
                <w:szCs w:val="15"/>
              </w:rPr>
            </w:pPr>
            <w:r>
              <w:rPr>
                <w:rFonts w:ascii="宋体"/>
                <w:sz w:val="15"/>
              </w:rPr>
              <w:t>568,183,7</w:t>
            </w:r>
          </w:p>
          <w:p>
            <w:pPr>
              <w:pStyle w:val="TableParagraph"/>
              <w:spacing w:line="195" w:lineRule="exact"/>
              <w:ind w:left="444" w:right="0"/>
              <w:jc w:val="left"/>
              <w:rPr>
                <w:rFonts w:ascii="宋体" w:hAnsi="宋体" w:cs="宋体" w:eastAsia="宋体" w:hint="default"/>
                <w:sz w:val="15"/>
                <w:szCs w:val="15"/>
              </w:rPr>
            </w:pPr>
            <w:r>
              <w:rPr>
                <w:rFonts w:ascii="宋体"/>
                <w:sz w:val="15"/>
              </w:rPr>
              <w:t>61.94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sz w:val="15"/>
              </w:rPr>
              <w:t>508,825,7</w:t>
            </w:r>
          </w:p>
          <w:p>
            <w:pPr>
              <w:pStyle w:val="TableParagraph"/>
              <w:spacing w:line="195" w:lineRule="exact"/>
              <w:ind w:left="443" w:right="0"/>
              <w:jc w:val="left"/>
              <w:rPr>
                <w:rFonts w:ascii="宋体" w:hAnsi="宋体" w:cs="宋体" w:eastAsia="宋体" w:hint="default"/>
                <w:sz w:val="15"/>
                <w:szCs w:val="15"/>
              </w:rPr>
            </w:pPr>
            <w:r>
              <w:rPr>
                <w:rFonts w:ascii="宋体"/>
                <w:sz w:val="15"/>
              </w:rPr>
              <w:t>04.83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4" w:right="0"/>
              <w:jc w:val="left"/>
              <w:rPr>
                <w:rFonts w:ascii="宋体" w:hAnsi="宋体" w:cs="宋体" w:eastAsia="宋体" w:hint="default"/>
                <w:sz w:val="15"/>
                <w:szCs w:val="15"/>
              </w:rPr>
            </w:pPr>
            <w:r>
              <w:rPr>
                <w:rFonts w:ascii="宋体"/>
                <w:sz w:val="15"/>
              </w:rPr>
              <w:t>133,991,6</w:t>
            </w:r>
          </w:p>
          <w:p>
            <w:pPr>
              <w:pStyle w:val="TableParagraph"/>
              <w:spacing w:line="195" w:lineRule="exact"/>
              <w:ind w:left="444" w:right="0"/>
              <w:jc w:val="left"/>
              <w:rPr>
                <w:rFonts w:ascii="宋体" w:hAnsi="宋体" w:cs="宋体" w:eastAsia="宋体" w:hint="default"/>
                <w:sz w:val="15"/>
                <w:szCs w:val="15"/>
              </w:rPr>
            </w:pPr>
            <w:r>
              <w:rPr>
                <w:rFonts w:ascii="宋体"/>
                <w:sz w:val="15"/>
              </w:rPr>
              <w:t>24.80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4" w:right="0"/>
              <w:jc w:val="left"/>
              <w:rPr>
                <w:rFonts w:ascii="宋体" w:hAnsi="宋体" w:cs="宋体" w:eastAsia="宋体" w:hint="default"/>
                <w:sz w:val="15"/>
                <w:szCs w:val="15"/>
              </w:rPr>
            </w:pPr>
            <w:r>
              <w:rPr>
                <w:rFonts w:ascii="宋体"/>
                <w:sz w:val="15"/>
              </w:rPr>
              <w:t>642,817,3</w:t>
            </w:r>
          </w:p>
          <w:p>
            <w:pPr>
              <w:pStyle w:val="TableParagraph"/>
              <w:spacing w:line="195" w:lineRule="exact"/>
              <w:ind w:left="444" w:right="0"/>
              <w:jc w:val="left"/>
              <w:rPr>
                <w:rFonts w:ascii="宋体" w:hAnsi="宋体" w:cs="宋体" w:eastAsia="宋体" w:hint="default"/>
                <w:sz w:val="15"/>
                <w:szCs w:val="15"/>
              </w:rPr>
            </w:pPr>
            <w:r>
              <w:rPr>
                <w:rFonts w:ascii="宋体"/>
                <w:sz w:val="15"/>
              </w:rPr>
              <w:t>29.63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sz w:val="15"/>
              </w:rPr>
              <w:t>493,019,6</w:t>
            </w:r>
          </w:p>
          <w:p>
            <w:pPr>
              <w:pStyle w:val="TableParagraph"/>
              <w:spacing w:line="195" w:lineRule="exact"/>
              <w:ind w:left="444" w:right="0"/>
              <w:jc w:val="left"/>
              <w:rPr>
                <w:rFonts w:ascii="宋体" w:hAnsi="宋体" w:cs="宋体" w:eastAsia="宋体" w:hint="default"/>
                <w:sz w:val="15"/>
                <w:szCs w:val="15"/>
              </w:rPr>
            </w:pPr>
            <w:r>
              <w:rPr>
                <w:rFonts w:ascii="宋体"/>
                <w:sz w:val="15"/>
              </w:rPr>
              <w:t>71.78</w:t>
            </w:r>
          </w:p>
        </w:tc>
        <w:tc>
          <w:tcPr>
            <w:tcW w:w="2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1" w:right="0"/>
              <w:jc w:val="left"/>
              <w:rPr>
                <w:rFonts w:ascii="宋体" w:hAnsi="宋体" w:cs="宋体" w:eastAsia="宋体" w:hint="default"/>
                <w:sz w:val="15"/>
                <w:szCs w:val="15"/>
              </w:rPr>
            </w:pPr>
            <w:r>
              <w:rPr>
                <w:rFonts w:ascii="宋体"/>
                <w:sz w:val="15"/>
              </w:rPr>
              <w:t>493,019,6</w:t>
            </w:r>
          </w:p>
          <w:p>
            <w:pPr>
              <w:pStyle w:val="TableParagraph"/>
              <w:spacing w:line="195" w:lineRule="exact"/>
              <w:ind w:left="441" w:right="0"/>
              <w:jc w:val="left"/>
              <w:rPr>
                <w:rFonts w:ascii="宋体" w:hAnsi="宋体" w:cs="宋体" w:eastAsia="宋体" w:hint="default"/>
                <w:sz w:val="15"/>
                <w:szCs w:val="15"/>
              </w:rPr>
            </w:pPr>
            <w:r>
              <w:rPr>
                <w:rFonts w:ascii="宋体"/>
                <w:sz w:val="15"/>
              </w:rPr>
              <w:t>71.78</w:t>
            </w:r>
          </w:p>
        </w:tc>
      </w:tr>
      <w:tr>
        <w:trPr>
          <w:trHeight w:val="204" w:hRule="exact"/>
        </w:trPr>
        <w:tc>
          <w:tcPr>
            <w:tcW w:w="31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22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2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1325"/>
        <w:gridCol w:w="1154"/>
        <w:gridCol w:w="1078"/>
        <w:gridCol w:w="1080"/>
        <w:gridCol w:w="1078"/>
        <w:gridCol w:w="1154"/>
        <w:gridCol w:w="1080"/>
        <w:gridCol w:w="1078"/>
        <w:gridCol w:w="1049"/>
      </w:tblGrid>
      <w:tr>
        <w:trPr>
          <w:trHeight w:val="250" w:hRule="exact"/>
        </w:trPr>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4391"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4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58" w:hRule="exact"/>
        </w:trPr>
        <w:tc>
          <w:tcPr>
            <w:tcW w:w="1325" w:type="dxa"/>
            <w:vMerge/>
            <w:tcBorders>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综合收益总</w:t>
            </w:r>
          </w:p>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w w:val="100"/>
                <w:sz w:val="15"/>
                <w:szCs w:val="15"/>
              </w:rPr>
              <w:t>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经营活动现</w:t>
            </w:r>
          </w:p>
          <w:p>
            <w:pPr>
              <w:pStyle w:val="TableParagraph"/>
              <w:spacing w:line="240" w:lineRule="auto" w:before="27"/>
              <w:ind w:left="4" w:right="0"/>
              <w:jc w:val="center"/>
              <w:rPr>
                <w:rFonts w:ascii="宋体" w:hAnsi="宋体" w:cs="宋体" w:eastAsia="宋体" w:hint="default"/>
                <w:sz w:val="15"/>
                <w:szCs w:val="15"/>
              </w:rPr>
            </w:pPr>
            <w:r>
              <w:rPr>
                <w:rFonts w:ascii="宋体" w:hAnsi="宋体" w:cs="宋体" w:eastAsia="宋体" w:hint="default"/>
                <w:sz w:val="15"/>
                <w:szCs w:val="15"/>
              </w:rPr>
              <w:t>金流量</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hAnsi="宋体" w:cs="宋体" w:eastAsia="宋体" w:hint="default"/>
                <w:sz w:val="15"/>
                <w:szCs w:val="15"/>
              </w:rPr>
              <w:t>综合收益总</w:t>
            </w:r>
          </w:p>
          <w:p>
            <w:pPr>
              <w:pStyle w:val="TableParagraph"/>
              <w:spacing w:line="240" w:lineRule="auto" w:before="27"/>
              <w:ind w:right="2"/>
              <w:jc w:val="center"/>
              <w:rPr>
                <w:rFonts w:ascii="宋体" w:hAnsi="宋体" w:cs="宋体" w:eastAsia="宋体" w:hint="default"/>
                <w:sz w:val="15"/>
                <w:szCs w:val="15"/>
              </w:rPr>
            </w:pPr>
            <w:r>
              <w:rPr>
                <w:rFonts w:ascii="宋体" w:hAnsi="宋体" w:cs="宋体" w:eastAsia="宋体" w:hint="default"/>
                <w:w w:val="100"/>
                <w:sz w:val="15"/>
                <w:szCs w:val="15"/>
              </w:rPr>
              <w:t>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经营活动现</w:t>
            </w:r>
          </w:p>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金流量</w:t>
            </w:r>
          </w:p>
        </w:tc>
      </w:tr>
      <w:tr>
        <w:trPr>
          <w:trHeight w:val="458"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浙江广天构件股</w:t>
            </w:r>
          </w:p>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
              <w:jc w:val="center"/>
              <w:rPr>
                <w:rFonts w:ascii="Times New Roman" w:hAnsi="Times New Roman" w:cs="Times New Roman" w:eastAsia="Times New Roman" w:hint="default"/>
                <w:sz w:val="15"/>
                <w:szCs w:val="15"/>
              </w:rPr>
            </w:pPr>
            <w:r>
              <w:rPr>
                <w:rFonts w:ascii="Times New Roman"/>
                <w:sz w:val="15"/>
              </w:rPr>
              <w:t>692,852,291.13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24,408,869.97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5" w:right="0"/>
              <w:jc w:val="left"/>
              <w:rPr>
                <w:rFonts w:ascii="Times New Roman" w:hAnsi="Times New Roman" w:cs="Times New Roman" w:eastAsia="Times New Roman" w:hint="default"/>
                <w:sz w:val="15"/>
                <w:szCs w:val="15"/>
              </w:rPr>
            </w:pPr>
            <w:r>
              <w:rPr>
                <w:rFonts w:ascii="Times New Roman"/>
                <w:sz w:val="15"/>
              </w:rPr>
              <w:t>24,408,869.97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5" w:right="0"/>
              <w:jc w:val="left"/>
              <w:rPr>
                <w:rFonts w:ascii="Times New Roman" w:hAnsi="Times New Roman" w:cs="Times New Roman" w:eastAsia="Times New Roman" w:hint="default"/>
                <w:sz w:val="15"/>
                <w:szCs w:val="15"/>
              </w:rPr>
            </w:pPr>
            <w:r>
              <w:rPr>
                <w:rFonts w:ascii="Times New Roman"/>
                <w:sz w:val="15"/>
              </w:rPr>
              <w:t>47,501,658.96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456,524,531.59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22,984,267.08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Times New Roman" w:hAnsi="Times New Roman" w:cs="Times New Roman" w:eastAsia="Times New Roman" w:hint="default"/>
                <w:sz w:val="15"/>
                <w:szCs w:val="15"/>
              </w:rPr>
            </w:pPr>
            <w:r>
              <w:rPr>
                <w:rFonts w:ascii="Times New Roman"/>
                <w:sz w:val="15"/>
              </w:rPr>
              <w:t>22,984,267.08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Times New Roman" w:hAnsi="Times New Roman" w:cs="Times New Roman" w:eastAsia="Times New Roman" w:hint="default"/>
                <w:sz w:val="15"/>
                <w:szCs w:val="15"/>
              </w:rPr>
            </w:pPr>
            <w:r>
              <w:rPr>
                <w:rFonts w:ascii="Times New Roman"/>
                <w:sz w:val="15"/>
              </w:rPr>
              <w:t>-2,379,811.63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125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2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540" w:right="1040"/>
        </w:sectPr>
      </w:pPr>
    </w:p>
    <w:p>
      <w:pPr>
        <w:pStyle w:val="Heading3"/>
        <w:spacing w:line="240" w:lineRule="auto"/>
        <w:ind w:left="125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125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3"/>
        <w:tabs>
          <w:tab w:pos="1889" w:val="left" w:leader="none"/>
        </w:tabs>
        <w:spacing w:line="240" w:lineRule="auto" w:before="43"/>
        <w:ind w:left="125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2004" w:val="left" w:leader="none"/>
        </w:tabs>
        <w:spacing w:line="240" w:lineRule="auto" w:before="56"/>
        <w:ind w:left="125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158" w:val="left" w:leader="none"/>
        </w:tabs>
        <w:spacing w:line="240" w:lineRule="auto" w:before="152"/>
        <w:ind w:left="12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540" w:right="1040"/>
          <w:cols w:num="2" w:equalWidth="0">
            <w:col w:w="4631" w:space="2196"/>
            <w:col w:w="3503"/>
          </w:cols>
        </w:sectPr>
      </w:pPr>
    </w:p>
    <w:tbl>
      <w:tblPr>
        <w:tblW w:w="0" w:type="auto"/>
        <w:jc w:val="left"/>
        <w:tblInd w:w="114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4"/>
                <w:sz w:val="21"/>
                <w:szCs w:val="21"/>
              </w:rPr>
              <w:t> </w:t>
            </w:r>
            <w:r>
              <w:rPr>
                <w:rFonts w:ascii="宋体" w:hAnsi="宋体" w:cs="宋体" w:eastAsia="宋体" w:hint="default"/>
                <w:sz w:val="21"/>
                <w:szCs w:val="21"/>
              </w:rPr>
              <w:t>波</w:t>
            </w:r>
            <w:r>
              <w:rPr>
                <w:rFonts w:ascii="宋体" w:hAnsi="宋体" w:cs="宋体" w:eastAsia="宋体" w:hint="default"/>
                <w:spacing w:val="-54"/>
                <w:sz w:val="21"/>
                <w:szCs w:val="21"/>
              </w:rPr>
              <w:t> </w:t>
            </w:r>
            <w:r>
              <w:rPr>
                <w:rFonts w:ascii="宋体" w:hAnsi="宋体" w:cs="宋体" w:eastAsia="宋体" w:hint="default"/>
                <w:sz w:val="21"/>
                <w:szCs w:val="21"/>
              </w:rPr>
              <w:t>普</w:t>
            </w:r>
            <w:r>
              <w:rPr>
                <w:rFonts w:ascii="宋体" w:hAnsi="宋体" w:cs="宋体" w:eastAsia="宋体" w:hint="default"/>
                <w:spacing w:val="-57"/>
                <w:sz w:val="21"/>
                <w:szCs w:val="21"/>
              </w:rPr>
              <w:t> </w:t>
            </w:r>
            <w:r>
              <w:rPr>
                <w:rFonts w:ascii="宋体" w:hAnsi="宋体" w:cs="宋体" w:eastAsia="宋体" w:hint="default"/>
                <w:sz w:val="21"/>
                <w:szCs w:val="21"/>
              </w:rPr>
              <w:t>利</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凯</w:t>
            </w:r>
            <w:r>
              <w:rPr>
                <w:rFonts w:ascii="宋体" w:hAnsi="宋体" w:cs="宋体" w:eastAsia="宋体" w:hint="default"/>
                <w:spacing w:val="-54"/>
                <w:sz w:val="21"/>
                <w:szCs w:val="21"/>
              </w:rPr>
              <w:t> </w:t>
            </w:r>
            <w:r>
              <w:rPr>
                <w:rFonts w:ascii="宋体" w:hAnsi="宋体" w:cs="宋体" w:eastAsia="宋体" w:hint="default"/>
                <w:sz w:val="21"/>
                <w:szCs w:val="21"/>
              </w:rPr>
              <w:t>建</w:t>
            </w:r>
            <w:r>
              <w:rPr>
                <w:rFonts w:ascii="宋体" w:hAnsi="宋体" w:cs="宋体" w:eastAsia="宋体" w:hint="default"/>
                <w:spacing w:val="-54"/>
                <w:sz w:val="21"/>
                <w:szCs w:val="21"/>
              </w:rPr>
              <w:t> </w:t>
            </w:r>
            <w:r>
              <w:rPr>
                <w:rFonts w:ascii="宋体" w:hAnsi="宋体" w:cs="宋体" w:eastAsia="宋体" w:hint="default"/>
                <w:sz w:val="21"/>
                <w:szCs w:val="21"/>
              </w:rPr>
              <w:t>筑</w:t>
            </w:r>
            <w:r>
              <w:rPr>
                <w:rFonts w:ascii="宋体" w:hAnsi="宋体" w:cs="宋体" w:eastAsia="宋体" w:hint="default"/>
                <w:spacing w:val="-57"/>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有</w:t>
            </w:r>
            <w:r>
              <w:rPr>
                <w:rFonts w:ascii="宋体" w:hAnsi="宋体" w:cs="宋体" w:eastAsia="宋体" w:hint="default"/>
                <w:spacing w:val="-54"/>
                <w:sz w:val="21"/>
                <w:szCs w:val="21"/>
              </w:rPr>
              <w:t> </w:t>
            </w:r>
            <w:r>
              <w:rPr>
                <w:rFonts w:ascii="宋体" w:hAnsi="宋体" w:cs="宋体" w:eastAsia="宋体" w:hint="default"/>
                <w:sz w:val="21"/>
                <w:szCs w:val="21"/>
              </w:rPr>
              <w:t>限</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建筑构件生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产与销售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2" w:right="0"/>
              <w:jc w:val="left"/>
              <w:rPr>
                <w:rFonts w:ascii="Times New Roman" w:hAnsi="Times New Roman" w:cs="Times New Roman" w:eastAsia="Times New Roman" w:hint="default"/>
                <w:sz w:val="21"/>
                <w:szCs w:val="21"/>
              </w:rPr>
            </w:pPr>
            <w:r>
              <w:rPr>
                <w:rFonts w:ascii="Times New Roman"/>
                <w:sz w:val="21"/>
              </w:rPr>
              <w:t>49.00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1910" w:h="16840"/>
          <w:pgMar w:top="1120" w:bottom="1380" w:left="5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tabs>
          <w:tab w:pos="849" w:val="left" w:leader="none"/>
        </w:tabs>
        <w:spacing w:line="240" w:lineRule="auto"/>
        <w:ind w:left="218" w:right="0"/>
        <w:jc w:val="left"/>
        <w:rPr>
          <w:b w:val="0"/>
          <w:bCs w:val="0"/>
        </w:rPr>
      </w:pPr>
      <w:r>
        <w:rPr>
          <w:rFonts w:ascii="宋体" w:hAnsi="宋体" w:cs="宋体" w:eastAsia="宋体" w:hint="default"/>
          <w:w w:val="95"/>
        </w:rPr>
        <w:t>(2).</w:t>
        <w:tab/>
      </w:r>
      <w:r>
        <w:rPr>
          <w:spacing w:val="-1"/>
        </w:rPr>
        <w:t>不重要的合营企业和联营企业的汇总财务信息</w:t>
      </w:r>
      <w:r>
        <w:rPr>
          <w:b w:val="0"/>
          <w:bCs w:val="0"/>
          <w:spacing w:val="-1"/>
        </w:rPr>
      </w:r>
    </w:p>
    <w:p>
      <w:pPr>
        <w:pStyle w:val="BodyText"/>
        <w:tabs>
          <w:tab w:pos="964" w:val="left" w:leader="none"/>
        </w:tabs>
        <w:spacing w:line="240" w:lineRule="auto" w:before="58"/>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69" w:space="145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37,112,252.34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41,325,773.56</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-8,599,022.89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-4,212,504.57</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-8,599,022.89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-4,212,504.57</w:t>
            </w:r>
          </w:p>
        </w:tc>
      </w:tr>
    </w:tbl>
    <w:p>
      <w:pPr>
        <w:spacing w:line="240" w:lineRule="auto" w:before="10"/>
        <w:rPr>
          <w:rFonts w:ascii="宋体" w:hAnsi="宋体" w:cs="宋体" w:eastAsia="宋体" w:hint="default"/>
          <w:sz w:val="17"/>
          <w:szCs w:val="17"/>
        </w:rPr>
      </w:pPr>
    </w:p>
    <w:p>
      <w:pPr>
        <w:pStyle w:val="Heading3"/>
        <w:spacing w:line="240" w:lineRule="auto"/>
        <w:ind w:left="218" w:right="2465"/>
        <w:jc w:val="left"/>
        <w:rPr>
          <w:b w:val="0"/>
          <w:bCs w:val="0"/>
        </w:rPr>
      </w:pPr>
      <w:r>
        <w:rPr/>
        <w:t>十、与金融工具相关的风险</w:t>
      </w:r>
      <w:r>
        <w:rPr>
          <w:b w:val="0"/>
          <w:bCs w:val="0"/>
        </w:rPr>
      </w:r>
    </w:p>
    <w:p>
      <w:pPr>
        <w:pStyle w:val="BodyText"/>
        <w:spacing w:line="282" w:lineRule="exact" w:before="56"/>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218" w:right="228" w:firstLine="419"/>
        <w:jc w:val="both"/>
      </w:pPr>
      <w:r>
        <w:rPr>
          <w:spacing w:val="-2"/>
        </w:rPr>
        <w:t>本公司的主要金融工具包括货币资金、应收账款、应收票据、其他应收款、其他流动资产、</w:t>
      </w:r>
      <w:r>
        <w:rPr>
          <w:w w:val="100"/>
        </w:rPr>
        <w:t> </w:t>
      </w:r>
      <w:r>
        <w:rPr>
          <w:spacing w:val="-1"/>
        </w:rPr>
        <w:t>可供出售金融资产、应付账款、应付票据、应付利息、其他应付款、短期借款、一年内到期的非</w:t>
      </w:r>
      <w:r>
        <w:rPr>
          <w:spacing w:val="-55"/>
        </w:rPr>
        <w:t> </w:t>
      </w:r>
      <w:r>
        <w:rPr>
          <w:spacing w:val="-55"/>
        </w:rPr>
      </w:r>
      <w:r>
        <w:rPr>
          <w:spacing w:val="-1"/>
        </w:rPr>
        <w:t>流动负债等。各项金融工具的详细情况已于相关附注内披露。与这些金融工具有关的风险，以及</w:t>
      </w:r>
      <w:r>
        <w:rPr>
          <w:spacing w:val="-55"/>
        </w:rPr>
        <w:t> </w:t>
      </w:r>
      <w:r>
        <w:rPr>
          <w:spacing w:val="-55"/>
        </w:rPr>
      </w:r>
      <w:r>
        <w:rPr>
          <w:spacing w:val="-1"/>
        </w:rPr>
        <w:t>本公司为降低这些风险所采取的风险管理政策如下所述。本公司管理层对这些风险敞口进行管理</w:t>
      </w:r>
      <w:r>
        <w:rPr>
          <w:spacing w:val="-55"/>
        </w:rPr>
        <w:t> </w:t>
      </w:r>
      <w:r>
        <w:rPr>
          <w:spacing w:val="-55"/>
        </w:rPr>
      </w:r>
      <w:r>
        <w:rPr/>
        <w:t>和监控以确保将上述风险控制在限定的范围之内。</w:t>
      </w:r>
    </w:p>
    <w:p>
      <w:pPr>
        <w:pStyle w:val="BodyText"/>
        <w:spacing w:line="355" w:lineRule="auto" w:before="30"/>
        <w:ind w:left="638" w:right="227"/>
        <w:jc w:val="left"/>
      </w:pPr>
      <w:r>
        <w:rPr/>
        <w:t>（一）风险管理目标和政策</w:t>
      </w:r>
      <w:r>
        <w:rPr>
          <w:w w:val="100"/>
        </w:rPr>
        <w:t> </w:t>
      </w:r>
      <w:r>
        <w:rPr>
          <w:spacing w:val="-2"/>
        </w:rPr>
        <w:t>本公司从事风险管理的目标是在风险和收益之间取得适当的平衡，力求降低金融风险对本公</w:t>
      </w:r>
    </w:p>
    <w:p>
      <w:pPr>
        <w:pStyle w:val="BodyText"/>
        <w:spacing w:line="357" w:lineRule="auto" w:before="32"/>
        <w:ind w:left="218" w:right="0"/>
        <w:jc w:val="left"/>
      </w:pPr>
      <w:r>
        <w:rPr/>
        <w:t>司财务业绩的不利影响。基于该风险管理目标，本公司已制定风险管理政策以辨别和分析本公司</w:t>
      </w:r>
      <w:r>
        <w:rPr>
          <w:spacing w:val="-97"/>
        </w:rPr>
        <w:t> </w:t>
      </w:r>
      <w:r>
        <w:rPr>
          <w:spacing w:val="-97"/>
        </w:rPr>
      </w:r>
      <w:r>
        <w:rPr/>
        <w:t>所面临的风险，设定适当的风险可接受水平并设计相应的内部控制程序，以监控本公司的风险水</w:t>
      </w:r>
      <w:r>
        <w:rPr>
          <w:spacing w:val="-97"/>
        </w:rPr>
        <w:t> </w:t>
      </w:r>
      <w:r>
        <w:rPr>
          <w:spacing w:val="-97"/>
        </w:rPr>
      </w:r>
      <w:r>
        <w:rPr/>
        <w:t>平。本公司会定期审阅这些风险管理政策及有关内部控制系统，以适应市场情况或本公司经营活</w:t>
      </w:r>
      <w:r>
        <w:rPr>
          <w:spacing w:val="-97"/>
        </w:rPr>
        <w:t> </w:t>
      </w:r>
      <w:r>
        <w:rPr>
          <w:spacing w:val="-97"/>
        </w:rPr>
      </w:r>
      <w:r>
        <w:rPr>
          <w:spacing w:val="-4"/>
          <w:w w:val="100"/>
        </w:rPr>
        <w:t>动的改变。本公司的内部审计部门也定期或随机检查内部控制系统的执行是否符合风险管理政策。</w:t>
      </w:r>
      <w:r>
        <w:rPr>
          <w:spacing w:val="-86"/>
          <w:w w:val="100"/>
        </w:rPr>
        <w:t> </w:t>
      </w:r>
      <w:r>
        <w:rPr>
          <w:spacing w:val="-86"/>
          <w:w w:val="100"/>
        </w:rPr>
      </w:r>
      <w:r>
        <w:rPr/>
        <w:t>本公司的金融工具导致的主要风险是信用风险、流动性风险。</w:t>
      </w:r>
    </w:p>
    <w:p>
      <w:pPr>
        <w:pStyle w:val="BodyText"/>
        <w:spacing w:line="357" w:lineRule="auto" w:before="30"/>
        <w:ind w:left="218" w:right="228" w:firstLine="419"/>
        <w:jc w:val="both"/>
      </w:pPr>
      <w:r>
        <w:rPr>
          <w:spacing w:val="-2"/>
        </w:rPr>
        <w:t>董事会负责规划并建立本公司的风险管理架构，指定本公司的风险管理政策和相关指引并监</w:t>
      </w:r>
      <w:r>
        <w:rPr>
          <w:w w:val="100"/>
        </w:rPr>
        <w:t> </w:t>
      </w:r>
      <w:r>
        <w:rPr>
          <w:spacing w:val="-1"/>
        </w:rPr>
        <w:t>督风险管理措施的执行情况。本公司已制定风险管理政策以识别和分析本公司所面临的风险，这</w:t>
      </w:r>
      <w:r>
        <w:rPr>
          <w:spacing w:val="-55"/>
        </w:rPr>
        <w:t> </w:t>
      </w:r>
      <w:r>
        <w:rPr>
          <w:spacing w:val="-55"/>
        </w:rPr>
      </w:r>
      <w:r>
        <w:rPr>
          <w:spacing w:val="-1"/>
        </w:rPr>
        <w:t>些风险管理政策对特定风险进行了明确规定，涵盖了信用风险、流动性风险和市场风险管理等诸</w:t>
      </w:r>
      <w:r>
        <w:rPr>
          <w:spacing w:val="-55"/>
        </w:rPr>
        <w:t> </w:t>
      </w:r>
      <w:r>
        <w:rPr>
          <w:spacing w:val="-55"/>
        </w:rPr>
      </w:r>
      <w:r>
        <w:rPr>
          <w:spacing w:val="-1"/>
        </w:rPr>
        <w:t>多方面。本公司定期评估市场环境及本公司经营活动的变化以决定是否对风险管理政策及系统进</w:t>
      </w:r>
      <w:r>
        <w:rPr>
          <w:spacing w:val="-55"/>
        </w:rPr>
        <w:t> </w:t>
      </w:r>
      <w:r>
        <w:rPr>
          <w:spacing w:val="-55"/>
        </w:rPr>
      </w:r>
      <w:r>
        <w:rPr>
          <w:spacing w:val="-1"/>
        </w:rPr>
        <w:t>行更新。本公司的风险管理按照董事会批准的政策开展。本公司内部审计部门就风险管理控制及</w:t>
      </w:r>
      <w:r>
        <w:rPr>
          <w:spacing w:val="-55"/>
        </w:rPr>
        <w:t> </w:t>
      </w:r>
      <w:r>
        <w:rPr>
          <w:spacing w:val="-55"/>
        </w:rPr>
      </w:r>
      <w:r>
        <w:rPr/>
        <w:t>程序进行定期的审核，并将审核结果上报本公司的审计委员会。</w:t>
      </w:r>
    </w:p>
    <w:p>
      <w:pPr>
        <w:pStyle w:val="BodyText"/>
        <w:spacing w:line="240" w:lineRule="auto" w:before="30"/>
        <w:ind w:left="638" w:right="0"/>
        <w:jc w:val="left"/>
      </w:pPr>
      <w:r>
        <w:rPr/>
        <w:t>本公司通过适当的业务组合来分散金融工具风险，并通过制定相应的风险管理政策减少集中</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0"/>
        <w:jc w:val="both"/>
      </w:pPr>
      <w:r>
        <w:rPr/>
        <w:t>于任何单一行业、特定地区或特定交易对手方的风险。</w:t>
      </w:r>
    </w:p>
    <w:p>
      <w:pPr>
        <w:pStyle w:val="BodyText"/>
        <w:spacing w:line="240" w:lineRule="auto" w:before="135"/>
        <w:ind w:left="638" w:right="2465"/>
        <w:jc w:val="left"/>
      </w:pPr>
      <w:r>
        <w:rPr/>
        <w:t>（二）主要风险类别及应对</w:t>
      </w:r>
    </w:p>
    <w:p>
      <w:pPr>
        <w:pStyle w:val="BodyText"/>
        <w:spacing w:line="350" w:lineRule="auto" w:before="133"/>
        <w:ind w:left="638" w:right="227"/>
        <w:jc w:val="left"/>
      </w:pPr>
      <w:r>
        <w:rPr>
          <w:rFonts w:ascii="Times New Roman" w:hAnsi="Times New Roman" w:cs="Times New Roman" w:eastAsia="Times New Roman" w:hint="default"/>
        </w:rPr>
        <w:t>1</w:t>
      </w:r>
      <w:r>
        <w:rPr/>
        <w:t>、信用风险</w:t>
      </w:r>
      <w:r>
        <w:rPr>
          <w:w w:val="100"/>
        </w:rPr>
        <w:t> </w:t>
      </w:r>
      <w:r>
        <w:rPr/>
        <w:t>信用风险，是指交易对手方未能履行合同义务而导致本公司产生财务损失的风险。</w:t>
      </w:r>
      <w:r>
        <w:rPr>
          <w:w w:val="100"/>
        </w:rPr>
        <w:t> </w:t>
      </w:r>
      <w:r>
        <w:rPr/>
        <w:t>本公司对信用风险按组合分类进行管理。信用风险主要产生于银行存款和应收款项等。</w:t>
      </w:r>
      <w:r>
        <w:rPr>
          <w:w w:val="100"/>
        </w:rPr>
        <w:t> </w:t>
      </w:r>
      <w:r>
        <w:rPr>
          <w:spacing w:val="-2"/>
        </w:rPr>
        <w:t>本公司银行存款主要存放于国有银行和其它大中型城市商业银行，本公司预期银行存款不存</w:t>
      </w:r>
    </w:p>
    <w:p>
      <w:pPr>
        <w:pStyle w:val="BodyText"/>
        <w:spacing w:line="355" w:lineRule="auto" w:before="39"/>
        <w:ind w:left="638" w:right="227" w:hanging="420"/>
        <w:jc w:val="left"/>
      </w:pPr>
      <w:r>
        <w:rPr/>
        <w:t>在重大的信用风险。</w:t>
      </w:r>
      <w:r>
        <w:rPr>
          <w:w w:val="100"/>
        </w:rPr>
        <w:t> </w:t>
      </w:r>
      <w:r>
        <w:rPr>
          <w:spacing w:val="-7"/>
          <w:w w:val="100"/>
        </w:rPr>
        <w:t>对于应收款项，本公司设定相关政策以控制信用风险敞口。本公司基于对债务人的财务状况、</w:t>
      </w:r>
    </w:p>
    <w:p>
      <w:pPr>
        <w:pStyle w:val="BodyText"/>
        <w:spacing w:line="357" w:lineRule="auto" w:before="33"/>
        <w:ind w:left="218" w:right="228"/>
        <w:jc w:val="both"/>
      </w:pPr>
      <w:r>
        <w:rPr>
          <w:spacing w:val="-1"/>
        </w:rPr>
        <w:t>外部评级、从第三方获取担保的可能性、信用记录及其它因素诸如目前市场状况等评估债务人的</w:t>
      </w:r>
      <w:r>
        <w:rPr>
          <w:spacing w:val="-55"/>
        </w:rPr>
        <w:t> </w:t>
      </w:r>
      <w:r>
        <w:rPr>
          <w:spacing w:val="-55"/>
        </w:rPr>
      </w:r>
      <w:r>
        <w:rPr>
          <w:spacing w:val="-1"/>
        </w:rPr>
        <w:t>信用资质并设置相应欠款额度与信用期限。本公司会定期对债务人信用记录进行监控，对于信用</w:t>
      </w:r>
      <w:r>
        <w:rPr>
          <w:spacing w:val="-55"/>
        </w:rPr>
        <w:t> </w:t>
      </w:r>
      <w:r>
        <w:rPr>
          <w:spacing w:val="-55"/>
        </w:rPr>
      </w:r>
      <w:r>
        <w:rPr>
          <w:spacing w:val="-1"/>
        </w:rPr>
        <w:t>记录不良的债务人，本公司会采用书面催款、缩短信用期或取消信用期等方式，以确保本公司的</w:t>
      </w:r>
      <w:r>
        <w:rPr>
          <w:spacing w:val="-55"/>
        </w:rPr>
        <w:t> </w:t>
      </w:r>
      <w:r>
        <w:rPr>
          <w:spacing w:val="-55"/>
        </w:rPr>
      </w:r>
      <w:r>
        <w:rPr/>
        <w:t>整体信用风险在可控的范围内。</w:t>
      </w:r>
    </w:p>
    <w:p>
      <w:pPr>
        <w:pStyle w:val="BodyText"/>
        <w:spacing w:line="355" w:lineRule="auto" w:before="30"/>
        <w:ind w:left="218" w:right="228" w:firstLine="419"/>
        <w:jc w:val="both"/>
      </w:pPr>
      <w:r>
        <w:rPr>
          <w:spacing w:val="-2"/>
        </w:rPr>
        <w:t>本公司应收账款的债务人为分布于不同行业和地区的客户。本公司持续对应收账款的财务状</w:t>
      </w:r>
      <w:r>
        <w:rPr>
          <w:w w:val="100"/>
        </w:rPr>
        <w:t> </w:t>
      </w:r>
      <w:r>
        <w:rPr>
          <w:spacing w:val="-1"/>
        </w:rPr>
        <w:t>况实施信用评估。本公司所承受的最大信用风险敞口为资产负债表中每项金融资产的账面金额。</w:t>
      </w:r>
      <w:r>
        <w:rPr>
          <w:spacing w:val="-55"/>
        </w:rPr>
        <w:t> </w:t>
      </w:r>
      <w:r>
        <w:rPr>
          <w:spacing w:val="-55"/>
        </w:rPr>
      </w:r>
      <w:r>
        <w:rPr/>
        <w:t>本公司没有提供除本公司合并报表范围内的任何其他可能令本公司承受信用风险的担保。</w:t>
      </w:r>
    </w:p>
    <w:p>
      <w:pPr>
        <w:pStyle w:val="BodyText"/>
        <w:spacing w:line="336" w:lineRule="auto" w:before="34"/>
        <w:ind w:left="218" w:right="227" w:firstLine="419"/>
        <w:jc w:val="both"/>
      </w:pPr>
      <w:r>
        <w:rPr/>
        <w:t>截止</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5"/>
        </w:rPr>
        <w:t>日，本公司应收账款中，欠款金额前五大客户的应收账款占本公司应收</w:t>
      </w:r>
      <w:r>
        <w:rPr>
          <w:w w:val="100"/>
        </w:rPr>
        <w:t> </w:t>
      </w:r>
      <w:r>
        <w:rPr/>
        <w:t>账款总额的</w:t>
      </w:r>
      <w:r>
        <w:rPr>
          <w:spacing w:val="-18"/>
        </w:rPr>
        <w:t> </w:t>
      </w:r>
      <w:r>
        <w:rPr>
          <w:rFonts w:ascii="Times New Roman" w:hAnsi="Times New Roman" w:cs="Times New Roman" w:eastAsia="Times New Roman" w:hint="default"/>
          <w:spacing w:val="-3"/>
        </w:rPr>
        <w:t>11.70%</w:t>
      </w:r>
      <w:r>
        <w:rPr>
          <w:spacing w:val="-3"/>
        </w:rPr>
        <w:t>；本公司其他应收款中，欠款金额前五大公司的其他应收款占本公司其他应收</w:t>
      </w:r>
      <w:r>
        <w:rPr>
          <w:spacing w:val="-89"/>
        </w:rPr>
        <w:t> </w:t>
      </w:r>
      <w:r>
        <w:rPr>
          <w:spacing w:val="-89"/>
        </w:rPr>
      </w:r>
      <w:r>
        <w:rPr/>
        <w:t>款总额的</w:t>
      </w:r>
      <w:r>
        <w:rPr>
          <w:spacing w:val="-54"/>
        </w:rPr>
        <w:t> </w:t>
      </w:r>
      <w:r>
        <w:rPr>
          <w:rFonts w:ascii="Times New Roman" w:hAnsi="Times New Roman" w:cs="Times New Roman" w:eastAsia="Times New Roman" w:hint="default"/>
        </w:rPr>
        <w:t>25.94%</w:t>
      </w:r>
      <w:r>
        <w:rPr/>
        <w:t>。</w:t>
      </w:r>
    </w:p>
    <w:p>
      <w:pPr>
        <w:pStyle w:val="BodyText"/>
        <w:spacing w:line="336" w:lineRule="auto" w:before="24"/>
        <w:ind w:left="638" w:right="227"/>
        <w:jc w:val="left"/>
      </w:pPr>
      <w:r>
        <w:rPr>
          <w:rFonts w:ascii="Times New Roman" w:hAnsi="Times New Roman" w:cs="Times New Roman" w:eastAsia="Times New Roman" w:hint="default"/>
        </w:rPr>
        <w:t>2</w:t>
      </w:r>
      <w:r>
        <w:rPr/>
        <w:t>、流动性风险</w:t>
      </w:r>
      <w:r>
        <w:rPr>
          <w:w w:val="100"/>
        </w:rPr>
        <w:t> </w:t>
      </w:r>
      <w:r>
        <w:rPr>
          <w:spacing w:val="-2"/>
        </w:rPr>
        <w:t>流动性风险，是指本公司在履行以交付现金或其他金融资产的方式结算的义务时发生资金短</w:t>
      </w:r>
    </w:p>
    <w:p>
      <w:pPr>
        <w:pStyle w:val="BodyText"/>
        <w:spacing w:line="240" w:lineRule="auto" w:before="51"/>
        <w:ind w:left="218" w:right="0"/>
        <w:jc w:val="both"/>
      </w:pPr>
      <w:r>
        <w:rPr/>
        <w:t>缺的风险。</w:t>
      </w:r>
    </w:p>
    <w:p>
      <w:pPr>
        <w:pStyle w:val="BodyText"/>
        <w:spacing w:line="357" w:lineRule="auto" w:before="133"/>
        <w:ind w:left="218" w:right="0" w:firstLine="419"/>
        <w:jc w:val="left"/>
      </w:pPr>
      <w:r>
        <w:rPr/>
        <w:t>管理流动风险时，本公司保持管理层认为充分的现金及现金等价物并对其进行监控，以满足</w:t>
      </w:r>
      <w:r>
        <w:rPr>
          <w:w w:val="100"/>
        </w:rPr>
        <w:t> </w:t>
      </w:r>
      <w:r>
        <w:rPr/>
        <w:t>本公司经营需要，并降低现金流量波动的影响。本公司管理层对应付款项等流动负债以及银行借</w:t>
      </w:r>
      <w:r>
        <w:rPr>
          <w:spacing w:val="-97"/>
        </w:rPr>
        <w:t> </w:t>
      </w:r>
      <w:r>
        <w:rPr>
          <w:spacing w:val="-97"/>
        </w:rPr>
      </w:r>
      <w:r>
        <w:rPr>
          <w:spacing w:val="-4"/>
          <w:w w:val="100"/>
        </w:rPr>
        <w:t>款的使用情况进行监控并确保遵守借款协议。同时从主要金融机构获得提供足够备用资金的承诺，</w:t>
      </w:r>
      <w:r>
        <w:rPr>
          <w:spacing w:val="-86"/>
          <w:w w:val="100"/>
        </w:rPr>
        <w:t> </w:t>
      </w:r>
      <w:r>
        <w:rPr>
          <w:spacing w:val="-86"/>
          <w:w w:val="100"/>
        </w:rPr>
      </w:r>
      <w:r>
        <w:rPr/>
        <w:t>以满足短期和长期的资金需求。</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3"/>
        <w:tabs>
          <w:tab w:pos="1057" w:val="left" w:leader="none"/>
        </w:tabs>
        <w:spacing w:line="290" w:lineRule="auto"/>
        <w:ind w:left="218" w:right="0"/>
        <w:jc w:val="left"/>
        <w:rPr>
          <w:b w:val="0"/>
          <w:bCs w:val="0"/>
        </w:rPr>
      </w:pPr>
      <w:r>
        <w:rPr/>
        <w:t>十一、</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964" w:val="left" w:leader="none"/>
        </w:tabs>
        <w:spacing w:line="240" w:lineRule="auto" w:before="12"/>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6"/>
                <w:sz w:val="21"/>
                <w:szCs w:val="21"/>
              </w:rPr>
              <w:t> </w:t>
            </w:r>
            <w:r>
              <w:rPr>
                <w:rFonts w:ascii="宋体" w:hAnsi="宋体" w:cs="宋体" w:eastAsia="宋体" w:hint="default"/>
                <w:sz w:val="21"/>
                <w:szCs w:val="21"/>
              </w:rPr>
              <w:t>江</w:t>
            </w:r>
            <w:r>
              <w:rPr>
                <w:rFonts w:ascii="宋体" w:hAnsi="宋体" w:cs="宋体" w:eastAsia="宋体" w:hint="default"/>
                <w:spacing w:val="-76"/>
                <w:sz w:val="21"/>
                <w:szCs w:val="21"/>
              </w:rPr>
              <w:t> </w:t>
            </w:r>
            <w:r>
              <w:rPr>
                <w:rFonts w:ascii="宋体" w:hAnsi="宋体" w:cs="宋体" w:eastAsia="宋体" w:hint="default"/>
                <w:sz w:val="21"/>
                <w:szCs w:val="21"/>
              </w:rPr>
              <w:t>广</w:t>
            </w:r>
            <w:r>
              <w:rPr>
                <w:rFonts w:ascii="宋体" w:hAnsi="宋体" w:cs="宋体" w:eastAsia="宋体" w:hint="default"/>
                <w:spacing w:val="-76"/>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57"/>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项</w:t>
            </w:r>
            <w:r>
              <w:rPr>
                <w:rFonts w:ascii="宋体" w:hAnsi="宋体" w:cs="宋体" w:eastAsia="宋体" w:hint="default"/>
                <w:spacing w:val="-54"/>
                <w:sz w:val="21"/>
                <w:szCs w:val="21"/>
              </w:rPr>
              <w:t> </w:t>
            </w:r>
            <w:r>
              <w:rPr>
                <w:rFonts w:ascii="宋体" w:hAnsi="宋体" w:cs="宋体" w:eastAsia="宋体" w:hint="default"/>
                <w:sz w:val="21"/>
                <w:szCs w:val="21"/>
              </w:rPr>
              <w:t>目</w:t>
            </w:r>
            <w:r>
              <w:rPr>
                <w:rFonts w:ascii="宋体" w:hAnsi="宋体" w:cs="宋体" w:eastAsia="宋体" w:hint="default"/>
                <w:spacing w:val="-57"/>
                <w:sz w:val="21"/>
                <w:szCs w:val="21"/>
              </w:rPr>
              <w:t> </w:t>
            </w:r>
            <w:r>
              <w:rPr>
                <w:rFonts w:ascii="宋体" w:hAnsi="宋体" w:cs="宋体" w:eastAsia="宋体" w:hint="default"/>
                <w:sz w:val="21"/>
                <w:szCs w:val="21"/>
              </w:rPr>
              <w:t>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73" w:right="0"/>
              <w:jc w:val="left"/>
              <w:rPr>
                <w:rFonts w:ascii="Times New Roman" w:hAnsi="Times New Roman" w:cs="Times New Roman" w:eastAsia="Times New Roman" w:hint="default"/>
                <w:sz w:val="21"/>
                <w:szCs w:val="21"/>
              </w:rPr>
            </w:pPr>
            <w:r>
              <w:rPr>
                <w:rFonts w:ascii="Times New Roman"/>
                <w:sz w:val="21"/>
              </w:rPr>
              <w:t>15,268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6" w:right="0"/>
              <w:jc w:val="left"/>
              <w:rPr>
                <w:rFonts w:ascii="Times New Roman" w:hAnsi="Times New Roman" w:cs="Times New Roman" w:eastAsia="Times New Roman" w:hint="default"/>
                <w:sz w:val="21"/>
                <w:szCs w:val="21"/>
              </w:rPr>
            </w:pPr>
            <w:r>
              <w:rPr>
                <w:rFonts w:ascii="Times New Roman"/>
                <w:sz w:val="21"/>
              </w:rPr>
              <w:t>39.25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39.25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218" w:right="2465"/>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tabs>
          <w:tab w:pos="964" w:val="left" w:leader="none"/>
        </w:tabs>
        <w:spacing w:line="272" w:lineRule="exact" w:before="86"/>
        <w:ind w:left="218" w:right="36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本企业子公司的情况详见附注“九、在其他主体中的权益”</w:t>
      </w:r>
    </w:p>
    <w:p>
      <w:pPr>
        <w:spacing w:line="240" w:lineRule="auto" w:before="12"/>
        <w:rPr>
          <w:rFonts w:ascii="宋体" w:hAnsi="宋体" w:cs="宋体" w:eastAsia="宋体" w:hint="default"/>
          <w:sz w:val="20"/>
          <w:szCs w:val="20"/>
        </w:rPr>
      </w:pPr>
    </w:p>
    <w:p>
      <w:pPr>
        <w:pStyle w:val="Heading3"/>
        <w:spacing w:line="240" w:lineRule="auto" w:before="0"/>
        <w:ind w:left="218" w:right="2465"/>
        <w:jc w:val="left"/>
        <w:rPr>
          <w:b w:val="0"/>
          <w:bCs w:val="0"/>
        </w:rPr>
      </w:pPr>
      <w:r>
        <w:rPr>
          <w:rFonts w:ascii="宋体" w:hAnsi="宋体" w:cs="宋体" w:eastAsia="宋体" w:hint="default"/>
        </w:rPr>
        <w:t>3</w:t>
      </w:r>
      <w:r>
        <w:rPr/>
        <w:t>、 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475" w:lineRule="auto"/>
        <w:ind w:left="218" w:right="2465"/>
        <w:jc w:val="left"/>
      </w:pPr>
      <w:r>
        <w:rPr/>
        <w:t>√适用</w:t>
      </w:r>
      <w:r>
        <w:rPr>
          <w:spacing w:val="-2"/>
        </w:rPr>
        <w:t> </w:t>
      </w:r>
      <w:r>
        <w:rPr/>
        <w:t>□不适用</w:t>
      </w:r>
      <w:r>
        <w:rPr>
          <w:w w:val="100"/>
        </w:rPr>
        <w:t> </w:t>
      </w:r>
      <w:r>
        <w:rPr>
          <w:spacing w:val="-2"/>
        </w:rPr>
        <w:t>本企业重要的合营或联营企业详见附注“九、在其他主体中的权益”</w:t>
      </w:r>
    </w:p>
    <w:p>
      <w:pPr>
        <w:pStyle w:val="BodyText"/>
        <w:spacing w:line="240" w:lineRule="auto" w:before="64"/>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4" w:lineRule="exact" w:before="23"/>
        <w:ind w:left="218" w:right="7474"/>
        <w:jc w:val="left"/>
      </w:pPr>
      <w:r>
        <w:rPr/>
        <w:t>□适用</w:t>
      </w:r>
      <w:r>
        <w:rPr>
          <w:spacing w:val="-1"/>
        </w:rPr>
        <w:t> </w:t>
      </w:r>
      <w:r>
        <w:rPr/>
        <w:t>√不适用</w:t>
      </w:r>
      <w:r>
        <w:rPr>
          <w:w w:val="100"/>
        </w:rPr>
        <w:t> </w:t>
      </w:r>
      <w:r>
        <w:rPr/>
        <w:t>其他说明</w:t>
      </w:r>
    </w:p>
    <w:p>
      <w:pPr>
        <w:pStyle w:val="BodyText"/>
        <w:spacing w:line="246" w:lineRule="exact"/>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218"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大洋企业集团有限公司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浙江广天建昌房地产股份有限公司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宁波市铜材有限责任公司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宁波市民营企业贷款担保有限公司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建德市广天三峰矿业有限公司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浙江广天日月钙业有限公司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浙江广天日月严州金属制造有限公司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余姚中景房地产有限责任公司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建德广天建昌房地产开发有限公司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宁波福兴昌贸易有限公司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关岛祥龙房地产有限公司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宁波新日月保安服务有限公司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杭州瑞鼎大厦有限公司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宁波市本源物资有限公司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宁波建乐东城木业有限公司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left="21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5" w:lineRule="exact"/>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293"/>
        <w:gridCol w:w="1274"/>
        <w:gridCol w:w="2172"/>
        <w:gridCol w:w="2156"/>
      </w:tblGrid>
      <w:tr>
        <w:trPr>
          <w:trHeight w:val="557"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宁波建乐东城木业有限公司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5,567,034.64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9,894,652.40</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宁波新日月酒店物业股份有限公司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2,865,683.03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2,268,476.98</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15,170.40</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宁波新日月保安服务有限公司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24,450.00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27,499.50</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726,603.70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2,026,787.26</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55"/>
          <w:pgSz w:w="11910" w:h="16840"/>
          <w:pgMar w:footer="1195" w:header="882" w:top="1120" w:bottom="1380" w:left="1660" w:right="1120"/>
          <w:pgNumType w:start="140"/>
        </w:sectPr>
      </w:pPr>
    </w:p>
    <w:p>
      <w:pPr>
        <w:pStyle w:val="BodyText"/>
        <w:spacing w:line="281" w:lineRule="exact" w:before="36"/>
        <w:ind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1"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10" w:space="4012"/>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1387"/>
        <w:gridCol w:w="2177"/>
        <w:gridCol w:w="2180"/>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15,295,073.03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2,149,352.64</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海盐建昌房地产有限公司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37,555,091.38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24,556,798.01</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销售商品、提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1,950,916.01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26,636,814.18</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宁波远望华夏酒店管理有限公司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18,783,495.14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1,677,653.74</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宁波远望华夏置业发展有限公司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67,396,416.81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21,325,366.58</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10,216,293.05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264,150.94</w:t>
            </w:r>
          </w:p>
        </w:tc>
      </w:tr>
    </w:tbl>
    <w:p>
      <w:pPr>
        <w:spacing w:line="240" w:lineRule="auto" w:before="2"/>
        <w:rPr>
          <w:rFonts w:ascii="宋体" w:hAnsi="宋体" w:cs="宋体" w:eastAsia="宋体" w:hint="default"/>
          <w:sz w:val="13"/>
          <w:szCs w:val="13"/>
        </w:rPr>
      </w:pPr>
    </w:p>
    <w:p>
      <w:pPr>
        <w:pStyle w:val="BodyText"/>
        <w:spacing w:line="273" w:lineRule="exact" w:before="36"/>
        <w:ind w:right="0"/>
        <w:jc w:val="left"/>
      </w:pPr>
      <w:r>
        <w:rPr/>
        <w:t>购销商品、提供和接受劳务的关联交易说明</w:t>
      </w:r>
    </w:p>
    <w:p>
      <w:pPr>
        <w:pStyle w:val="BodyText"/>
        <w:spacing w:line="289" w:lineRule="exact"/>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45" w:lineRule="exact"/>
        <w:ind w:right="-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浙江广天日月集团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399,055.54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433,512.38</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浙江广天建昌房地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产股份有限公司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房屋出租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760,083.43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777,564.76</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660" w:right="1120"/>
        </w:sectPr>
      </w:pPr>
    </w:p>
    <w:p>
      <w:pPr>
        <w:pStyle w:val="BodyText"/>
        <w:spacing w:line="274" w:lineRule="exact" w:before="36"/>
        <w:ind w:right="-8"/>
        <w:jc w:val="left"/>
      </w:pPr>
      <w:r>
        <w:rPr>
          <w:spacing w:val="-1"/>
        </w:rPr>
        <w:t>本公司作为承租方：</w:t>
      </w:r>
    </w:p>
    <w:p>
      <w:pPr>
        <w:pStyle w:val="BodyText"/>
        <w:spacing w:line="290" w:lineRule="exact"/>
        <w:ind w:right="-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宁波市民营企业贷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款担保有限公司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23,982.07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406,770.20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400,000.00</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left"/>
      </w:pPr>
      <w:r>
        <w:rPr/>
        <w:t>关联租赁情况说明</w:t>
      </w:r>
    </w:p>
    <w:p>
      <w:pPr>
        <w:pStyle w:val="BodyText"/>
        <w:spacing w:line="290" w:lineRule="exact"/>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660" w:right="1120"/>
        </w:sectPr>
      </w:pPr>
    </w:p>
    <w:p>
      <w:pPr>
        <w:spacing w:line="290" w:lineRule="auto" w:before="36"/>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tabs>
          <w:tab w:pos="980" w:val="left" w:leader="none"/>
        </w:tabs>
        <w:spacing w:line="230" w:lineRule="exact"/>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2017-01-04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2020-01-04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2020-10-15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2020-10-15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2020-11-05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2020-12-05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2020-11-07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2020-08-01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2017-10-30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2020-09-26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34,800,000.00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2017-09-27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2020-04-30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2017-08-16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2020-02-16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2017-08-17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2017-09-07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2020-03-06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2017-09-20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2020-03-13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2017-09-28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2020-05-09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2017-09-14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2020-03-13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2020-08-02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2020-11-12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2017-01-20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2020-01-19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设集团股份有限</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2017-05-05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2020-05-03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28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2017-04-06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2020-04-04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2017-02-27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2020-02-26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2017-10-30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2020-09-17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2017-03-28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2020-03-27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2017-05-09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2020-05-08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2017-05-24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2020-05-23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2017-07-14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2020-05-19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2017-05-25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2020-05-24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2017-06-12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2020-06-11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2017-04-07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2020-04-06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2020-12-17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2020-11-27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2017-01-12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2020-01-12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2017-07-26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2020-03-20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2017-01-18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2020-01-17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设集团股份有限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2017-04-21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2020-04-20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2017-05-15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2020-05-14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2020-10-10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2020-08-13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72" w:lineRule="exact" w:before="27"/>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2017-09-07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2020-09-05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宁波市政工程建</w:t>
            </w:r>
          </w:p>
          <w:p>
            <w:pPr>
              <w:pStyle w:val="TableParagraph"/>
              <w:spacing w:line="240" w:lineRule="auto"/>
              <w:ind w:left="26" w:right="43"/>
              <w:jc w:val="left"/>
              <w:rPr>
                <w:rFonts w:ascii="宋体" w:hAnsi="宋体" w:cs="宋体" w:eastAsia="宋体" w:hint="default"/>
                <w:sz w:val="21"/>
                <w:szCs w:val="21"/>
              </w:rPr>
            </w:pPr>
            <w:r>
              <w:rPr>
                <w:rFonts w:ascii="宋体" w:hAnsi="宋体" w:cs="宋体" w:eastAsia="宋体" w:hint="default"/>
                <w:sz w:val="21"/>
                <w:szCs w:val="21"/>
              </w:rPr>
              <w:t>设集团股份有限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2016-07-18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2021-01-14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2017-02-14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2017-03-13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2020-03-12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2017-05-24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2020-05-24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2017-07-10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2020-07-09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2017-07-04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2020-07-03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2017-07-10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2020-01-09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2017-05-22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2020-05-16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2017-06-05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2020-06-04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2017-06-06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2020-06-05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2017-07-28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2020-07-26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2017-08-01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2017-08-25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2020-08-24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2017-07-28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2020-07-27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2017-08-23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2020-08-22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2017-03-17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55"/>
        <w:gridCol w:w="1741"/>
        <w:gridCol w:w="1779"/>
        <w:gridCol w:w="1769"/>
        <w:gridCol w:w="2053"/>
      </w:tblGrid>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60,000,000.00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2017-03-16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2020-02-02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2017-03-15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宁波建工建乐工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2017-06-08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2017-03-03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16,500,000.00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2017-03-06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2020-02-02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2020-12-06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2020-11-23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2020-10-24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2017-08-09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2020-08-08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2017-08-15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2020-08-14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浙江广天构件股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2017-07-14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2020-07-12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2,270,800,000.00</w:t>
            </w:r>
          </w:p>
        </w:tc>
        <w:tc>
          <w:tcPr>
            <w:tcW w:w="177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5" w:top="1120" w:bottom="1380" w:left="1660" w:right="1120"/>
        </w:sectPr>
      </w:pPr>
    </w:p>
    <w:p>
      <w:pPr>
        <w:pStyle w:val="BodyText"/>
        <w:spacing w:line="273" w:lineRule="exact" w:before="36"/>
        <w:ind w:right="-8"/>
        <w:jc w:val="left"/>
      </w:pPr>
      <w:r>
        <w:rPr>
          <w:spacing w:val="-1"/>
        </w:rPr>
        <w:t>本公司作为被担保方</w:t>
      </w:r>
    </w:p>
    <w:p>
      <w:pPr>
        <w:pStyle w:val="BodyText"/>
        <w:tabs>
          <w:tab w:pos="903" w:val="left" w:leader="none"/>
        </w:tabs>
        <w:spacing w:line="290" w:lineRule="exact"/>
        <w:ind w:right="-10"/>
        <w:jc w:val="left"/>
      </w:pPr>
      <w:r>
        <w:rPr>
          <w:rFonts w:ascii="Cambria" w:hAnsi="Cambria" w:cs="Cambria" w:eastAsia="Cambria" w:hint="default"/>
          <w:spacing w:val="-1"/>
        </w:rPr>
        <w:t>√</w:t>
      </w:r>
      <w:r>
        <w:rPr>
          <w:spacing w:val="-1"/>
        </w:rPr>
        <w:t>适用</w:t>
        <w:tab/>
      </w:r>
      <w:r>
        <w:rPr>
          <w:rFonts w:ascii="Arial" w:hAnsi="Arial" w:cs="Arial" w:eastAsia="Arial" w:hint="default"/>
        </w:rPr>
        <w:t>□</w:t>
      </w:r>
      <w:r>
        <w:rPr>
          <w:rFonts w:ascii="Arial" w:hAnsi="Arial" w:cs="Arial" w:eastAsia="Arial" w:hint="default"/>
          <w:spacing w:val="29"/>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2017-06-15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2019-06-15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2017-06-15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2019-06-15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2017-09-18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2020-09-17</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2017-07-04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2020-07-03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2017-11-03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2020-11-02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2017-01-11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2020-01-09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2017-04-24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2020-04-24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2017-05-19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2020-05-18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2017-05-24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2020-05-24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2017-06-15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2020-06-15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浙江广天日月集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团股份有限公司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sz w:val="21"/>
              </w:rPr>
              <w:t>2017-06-16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2020-06-15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425,000,000.00</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418" w:right="0"/>
        <w:jc w:val="left"/>
      </w:pPr>
      <w:r>
        <w:rPr/>
        <w:t>关联担保情况说明</w:t>
      </w:r>
    </w:p>
    <w:p>
      <w:pPr>
        <w:pStyle w:val="BodyText"/>
        <w:tabs>
          <w:tab w:pos="1183" w:val="left" w:leader="none"/>
        </w:tabs>
        <w:spacing w:line="282" w:lineRule="exact"/>
        <w:ind w:left="418" w:right="0"/>
        <w:jc w:val="left"/>
      </w:pPr>
      <w:r>
        <w:rPr>
          <w:rFonts w:ascii="Cambria" w:hAnsi="Cambria" w:cs="Cambria" w:eastAsia="Cambria" w:hint="default"/>
          <w:spacing w:val="-1"/>
        </w:rPr>
        <w:t>√</w:t>
      </w:r>
      <w:r>
        <w:rPr>
          <w:spacing w:val="-1"/>
        </w:rPr>
        <w:t>适用</w:t>
        <w:tab/>
      </w:r>
      <w:r>
        <w:rPr>
          <w:rFonts w:ascii="Arial" w:hAnsi="Arial" w:cs="Arial" w:eastAsia="Arial" w:hint="default"/>
        </w:rPr>
        <w:t>□</w:t>
      </w:r>
      <w:r>
        <w:rPr>
          <w:rFonts w:ascii="Arial" w:hAnsi="Arial" w:cs="Arial" w:eastAsia="Arial" w:hint="default"/>
          <w:spacing w:val="29"/>
        </w:rPr>
        <w:t> </w:t>
      </w:r>
      <w:r>
        <w:rPr/>
        <w:t>不适用</w:t>
      </w:r>
    </w:p>
    <w:p>
      <w:pPr>
        <w:spacing w:line="270" w:lineRule="exact" w:before="0"/>
        <w:ind w:left="418" w:right="0" w:firstLine="0"/>
        <w:jc w:val="left"/>
        <w:rPr>
          <w:rFonts w:ascii="宋体" w:hAnsi="宋体" w:cs="宋体" w:eastAsia="宋体" w:hint="default"/>
          <w:sz w:val="20"/>
          <w:szCs w:val="20"/>
        </w:rPr>
      </w:pPr>
      <w:r>
        <w:rPr>
          <w:rFonts w:ascii="Cambria" w:hAnsi="Cambria" w:cs="Cambria" w:eastAsia="Cambria" w:hint="default"/>
          <w:sz w:val="20"/>
          <w:szCs w:val="20"/>
        </w:rPr>
        <w:t>1</w:t>
      </w:r>
      <w:r>
        <w:rPr>
          <w:rFonts w:ascii="宋体" w:hAnsi="宋体" w:cs="宋体" w:eastAsia="宋体" w:hint="default"/>
          <w:sz w:val="20"/>
          <w:szCs w:val="20"/>
        </w:rPr>
        <w:t>、控股股东对本公司子公司的担保</w:t>
      </w:r>
    </w:p>
    <w:tbl>
      <w:tblPr>
        <w:tblW w:w="0" w:type="auto"/>
        <w:jc w:val="left"/>
        <w:tblInd w:w="106" w:type="dxa"/>
        <w:tblLayout w:type="fixed"/>
        <w:tblCellMar>
          <w:top w:w="0" w:type="dxa"/>
          <w:left w:w="0" w:type="dxa"/>
          <w:bottom w:w="0" w:type="dxa"/>
          <w:right w:w="0" w:type="dxa"/>
        </w:tblCellMar>
        <w:tblLook w:val="01E0"/>
      </w:tblPr>
      <w:tblGrid>
        <w:gridCol w:w="2282"/>
        <w:gridCol w:w="2127"/>
        <w:gridCol w:w="1419"/>
        <w:gridCol w:w="1133"/>
        <w:gridCol w:w="1153"/>
        <w:gridCol w:w="1027"/>
      </w:tblGrid>
      <w:tr>
        <w:trPr>
          <w:trHeight w:val="838"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027"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72" w:lineRule="exact" w:before="27"/>
              <w:ind w:left="23" w:right="153"/>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r>
        <w:trPr>
          <w:trHeight w:val="55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浙江广天日月集团股份</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100,000,000,</w:t>
            </w:r>
          </w:p>
          <w:p>
            <w:pPr>
              <w:pStyle w:val="TableParagraph"/>
              <w:spacing w:line="273" w:lineRule="exact"/>
              <w:ind w:left="24" w:right="0"/>
              <w:jc w:val="lef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2017/9/18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2020/9/18</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浙江广天日月集团股份</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80,000,000.0</w:t>
            </w:r>
          </w:p>
          <w:p>
            <w:pPr>
              <w:pStyle w:val="TableParagraph"/>
              <w:spacing w:line="274" w:lineRule="exact"/>
              <w:ind w:left="24" w:right="0"/>
              <w:jc w:val="lef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sz w:val="21"/>
              </w:rPr>
              <w:t>2017/10/20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2020/10/20</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浙江广天日月集团股份</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宁波建工工程集团有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70,000,000.0</w:t>
            </w:r>
          </w:p>
          <w:p>
            <w:pPr>
              <w:pStyle w:val="TableParagraph"/>
              <w:spacing w:line="274" w:lineRule="exact"/>
              <w:ind w:left="24" w:right="0"/>
              <w:jc w:val="lef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2017/8/15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2020/8/15</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5"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72" w:lineRule="exact"/>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sz w:val="21"/>
              </w:rPr>
              <w:t>250,000,000</w:t>
            </w:r>
          </w:p>
        </w:tc>
        <w:tc>
          <w:tcPr>
            <w:tcW w:w="1133" w:type="dxa"/>
            <w:tcBorders>
              <w:top w:val="single" w:sz="4" w:space="0" w:color="000000"/>
              <w:left w:val="single" w:sz="4" w:space="0" w:color="000000"/>
              <w:bottom w:val="single" w:sz="12" w:space="0" w:color="000000"/>
              <w:right w:val="single" w:sz="4" w:space="0" w:color="000000"/>
            </w:tcBorders>
          </w:tcPr>
          <w:p>
            <w:pPr/>
          </w:p>
        </w:tc>
        <w:tc>
          <w:tcPr>
            <w:tcW w:w="1153"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4"/>
          <w:szCs w:val="14"/>
        </w:rPr>
      </w:pPr>
    </w:p>
    <w:p>
      <w:pPr>
        <w:pStyle w:val="BodyText"/>
        <w:spacing w:line="240" w:lineRule="auto" w:before="36"/>
        <w:ind w:left="418" w:right="0"/>
        <w:jc w:val="left"/>
      </w:pPr>
      <w:r>
        <w:rPr>
          <w:rFonts w:ascii="宋体" w:hAnsi="宋体" w:cs="宋体" w:eastAsia="宋体" w:hint="default"/>
        </w:rPr>
        <w:t>2</w:t>
      </w:r>
      <w:r>
        <w:rPr/>
        <w:t>、下属子公司之间担保</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85"/>
        <w:gridCol w:w="2125"/>
        <w:gridCol w:w="1419"/>
        <w:gridCol w:w="1135"/>
        <w:gridCol w:w="1150"/>
        <w:gridCol w:w="1027"/>
      </w:tblGrid>
      <w:tr>
        <w:trPr>
          <w:trHeight w:val="838" w:hRule="exact"/>
        </w:trPr>
        <w:tc>
          <w:tcPr>
            <w:tcW w:w="22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21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027"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40" w:lineRule="auto"/>
              <w:ind w:left="23" w:right="153"/>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r>
        <w:trPr>
          <w:trHeight w:val="555"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宁波建工工程集团有限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宁波建工钢结构有限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sz w:val="21"/>
              </w:rPr>
              <w:t>10,000,000.0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2017/10/16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2020/10/15</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宁波建工工程集团有限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宁波经济开发区建兴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2017/10/17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2020/10/16</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宁波建工工程集团有限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宁波经济开发区建兴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30,000,000.0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2017/11/13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2020/11/12</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宁波建工建乐工程有限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宁波建工工程集团有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50,000,000.0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2017/12/12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2020/12/10</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浙江广天构件股份有限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宁波建工广天构件有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9,500,000.00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2020/9/6</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浙江广天构件股份有限</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宁波建工广天构件有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15,000,000.0</w:t>
            </w:r>
          </w:p>
          <w:p>
            <w:pPr>
              <w:pStyle w:val="TableParagraph"/>
              <w:spacing w:line="274"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2018/11/5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2020/11/5</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浙江广天构件股份有限</w:t>
            </w:r>
          </w:p>
          <w:p>
            <w:pPr>
              <w:pStyle w:val="TableParagraph"/>
              <w:spacing w:line="275"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宁波广天新型建材有</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7,000,000.00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2017/11/29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2020/11/28</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宁波东兴沥青制品有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15,500,000.0</w:t>
            </w:r>
          </w:p>
          <w:p>
            <w:pPr>
              <w:pStyle w:val="TableParagraph"/>
              <w:spacing w:line="274"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2017/10/9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2019/10/8</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宁波东兴沥青制品有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2017/4/13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2020/4/11</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宁波东兴沥青制品有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2017/10/9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2020/9/27</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宁波东兴沥青制品有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11,000,000.0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sz w:val="21"/>
              </w:rPr>
              <w:t>2017/12/26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2020/6/17</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宁波新力水泥制品有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6,000,000.00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2017/5/22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2020/5/21</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宁波新力水泥制品有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50,000,000.0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sz w:val="21"/>
              </w:rPr>
              <w:t>2017/5/8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2020/5/7</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0" w:hRule="exact"/>
        </w:trPr>
        <w:tc>
          <w:tcPr>
            <w:tcW w:w="2285"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tc>
        <w:tc>
          <w:tcPr>
            <w:tcW w:w="2125"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宁波甬政园林建设有</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sz w:val="21"/>
              </w:rPr>
              <w:t>4,000,000.00</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sz w:val="21"/>
              </w:rPr>
              <w:t>2017/9/20</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sz w:val="21"/>
              </w:rPr>
              <w:t>2020/3/18</w:t>
            </w:r>
          </w:p>
        </w:tc>
        <w:tc>
          <w:tcPr>
            <w:tcW w:w="1027"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74" w:lineRule="exact"/>
        <w:jc w:val="left"/>
        <w:rPr>
          <w:rFonts w:ascii="宋体" w:hAnsi="宋体" w:cs="宋体" w:eastAsia="宋体" w:hint="default"/>
          <w:sz w:val="21"/>
          <w:szCs w:val="21"/>
        </w:rPr>
        <w:sectPr>
          <w:pgSz w:w="11910" w:h="16840"/>
          <w:pgMar w:header="882" w:footer="1195" w:top="1120" w:bottom="1380" w:left="13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285"/>
        <w:gridCol w:w="2125"/>
        <w:gridCol w:w="1419"/>
        <w:gridCol w:w="1135"/>
        <w:gridCol w:w="1150"/>
        <w:gridCol w:w="1027"/>
      </w:tblGrid>
      <w:tr>
        <w:trPr>
          <w:trHeight w:val="838" w:hRule="exact"/>
        </w:trPr>
        <w:tc>
          <w:tcPr>
            <w:tcW w:w="22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21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027" w:type="dxa"/>
            <w:tcBorders>
              <w:top w:val="single" w:sz="12" w:space="0" w:color="000000"/>
              <w:left w:val="single" w:sz="4" w:space="0" w:color="000000"/>
              <w:bottom w:val="single" w:sz="4" w:space="0" w:color="000000"/>
              <w:right w:val="nil" w:sz="6" w:space="0" w:color="auto"/>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40" w:lineRule="auto"/>
              <w:ind w:left="23" w:right="153"/>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r>
        <w:trPr>
          <w:trHeight w:val="35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宁波甬政园林建设有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3,500,000.00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2017/7/17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2020/7/15</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宁波市政工程建设集团</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宁波甬政园林建设有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9,500,000.00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2017/6/30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2020/6/28</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22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248,000,000.</w:t>
            </w:r>
          </w:p>
          <w:p>
            <w:pPr>
              <w:pStyle w:val="TableParagraph"/>
              <w:spacing w:line="273" w:lineRule="exact"/>
              <w:ind w:left="24" w:right="0"/>
              <w:jc w:val="left"/>
              <w:rPr>
                <w:rFonts w:ascii="宋体" w:hAnsi="宋体" w:cs="宋体" w:eastAsia="宋体" w:hint="default"/>
                <w:sz w:val="21"/>
                <w:szCs w:val="21"/>
              </w:rPr>
            </w:pPr>
            <w:r>
              <w:rPr>
                <w:rFonts w:ascii="宋体"/>
                <w:sz w:val="21"/>
              </w:rPr>
              <w:t>00</w:t>
            </w:r>
          </w:p>
        </w:tc>
        <w:tc>
          <w:tcPr>
            <w:tcW w:w="1135" w:type="dxa"/>
            <w:tcBorders>
              <w:top w:val="single" w:sz="4" w:space="0" w:color="000000"/>
              <w:left w:val="single" w:sz="4" w:space="0" w:color="000000"/>
              <w:bottom w:val="single" w:sz="12" w:space="0" w:color="000000"/>
              <w:right w:val="single" w:sz="4" w:space="0" w:color="000000"/>
            </w:tcBorders>
          </w:tcPr>
          <w:p>
            <w:pPr/>
          </w:p>
        </w:tc>
        <w:tc>
          <w:tcPr>
            <w:tcW w:w="1150"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nil" w:sz="6" w:space="0" w:color="auto"/>
            </w:tcBorders>
          </w:tcPr>
          <w:p>
            <w:pPr/>
          </w:p>
        </w:tc>
      </w:tr>
    </w:tbl>
    <w:p>
      <w:pPr>
        <w:pStyle w:val="BodyText"/>
        <w:spacing w:line="241" w:lineRule="exact"/>
        <w:ind w:left="418" w:right="0"/>
        <w:jc w:val="left"/>
      </w:pPr>
      <w:r>
        <w:rPr>
          <w:rFonts w:ascii="宋体" w:hAnsi="宋体" w:cs="宋体" w:eastAsia="宋体" w:hint="default"/>
        </w:rPr>
        <w:t>3</w:t>
      </w:r>
      <w:r>
        <w:rPr/>
        <w:t>、下属子公司对本公司的担保</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82"/>
        <w:gridCol w:w="2127"/>
        <w:gridCol w:w="1419"/>
        <w:gridCol w:w="1133"/>
        <w:gridCol w:w="1153"/>
        <w:gridCol w:w="1027"/>
      </w:tblGrid>
      <w:tr>
        <w:trPr>
          <w:trHeight w:val="836"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027"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40" w:lineRule="auto"/>
              <w:ind w:left="23" w:right="153"/>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r>
        <w:trPr>
          <w:trHeight w:val="557"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宁波建工建乐工程有限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宁波建工股份有限公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50,000,000,0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sz w:val="21"/>
              </w:rPr>
              <w:t>2016/12/28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2019/12/27</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宁波建工建乐工程有限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宁波建工股份有限公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50,000,000.0</w:t>
            </w:r>
          </w:p>
          <w:p>
            <w:pPr>
              <w:pStyle w:val="TableParagraph"/>
              <w:spacing w:line="273" w:lineRule="exact"/>
              <w:ind w:left="24" w:right="0"/>
              <w:jc w:val="lef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sz w:val="21"/>
              </w:rPr>
              <w:t>2016/12/28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sz w:val="21"/>
              </w:rPr>
              <w:t>2019/12/27</w:t>
            </w:r>
          </w:p>
        </w:tc>
        <w:tc>
          <w:tcPr>
            <w:tcW w:w="10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100,000,000.</w:t>
            </w:r>
          </w:p>
          <w:p>
            <w:pPr>
              <w:pStyle w:val="TableParagraph"/>
              <w:spacing w:line="273" w:lineRule="exact"/>
              <w:ind w:left="24" w:right="0"/>
              <w:jc w:val="left"/>
              <w:rPr>
                <w:rFonts w:ascii="宋体" w:hAnsi="宋体" w:cs="宋体" w:eastAsia="宋体" w:hint="default"/>
                <w:sz w:val="21"/>
                <w:szCs w:val="21"/>
              </w:rPr>
            </w:pPr>
            <w:r>
              <w:rPr>
                <w:rFonts w:ascii="宋体"/>
                <w:sz w:val="21"/>
              </w:rPr>
              <w:t>00</w:t>
            </w:r>
          </w:p>
        </w:tc>
        <w:tc>
          <w:tcPr>
            <w:tcW w:w="1133" w:type="dxa"/>
            <w:tcBorders>
              <w:top w:val="single" w:sz="4" w:space="0" w:color="000000"/>
              <w:left w:val="single" w:sz="4" w:space="0" w:color="000000"/>
              <w:bottom w:val="single" w:sz="12" w:space="0" w:color="000000"/>
              <w:right w:val="single" w:sz="4" w:space="0" w:color="000000"/>
            </w:tcBorders>
          </w:tcPr>
          <w:p>
            <w:pPr/>
          </w:p>
        </w:tc>
        <w:tc>
          <w:tcPr>
            <w:tcW w:w="1153" w:type="dxa"/>
            <w:tcBorders>
              <w:top w:val="single" w:sz="4" w:space="0" w:color="000000"/>
              <w:left w:val="single" w:sz="4" w:space="0" w:color="000000"/>
              <w:bottom w:val="single" w:sz="12" w:space="0" w:color="000000"/>
              <w:right w:val="single" w:sz="4" w:space="0" w:color="000000"/>
            </w:tcBorders>
          </w:tcPr>
          <w:p>
            <w:pPr/>
          </w:p>
        </w:tc>
        <w:tc>
          <w:tcPr>
            <w:tcW w:w="102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380" w:right="1040"/>
        </w:sectPr>
      </w:pPr>
    </w:p>
    <w:p>
      <w:pPr>
        <w:pStyle w:val="Heading3"/>
        <w:spacing w:line="240" w:lineRule="auto"/>
        <w:ind w:left="418" w:right="-18"/>
        <w:jc w:val="left"/>
        <w:rPr>
          <w:b w:val="0"/>
          <w:bCs w:val="0"/>
        </w:rPr>
      </w:pPr>
      <w:r>
        <w:rPr>
          <w:rFonts w:ascii="宋体" w:hAnsi="宋体" w:cs="宋体" w:eastAsia="宋体" w:hint="default"/>
        </w:rPr>
        <w:t>(4).</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4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380" w:right="1040"/>
          <w:cols w:num="2" w:equalWidth="0">
            <w:col w:w="3987" w:space="2534"/>
            <w:col w:w="2969"/>
          </w:cols>
        </w:sectPr>
      </w:pP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浙江广天日月集团股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购置房产</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9" w:right="0"/>
              <w:jc w:val="left"/>
              <w:rPr>
                <w:rFonts w:ascii="Times New Roman" w:hAnsi="Times New Roman" w:cs="Times New Roman" w:eastAsia="Times New Roman" w:hint="default"/>
                <w:sz w:val="21"/>
                <w:szCs w:val="21"/>
              </w:rPr>
            </w:pPr>
            <w:r>
              <w:rPr>
                <w:rFonts w:ascii="Times New Roman"/>
                <w:sz w:val="21"/>
              </w:rPr>
              <w:t>124,921,390.00</w:t>
            </w: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380" w:right="1040"/>
        </w:sectPr>
      </w:pPr>
    </w:p>
    <w:p>
      <w:pPr>
        <w:pStyle w:val="Heading3"/>
        <w:spacing w:line="240" w:lineRule="auto"/>
        <w:ind w:left="418" w:right="-19"/>
        <w:jc w:val="left"/>
        <w:rPr>
          <w:b w:val="0"/>
          <w:bCs w:val="0"/>
        </w:rPr>
      </w:pPr>
      <w:r>
        <w:rPr>
          <w:rFonts w:ascii="宋体" w:hAnsi="宋体" w:cs="宋体" w:eastAsia="宋体" w:hint="default"/>
        </w:rPr>
        <w:t>(5).</w:t>
      </w:r>
      <w:r>
        <w:rPr>
          <w:rFonts w:ascii="宋体" w:hAnsi="宋体" w:cs="宋体" w:eastAsia="宋体" w:hint="default"/>
          <w:spacing w:val="89"/>
        </w:rPr>
        <w:t> </w:t>
      </w:r>
      <w:r>
        <w:rPr/>
        <w:t>关键管理人员报酬</w:t>
      </w:r>
      <w:r>
        <w:rPr>
          <w:b w:val="0"/>
          <w:bCs w:val="0"/>
        </w:rPr>
      </w:r>
    </w:p>
    <w:p>
      <w:pPr>
        <w:pStyle w:val="BodyText"/>
        <w:spacing w:line="240" w:lineRule="auto" w:before="56"/>
        <w:ind w:left="4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7" w:val="left" w:leader="none"/>
        </w:tabs>
        <w:spacing w:line="240" w:lineRule="auto"/>
        <w:ind w:left="418" w:right="0"/>
        <w:jc w:val="left"/>
      </w:pPr>
      <w:r>
        <w:rPr>
          <w:spacing w:val="-1"/>
        </w:rPr>
        <w:t>单位：元</w:t>
        <w:tab/>
        <w:t>币种：人民币</w:t>
      </w:r>
    </w:p>
    <w:p>
      <w:pPr>
        <w:spacing w:after="0" w:line="240" w:lineRule="auto"/>
        <w:jc w:val="left"/>
        <w:sectPr>
          <w:type w:val="continuous"/>
          <w:pgSz w:w="11910" w:h="16840"/>
          <w:pgMar w:top="1120" w:bottom="1380" w:left="1380" w:right="1040"/>
          <w:cols w:num="2" w:equalWidth="0">
            <w:col w:w="2725" w:space="3797"/>
            <w:col w:w="2968"/>
          </w:cols>
        </w:sectPr>
      </w:pPr>
    </w:p>
    <w:p>
      <w:pPr>
        <w:spacing w:line="240" w:lineRule="auto" w:before="4"/>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01" w:right="0"/>
              <w:jc w:val="left"/>
              <w:rPr>
                <w:rFonts w:ascii="宋体" w:hAnsi="宋体" w:cs="宋体" w:eastAsia="宋体" w:hint="default"/>
                <w:sz w:val="21"/>
                <w:szCs w:val="21"/>
              </w:rPr>
            </w:pPr>
            <w:r>
              <w:rPr>
                <w:rFonts w:ascii="宋体"/>
                <w:sz w:val="21"/>
              </w:rPr>
              <w:t>8,795,017.00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9,244,161.20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380" w:right="1040"/>
        </w:sectPr>
      </w:pPr>
    </w:p>
    <w:p>
      <w:pPr>
        <w:pStyle w:val="Heading3"/>
        <w:spacing w:line="290" w:lineRule="auto"/>
        <w:ind w:left="41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164" w:val="left" w:leader="none"/>
        </w:tabs>
        <w:spacing w:line="240" w:lineRule="auto" w:before="14"/>
        <w:ind w:left="41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318" w:val="left" w:leader="none"/>
        </w:tabs>
        <w:spacing w:line="240" w:lineRule="auto"/>
        <w:ind w:left="4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380" w:right="1040"/>
          <w:cols w:num="2" w:equalWidth="0">
            <w:col w:w="2744" w:space="4082"/>
            <w:col w:w="2664"/>
          </w:cols>
        </w:sectPr>
      </w:pPr>
    </w:p>
    <w:tbl>
      <w:tblPr>
        <w:tblW w:w="0" w:type="auto"/>
        <w:jc w:val="left"/>
        <w:tblInd w:w="382" w:type="dxa"/>
        <w:tblLayout w:type="fixed"/>
        <w:tblCellMar>
          <w:top w:w="0" w:type="dxa"/>
          <w:left w:w="0" w:type="dxa"/>
          <w:bottom w:w="0" w:type="dxa"/>
          <w:right w:w="0" w:type="dxa"/>
        </w:tblCellMar>
        <w:tblLook w:val="01E0"/>
      </w:tblPr>
      <w:tblGrid>
        <w:gridCol w:w="1025"/>
        <w:gridCol w:w="1786"/>
        <w:gridCol w:w="1366"/>
        <w:gridCol w:w="1364"/>
        <w:gridCol w:w="1490"/>
        <w:gridCol w:w="1865"/>
      </w:tblGrid>
      <w:tr>
        <w:trPr>
          <w:trHeight w:val="281"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7"/>
              <w:ind w:left="8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07"/>
              <w:ind w:left="57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025" w:type="dxa"/>
            <w:vMerge/>
            <w:tcBorders>
              <w:left w:val="single" w:sz="4" w:space="0" w:color="000000"/>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建德广天建昌房地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8,929,342.00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1,785,868.40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10,929,342.00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2,185,868.40</w:t>
            </w:r>
          </w:p>
        </w:tc>
      </w:tr>
      <w:tr>
        <w:trPr>
          <w:trHeight w:val="55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海盐建昌房地产有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3,396,396.00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122,891.88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994,088.94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33,688.52</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杭州瑞鼎大厦有限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3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025"/>
        <w:gridCol w:w="1786"/>
        <w:gridCol w:w="1366"/>
        <w:gridCol w:w="1364"/>
        <w:gridCol w:w="1490"/>
        <w:gridCol w:w="1865"/>
      </w:tblGrid>
      <w:tr>
        <w:trPr>
          <w:trHeight w:val="284" w:hRule="exact"/>
        </w:trPr>
        <w:tc>
          <w:tcPr>
            <w:tcW w:w="1025"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宁波广天建昌房地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486,129.20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14,583.88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2,640,604.00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76,218.12</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衢州广天建昌房地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565,207.98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56,520.80</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宁波远望华夏置业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38,500,000.00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7,700,000.00</w:t>
            </w:r>
          </w:p>
        </w:tc>
      </w:tr>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宁波远望华夏酒店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8,653,000.00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1,445,398.86</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宁波普利凯建筑科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4,085,736.91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251,278.74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511,378.00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15,341.34</w:t>
            </w:r>
          </w:p>
        </w:tc>
      </w:tr>
      <w:tr>
        <w:trPr>
          <w:trHeight w:val="55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余姚广天建昌房地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90,000.00</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浙江广天建昌房地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产股份有限公司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24,136.70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3,620.51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24,136.70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2,413.67</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宁波普利凯建筑科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1,970,500.00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17,150,000.00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514,500.00</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宁波建乐东城木业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1,494,390.00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3"/>
        <w:spacing w:line="240" w:lineRule="auto"/>
        <w:ind w:left="138" w:right="-14"/>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884" w:val="left" w:leader="none"/>
        </w:tabs>
        <w:spacing w:line="240" w:lineRule="auto" w:before="58"/>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1643" w:space="5183"/>
            <w:col w:w="2304"/>
          </w:cols>
        </w:sectPr>
      </w:pPr>
    </w:p>
    <w:tbl>
      <w:tblPr>
        <w:tblW w:w="0" w:type="auto"/>
        <w:jc w:val="left"/>
        <w:tblInd w:w="102" w:type="dxa"/>
        <w:tblLayout w:type="fixed"/>
        <w:tblCellMar>
          <w:top w:w="0" w:type="dxa"/>
          <w:left w:w="0" w:type="dxa"/>
          <w:bottom w:w="0" w:type="dxa"/>
          <w:right w:w="0" w:type="dxa"/>
        </w:tblCellMar>
        <w:tblLook w:val="01E0"/>
      </w:tblPr>
      <w:tblGrid>
        <w:gridCol w:w="1308"/>
        <w:gridCol w:w="3687"/>
        <w:gridCol w:w="1982"/>
        <w:gridCol w:w="1918"/>
      </w:tblGrid>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宁波市建隆铜业有限公司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588.96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588.96</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宁波新日月育才大酒店管理有限公司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18,652.00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宁波建乐东城木业有限公司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351,942.49</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宁波普利凯建筑科技有限公司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43,832.22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391,940.10</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浙江广天日月集团股份有限公司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7,253.85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2,810.00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宁波广天建昌房地产有限公司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浙江广天日月金属结构有限公司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w:t>
            </w:r>
          </w:p>
        </w:tc>
        <w:tc>
          <w:tcPr>
            <w:tcW w:w="1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tabs>
          <w:tab w:pos="977" w:val="left" w:leader="none"/>
        </w:tabs>
        <w:spacing w:line="290" w:lineRule="auto"/>
        <w:ind w:left="138" w:right="6668"/>
        <w:jc w:val="left"/>
        <w:rPr>
          <w:b w:val="0"/>
          <w:bCs w:val="0"/>
        </w:rPr>
      </w:pPr>
      <w:r>
        <w:rPr/>
        <w:t>十二、</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right="324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资产负债表日存在的对外重要承诺、性质、金额</w:t>
      </w:r>
    </w:p>
    <w:p>
      <w:pPr>
        <w:pStyle w:val="BodyText"/>
        <w:spacing w:line="255" w:lineRule="exact"/>
        <w:ind w:left="558" w:right="0"/>
        <w:jc w:val="left"/>
      </w:pPr>
      <w:r>
        <w:rPr>
          <w:rFonts w:ascii="Times New Roman" w:hAnsi="Times New Roman" w:cs="Times New Roman" w:eastAsia="Times New Roman" w:hint="default"/>
        </w:rPr>
        <w:t>1</w:t>
      </w:r>
      <w:r>
        <w:rPr/>
        <w:t>、开具保函及承兑汇票：</w:t>
      </w:r>
    </w:p>
    <w:p>
      <w:pPr>
        <w:pStyle w:val="BodyText"/>
        <w:spacing w:line="272" w:lineRule="exact"/>
        <w:ind w:left="558" w:right="0"/>
        <w:jc w:val="left"/>
      </w:pPr>
      <w:r>
        <w:rPr>
          <w:spacing w:val="21"/>
        </w:rPr>
        <w:t>截止</w:t>
      </w:r>
      <w:r>
        <w:rPr>
          <w:spacing w:val="43"/>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42"/>
        </w:rPr>
        <w:t> </w:t>
      </w:r>
      <w:r>
        <w:rPr/>
        <w:t>年</w:t>
      </w:r>
      <w:r>
        <w:rPr>
          <w:spacing w:val="43"/>
        </w:rPr>
        <w:t> </w:t>
      </w:r>
      <w:r>
        <w:rPr>
          <w:rFonts w:ascii="Times New Roman" w:hAnsi="Times New Roman" w:cs="Times New Roman" w:eastAsia="Times New Roman" w:hint="default"/>
        </w:rPr>
        <w:t>12 </w:t>
      </w:r>
      <w:r>
        <w:rPr>
          <w:rFonts w:ascii="Times New Roman" w:hAnsi="Times New Roman" w:cs="Times New Roman" w:eastAsia="Times New Roman" w:hint="default"/>
          <w:spacing w:val="43"/>
        </w:rPr>
        <w:t> </w:t>
      </w:r>
      <w:r>
        <w:rPr/>
        <w:t>月</w:t>
      </w:r>
      <w:r>
        <w:rPr>
          <w:spacing w:val="43"/>
        </w:rPr>
        <w:t> </w:t>
      </w:r>
      <w:r>
        <w:rPr>
          <w:rFonts w:ascii="Times New Roman" w:hAnsi="Times New Roman" w:cs="Times New Roman" w:eastAsia="Times New Roman" w:hint="default"/>
        </w:rPr>
        <w:t>31 </w:t>
      </w:r>
      <w:r>
        <w:rPr>
          <w:rFonts w:ascii="Times New Roman" w:hAnsi="Times New Roman" w:cs="Times New Roman" w:eastAsia="Times New Roman" w:hint="default"/>
          <w:spacing w:val="42"/>
        </w:rPr>
        <w:t> </w:t>
      </w:r>
      <w:r>
        <w:rPr/>
        <w:t>日</w:t>
      </w:r>
      <w:r>
        <w:rPr>
          <w:spacing w:val="-62"/>
        </w:rPr>
        <w:t> </w:t>
      </w:r>
      <w:r>
        <w:rPr/>
        <w:t>公</w:t>
      </w:r>
      <w:r>
        <w:rPr>
          <w:spacing w:val="-65"/>
        </w:rPr>
        <w:t> </w:t>
      </w:r>
      <w:r>
        <w:rPr/>
        <w:t>司</w:t>
      </w:r>
      <w:r>
        <w:rPr>
          <w:spacing w:val="-65"/>
        </w:rPr>
        <w:t> </w:t>
      </w:r>
      <w:r>
        <w:rPr/>
        <w:t>保</w:t>
      </w:r>
      <w:r>
        <w:rPr>
          <w:spacing w:val="-65"/>
        </w:rPr>
        <w:t> </w:t>
      </w:r>
      <w:r>
        <w:rPr/>
        <w:t>函</w:t>
      </w:r>
      <w:r>
        <w:rPr>
          <w:spacing w:val="-62"/>
        </w:rPr>
        <w:t> </w:t>
      </w:r>
      <w:r>
        <w:rPr/>
        <w:t>保</w:t>
      </w:r>
      <w:r>
        <w:rPr>
          <w:spacing w:val="-65"/>
        </w:rPr>
        <w:t> </w:t>
      </w:r>
      <w:r>
        <w:rPr/>
        <w:t>证</w:t>
      </w:r>
      <w:r>
        <w:rPr>
          <w:spacing w:val="-65"/>
        </w:rPr>
        <w:t> </w:t>
      </w:r>
      <w:r>
        <w:rPr/>
        <w:t>金</w:t>
      </w:r>
      <w:r>
        <w:rPr>
          <w:spacing w:val="-65"/>
        </w:rPr>
        <w:t> </w:t>
      </w:r>
      <w:r>
        <w:rPr/>
        <w:t>为</w:t>
      </w:r>
      <w:r>
        <w:rPr>
          <w:spacing w:val="45"/>
        </w:rPr>
        <w:t> </w:t>
      </w:r>
      <w:r>
        <w:rPr>
          <w:rFonts w:ascii="Times New Roman" w:hAnsi="Times New Roman" w:cs="Times New Roman" w:eastAsia="Times New Roman" w:hint="default"/>
        </w:rPr>
        <w:t>80,351,708.44 </w:t>
      </w:r>
      <w:r>
        <w:rPr>
          <w:rFonts w:ascii="Times New Roman" w:hAnsi="Times New Roman" w:cs="Times New Roman" w:eastAsia="Times New Roman" w:hint="default"/>
          <w:spacing w:val="42"/>
        </w:rPr>
        <w:t> </w:t>
      </w:r>
      <w:r>
        <w:rPr/>
        <w:t>元</w:t>
      </w:r>
      <w:r>
        <w:rPr>
          <w:spacing w:val="-65"/>
        </w:rPr>
        <w:t>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用</w:t>
      </w:r>
      <w:r>
        <w:rPr>
          <w:spacing w:val="-65"/>
        </w:rPr>
        <w:t> </w:t>
      </w:r>
      <w:r>
        <w:rPr/>
        <w:t>于</w:t>
      </w:r>
      <w:r>
        <w:rPr>
          <w:spacing w:val="-65"/>
        </w:rPr>
        <w:t> </w:t>
      </w:r>
      <w:r>
        <w:rPr/>
        <w:t>开</w:t>
      </w:r>
      <w:r>
        <w:rPr>
          <w:spacing w:val="-62"/>
        </w:rPr>
        <w:t> </w:t>
      </w:r>
      <w:r>
        <w:rPr/>
        <w:t>立</w:t>
      </w:r>
      <w:r>
        <w:rPr>
          <w:spacing w:val="-65"/>
        </w:rPr>
        <w:t> </w:t>
      </w:r>
      <w:r>
        <w:rPr/>
        <w:t>总</w:t>
      </w:r>
      <w:r>
        <w:rPr>
          <w:spacing w:val="-65"/>
        </w:rPr>
        <w:t> </w:t>
      </w:r>
      <w:r>
        <w:rPr/>
        <w:t>额</w:t>
      </w:r>
      <w:r>
        <w:rPr>
          <w:spacing w:val="-65"/>
        </w:rPr>
        <w:t> </w:t>
      </w:r>
      <w:r>
        <w:rPr/>
        <w:t>为</w:t>
      </w:r>
    </w:p>
    <w:p>
      <w:pPr>
        <w:pStyle w:val="BodyText"/>
        <w:spacing w:line="272" w:lineRule="exact"/>
        <w:ind w:right="0"/>
        <w:jc w:val="left"/>
      </w:pPr>
      <w:r>
        <w:rPr>
          <w:rFonts w:ascii="Times New Roman" w:hAnsi="Times New Roman" w:cs="Times New Roman" w:eastAsia="Times New Roman" w:hint="default"/>
        </w:rPr>
        <w:t>1,516,562,109.92  </w:t>
      </w:r>
      <w:r>
        <w:rPr>
          <w:spacing w:val="-4"/>
        </w:rPr>
        <w:t>元的保函。其中：本公司开立保函 </w:t>
      </w:r>
      <w:r>
        <w:rPr>
          <w:rFonts w:ascii="Times New Roman" w:hAnsi="Times New Roman" w:cs="Times New Roman" w:eastAsia="Times New Roman" w:hint="default"/>
        </w:rPr>
        <w:t>273,540,694.09</w:t>
      </w:r>
      <w:r>
        <w:rPr>
          <w:rFonts w:ascii="Times New Roman" w:hAnsi="Times New Roman" w:cs="Times New Roman" w:eastAsia="Times New Roman" w:hint="default"/>
          <w:spacing w:val="-4"/>
        </w:rPr>
        <w:t> </w:t>
      </w:r>
      <w:r>
        <w:rPr>
          <w:spacing w:val="-3"/>
        </w:rPr>
        <w:t>元，本公司下属子公司宁波建</w:t>
      </w:r>
    </w:p>
    <w:p>
      <w:pPr>
        <w:pStyle w:val="BodyText"/>
        <w:spacing w:line="272" w:lineRule="exact"/>
        <w:ind w:right="0"/>
        <w:jc w:val="left"/>
      </w:pPr>
      <w:r>
        <w:rPr/>
        <w:t>工工程集团有限公司开立保函 </w:t>
      </w:r>
      <w:r>
        <w:rPr>
          <w:rFonts w:ascii="Times New Roman" w:hAnsi="Times New Roman" w:cs="Times New Roman" w:eastAsia="Times New Roman" w:hint="default"/>
        </w:rPr>
        <w:t>829,158,177.23</w:t>
      </w:r>
      <w:r>
        <w:rPr>
          <w:rFonts w:ascii="Times New Roman" w:hAnsi="Times New Roman" w:cs="Times New Roman" w:eastAsia="Times New Roman" w:hint="default"/>
          <w:spacing w:val="5"/>
        </w:rPr>
        <w:t> </w:t>
      </w:r>
      <w:r>
        <w:rPr/>
        <w:t>元，本公司下属子公司宁波建工建乐工程有限公司</w:t>
      </w:r>
    </w:p>
    <w:p>
      <w:pPr>
        <w:pStyle w:val="BodyText"/>
        <w:spacing w:line="272" w:lineRule="exact"/>
        <w:ind w:right="0"/>
        <w:jc w:val="left"/>
        <w:rPr>
          <w:rFonts w:ascii="Times New Roman" w:hAnsi="Times New Roman" w:cs="Times New Roman" w:eastAsia="Times New Roman" w:hint="default"/>
        </w:rPr>
      </w:pPr>
      <w:r>
        <w:rPr/>
        <w:t>开立保函 </w:t>
      </w:r>
      <w:r>
        <w:rPr>
          <w:rFonts w:ascii="Times New Roman" w:hAnsi="Times New Roman" w:cs="Times New Roman" w:eastAsia="Times New Roman" w:hint="default"/>
        </w:rPr>
        <w:t>98,470,618.29 </w:t>
      </w:r>
      <w:r>
        <w:rPr>
          <w:spacing w:val="-3"/>
        </w:rPr>
        <w:t>元，本公司下属子公司浙江广天构件股份有限公司开立保函</w:t>
      </w:r>
      <w:r>
        <w:rPr>
          <w:spacing w:val="-79"/>
        </w:rPr>
        <w:t> </w:t>
      </w:r>
      <w:r>
        <w:rPr>
          <w:rFonts w:ascii="Times New Roman" w:hAnsi="Times New Roman" w:cs="Times New Roman" w:eastAsia="Times New Roman" w:hint="default"/>
        </w:rPr>
        <w:t>45,962,363.00</w:t>
      </w:r>
    </w:p>
    <w:p>
      <w:pPr>
        <w:pStyle w:val="BodyText"/>
        <w:spacing w:line="272" w:lineRule="exact"/>
        <w:ind w:right="0"/>
        <w:jc w:val="left"/>
      </w:pPr>
      <w:r>
        <w:rPr/>
        <w:t>元，本公司下属子公司宁波市政工程建设集团股份有限公司开立保函 </w:t>
      </w:r>
      <w:r>
        <w:rPr>
          <w:rFonts w:ascii="Times New Roman" w:hAnsi="Times New Roman" w:cs="Times New Roman" w:eastAsia="Times New Roman" w:hint="default"/>
        </w:rPr>
        <w:t>248,813,027.10</w:t>
      </w:r>
      <w:r>
        <w:rPr>
          <w:rFonts w:ascii="Times New Roman" w:hAnsi="Times New Roman" w:cs="Times New Roman" w:eastAsia="Times New Roman" w:hint="default"/>
          <w:spacing w:val="5"/>
        </w:rPr>
        <w:t> </w:t>
      </w:r>
      <w:r>
        <w:rPr/>
        <w:t>元，本公司</w:t>
      </w:r>
    </w:p>
    <w:p>
      <w:pPr>
        <w:pStyle w:val="BodyText"/>
        <w:spacing w:line="273" w:lineRule="exact"/>
        <w:ind w:right="0"/>
        <w:jc w:val="left"/>
      </w:pPr>
      <w:r>
        <w:rPr/>
        <w:t>下属子公司宁波冶金勘察设计研究股份有限公司开立保函 </w:t>
      </w:r>
      <w:r>
        <w:rPr>
          <w:rFonts w:ascii="Times New Roman" w:hAnsi="Times New Roman" w:cs="Times New Roman" w:eastAsia="Times New Roman" w:hint="default"/>
        </w:rPr>
        <w:t>20,617,230.21</w:t>
      </w:r>
      <w:r>
        <w:rPr>
          <w:rFonts w:ascii="Times New Roman" w:hAnsi="Times New Roman" w:cs="Times New Roman" w:eastAsia="Times New Roman" w:hint="default"/>
          <w:spacing w:val="-2"/>
        </w:rPr>
        <w:t> </w:t>
      </w:r>
      <w:r>
        <w:rPr>
          <w:spacing w:val="-3"/>
        </w:rPr>
        <w:t>元。</w:t>
      </w:r>
      <w:r>
        <w:rPr/>
      </w:r>
    </w:p>
    <w:p>
      <w:pPr>
        <w:pStyle w:val="BodyText"/>
        <w:spacing w:line="271" w:lineRule="exact"/>
        <w:ind w:left="558" w:right="0"/>
        <w:jc w:val="left"/>
      </w:pPr>
      <w:r>
        <w:rPr>
          <w:spacing w:val="3"/>
        </w:rPr>
        <w:t>截止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4"/>
        </w:rPr>
        <w:t>日公司银行承兑汇票保证金为 </w:t>
      </w:r>
      <w:r>
        <w:rPr>
          <w:rFonts w:ascii="Times New Roman" w:hAnsi="Times New Roman" w:cs="Times New Roman" w:eastAsia="Times New Roman" w:hint="default"/>
        </w:rPr>
        <w:t>48,094,033.99   </w:t>
      </w:r>
      <w:r>
        <w:rPr>
          <w:rFonts w:ascii="Times New Roman" w:hAnsi="Times New Roman" w:cs="Times New Roman" w:eastAsia="Times New Roman" w:hint="default"/>
          <w:spacing w:val="2"/>
        </w:rPr>
        <w:t> </w:t>
      </w:r>
      <w:r>
        <w:rPr>
          <w:spacing w:val="4"/>
        </w:rPr>
        <w:t>元</w:t>
      </w:r>
      <w:r>
        <w:rPr>
          <w:rFonts w:ascii="Times New Roman" w:hAnsi="Times New Roman" w:cs="Times New Roman" w:eastAsia="Times New Roman" w:hint="default"/>
          <w:spacing w:val="4"/>
        </w:rPr>
        <w:t>,</w:t>
      </w:r>
      <w:r>
        <w:rPr>
          <w:spacing w:val="4"/>
        </w:rPr>
        <w:t>用于开具总额为</w:t>
      </w:r>
      <w:r>
        <w:rPr/>
      </w:r>
    </w:p>
    <w:p>
      <w:pPr>
        <w:pStyle w:val="BodyText"/>
        <w:spacing w:line="272" w:lineRule="exact"/>
        <w:ind w:right="0"/>
        <w:jc w:val="left"/>
      </w:pPr>
      <w:r>
        <w:rPr>
          <w:rFonts w:ascii="Times New Roman" w:hAnsi="Times New Roman" w:cs="Times New Roman" w:eastAsia="Times New Roman" w:hint="default"/>
        </w:rPr>
        <w:t>171,244,478.57</w:t>
      </w:r>
      <w:r>
        <w:rPr>
          <w:rFonts w:ascii="Times New Roman" w:hAnsi="Times New Roman" w:cs="Times New Roman" w:eastAsia="Times New Roman" w:hint="default"/>
          <w:spacing w:val="43"/>
        </w:rPr>
        <w:t> </w:t>
      </w:r>
      <w:r>
        <w:rPr>
          <w:spacing w:val="-4"/>
        </w:rPr>
        <w:t>元的银行承兑汇票。其中：本公司下属子公司宁波建工工程集团有限公司开具银行</w:t>
      </w:r>
    </w:p>
    <w:p>
      <w:pPr>
        <w:pStyle w:val="BodyText"/>
        <w:spacing w:line="282" w:lineRule="exact"/>
        <w:ind w:right="0"/>
        <w:jc w:val="left"/>
      </w:pPr>
      <w:r>
        <w:rPr/>
        <w:t>承兑汇票金额 </w:t>
      </w:r>
      <w:r>
        <w:rPr>
          <w:rFonts w:ascii="Times New Roman" w:hAnsi="Times New Roman" w:cs="Times New Roman" w:eastAsia="Times New Roman" w:hint="default"/>
        </w:rPr>
        <w:t>69,000,000.00</w:t>
      </w:r>
      <w:r>
        <w:rPr>
          <w:rFonts w:ascii="Times New Roman" w:hAnsi="Times New Roman" w:cs="Times New Roman" w:eastAsia="Times New Roman" w:hint="default"/>
          <w:spacing w:val="-12"/>
        </w:rPr>
        <w:t> </w:t>
      </w:r>
      <w:r>
        <w:rPr>
          <w:spacing w:val="-3"/>
        </w:rPr>
        <w:t>元，本公司下属子公司宁波建工建乐工程有限公司开具银行承兑汇票</w:t>
      </w:r>
    </w:p>
    <w:p>
      <w:pPr>
        <w:spacing w:after="0" w:line="282"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82" w:lineRule="exact" w:before="36"/>
        <w:ind w:left="238" w:right="0"/>
        <w:jc w:val="left"/>
      </w:pPr>
      <w:r>
        <w:rPr>
          <w:spacing w:val="3"/>
        </w:rPr>
        <w:t>金额 </w:t>
      </w:r>
      <w:r>
        <w:rPr>
          <w:rFonts w:ascii="Times New Roman" w:hAnsi="Times New Roman" w:cs="Times New Roman" w:eastAsia="Times New Roman" w:hint="default"/>
        </w:rPr>
        <w:t>71,705,442.87  </w:t>
      </w:r>
      <w:r>
        <w:rPr>
          <w:rFonts w:ascii="Times New Roman" w:hAnsi="Times New Roman" w:cs="Times New Roman" w:eastAsia="Times New Roman" w:hint="default"/>
          <w:spacing w:val="49"/>
        </w:rPr>
        <w:t> </w:t>
      </w:r>
      <w:r>
        <w:rPr>
          <w:spacing w:val="4"/>
        </w:rPr>
        <w:t>元，本公司下属子公司浙江广天构件股份有限公司开具银行承兑汇票金额</w:t>
      </w:r>
    </w:p>
    <w:p>
      <w:pPr>
        <w:pStyle w:val="BodyText"/>
        <w:spacing w:line="272" w:lineRule="exact"/>
        <w:ind w:left="238" w:right="0"/>
        <w:jc w:val="left"/>
      </w:pPr>
      <w:r>
        <w:rPr>
          <w:rFonts w:ascii="Times New Roman" w:hAnsi="Times New Roman" w:cs="Times New Roman" w:eastAsia="Times New Roman" w:hint="default"/>
          <w:spacing w:val="-1"/>
        </w:rPr>
        <w:t>24,700,000.00</w:t>
      </w:r>
      <w:r>
        <w:rPr>
          <w:rFonts w:ascii="Times New Roman" w:hAnsi="Times New Roman" w:cs="Times New Roman" w:eastAsia="Times New Roman" w:hint="default"/>
        </w:rPr>
        <w:t> </w:t>
      </w:r>
      <w:r>
        <w:rPr>
          <w:rFonts w:ascii="Times New Roman" w:hAnsi="Times New Roman" w:cs="Times New Roman" w:eastAsia="Times New Roman" w:hint="default"/>
          <w:spacing w:val="37"/>
        </w:rPr>
        <w:t> </w:t>
      </w:r>
      <w:r>
        <w:rPr>
          <w:spacing w:val="-2"/>
        </w:rPr>
        <w:t>元，本公司下属子公司宁波市政工程建设集团股份有限公司开具银行承兑汇票金额</w:t>
      </w:r>
    </w:p>
    <w:p>
      <w:pPr>
        <w:pStyle w:val="BodyText"/>
        <w:spacing w:line="281" w:lineRule="exact"/>
        <w:ind w:left="238" w:right="0"/>
        <w:jc w:val="left"/>
      </w:pPr>
      <w:r>
        <w:rPr>
          <w:rFonts w:ascii="Times New Roman" w:hAnsi="Times New Roman" w:cs="Times New Roman" w:eastAsia="Times New Roman" w:hint="default"/>
        </w:rPr>
        <w:t>5,839,035.70</w:t>
      </w:r>
      <w:r>
        <w:rPr>
          <w:rFonts w:ascii="Times New Roman" w:hAnsi="Times New Roman" w:cs="Times New Roman" w:eastAsia="Times New Roman" w:hint="default"/>
          <w:spacing w:val="2"/>
        </w:rPr>
        <w:t> </w:t>
      </w:r>
      <w:r>
        <w:rPr>
          <w:spacing w:val="-3"/>
        </w:rPr>
        <w:t>元。</w:t>
      </w:r>
      <w:r>
        <w:rPr/>
      </w:r>
    </w:p>
    <w:p>
      <w:pPr>
        <w:spacing w:line="240" w:lineRule="auto" w:before="8"/>
        <w:rPr>
          <w:rFonts w:ascii="宋体" w:hAnsi="宋体" w:cs="宋体" w:eastAsia="宋体" w:hint="default"/>
          <w:sz w:val="21"/>
          <w:szCs w:val="21"/>
        </w:rPr>
      </w:pPr>
    </w:p>
    <w:p>
      <w:pPr>
        <w:pStyle w:val="Heading3"/>
        <w:spacing w:line="240" w:lineRule="auto" w:before="0"/>
        <w:ind w:left="238"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before="58"/>
        <w:ind w:left="238" w:right="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984" w:val="left" w:leader="none"/>
        </w:tabs>
        <w:spacing w:line="381" w:lineRule="auto" w:before="56"/>
        <w:ind w:left="658" w:right="7403" w:hanging="420"/>
        <w:jc w:val="left"/>
      </w:pPr>
      <w:r>
        <w:rPr/>
        <w:pict>
          <v:shape style="position:absolute;margin-left:83.064003pt;margin-top:41.223652pt;width:455.35pt;height:545.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3"/>
                    <w:gridCol w:w="2213"/>
                    <w:gridCol w:w="2986"/>
                    <w:gridCol w:w="2372"/>
                  </w:tblGrid>
                  <w:tr>
                    <w:trPr>
                      <w:trHeight w:val="290" w:hRule="exact"/>
                    </w:trPr>
                    <w:tc>
                      <w:tcPr>
                        <w:tcW w:w="1493" w:type="dxa"/>
                        <w:tcBorders>
                          <w:top w:val="single" w:sz="12" w:space="0" w:color="000000"/>
                          <w:left w:val="nil" w:sz="6" w:space="0" w:color="auto"/>
                          <w:bottom w:val="single" w:sz="4" w:space="0" w:color="000000"/>
                          <w:right w:val="single" w:sz="4" w:space="0" w:color="000000"/>
                        </w:tcBorders>
                      </w:tcPr>
                      <w:p>
                        <w:pPr>
                          <w:pStyle w:val="TableParagraph"/>
                          <w:spacing w:line="225" w:lineRule="exact"/>
                          <w:ind w:left="1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事项名称</w:t>
                        </w:r>
                      </w:p>
                    </w:tc>
                    <w:tc>
                      <w:tcPr>
                        <w:tcW w:w="2986" w:type="dxa"/>
                        <w:tcBorders>
                          <w:top w:val="single" w:sz="12" w:space="0" w:color="000000"/>
                          <w:left w:val="single" w:sz="4" w:space="0" w:color="000000"/>
                          <w:bottom w:val="single" w:sz="4" w:space="0" w:color="000000"/>
                          <w:right w:val="single" w:sz="4" w:space="0" w:color="000000"/>
                        </w:tcBorders>
                      </w:tcPr>
                      <w:p>
                        <w:pPr>
                          <w:pStyle w:val="TableParagraph"/>
                          <w:spacing w:line="225" w:lineRule="exact"/>
                          <w:ind w:left="945"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2372" w:type="dxa"/>
                        <w:tcBorders>
                          <w:top w:val="single" w:sz="12" w:space="0" w:color="000000"/>
                          <w:left w:val="single" w:sz="4" w:space="0" w:color="000000"/>
                          <w:bottom w:val="single" w:sz="4" w:space="0" w:color="000000"/>
                          <w:right w:val="nil" w:sz="6" w:space="0" w:color="auto"/>
                        </w:tcBorders>
                      </w:tcPr>
                      <w:p>
                        <w:pPr>
                          <w:pStyle w:val="TableParagraph"/>
                          <w:spacing w:line="225" w:lineRule="exact"/>
                          <w:ind w:left="369"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3044"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z w:val="18"/>
                          </w:rPr>
                          <w:t>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本公司与兰溪市喜瑞地产 发展有限公司建设工程施 工合同纠纷诉讼</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100" w:right="10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年向金华市中级人民法院 提出讼诉后，兰溪市喜瑞地产发展 有限公司于当年度申请破产重整。 本公司已申报债权。</w:t>
                        </w:r>
                      </w:p>
                      <w:p>
                        <w:pPr>
                          <w:pStyle w:val="TableParagraph"/>
                          <w:spacing w:line="237" w:lineRule="auto"/>
                          <w:ind w:left="100" w:right="127"/>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日，金华市中级人民 法院作出一审判决后本公司已向浙 江省高级人民法院提起上诉，案件 目前正在审理中。</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判决情况详见公司</w:t>
                        </w:r>
                        <w:r>
                          <w:rPr>
                            <w:rFonts w:ascii="宋体" w:hAnsi="宋体" w:cs="宋体" w:eastAsia="宋体" w:hint="default"/>
                            <w:spacing w:val="-61"/>
                            <w:sz w:val="18"/>
                            <w:szCs w:val="18"/>
                          </w:rPr>
                          <w:t> </w:t>
                        </w:r>
                        <w:r>
                          <w:rPr>
                            <w:rFonts w:ascii="宋体" w:hAnsi="宋体" w:cs="宋体" w:eastAsia="宋体" w:hint="default"/>
                            <w:sz w:val="18"/>
                            <w:szCs w:val="18"/>
                          </w:rPr>
                          <w:t>2018</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p>
                      <w:p>
                        <w:pPr>
                          <w:pStyle w:val="TableParagraph"/>
                          <w:spacing w:line="237" w:lineRule="auto"/>
                          <w:ind w:left="100" w:right="10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日在上海证券证券交 易所网站披露的《宁波建工 涉及诉讼进展公告》。 喜瑞地产破产重整相关情 况详见本公司于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7" w:lineRule="auto"/>
                          <w:ind w:left="100"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 披露于上海证券交易所网 站的《宁波建工股份有限公 司工程业主单位重整公告》 及《宁波建工股份有限公司 工程业主单位重整进展公 告》</w:t>
                        </w:r>
                      </w:p>
                    </w:tc>
                  </w:tr>
                  <w:tr>
                    <w:trPr>
                      <w:trHeight w:val="117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z w:val="18"/>
                          </w:rPr>
                          <w:t>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本公司与浙江武义元利投</w:t>
                        </w:r>
                      </w:p>
                      <w:p>
                        <w:pPr>
                          <w:pStyle w:val="TableParagraph"/>
                          <w:spacing w:line="237" w:lineRule="auto" w:before="2"/>
                          <w:ind w:left="103" w:right="12"/>
                          <w:jc w:val="left"/>
                          <w:rPr>
                            <w:rFonts w:ascii="宋体" w:hAnsi="宋体" w:cs="宋体" w:eastAsia="宋体" w:hint="default"/>
                            <w:sz w:val="18"/>
                            <w:szCs w:val="18"/>
                          </w:rPr>
                        </w:pPr>
                        <w:r>
                          <w:rPr>
                            <w:rFonts w:ascii="宋体" w:hAnsi="宋体" w:cs="宋体" w:eastAsia="宋体" w:hint="default"/>
                            <w:sz w:val="18"/>
                            <w:szCs w:val="18"/>
                          </w:rPr>
                          <w:t>资有限责任公司、浙江三 新建材有限公司、浙江华 </w:t>
                        </w:r>
                        <w:r>
                          <w:rPr>
                            <w:rFonts w:ascii="宋体" w:hAnsi="宋体" w:cs="宋体" w:eastAsia="宋体" w:hint="default"/>
                            <w:spacing w:val="-7"/>
                            <w:sz w:val="18"/>
                            <w:szCs w:val="18"/>
                          </w:rPr>
                          <w:t>越置业有限公司、杨伯群、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杨樑樑申请再审案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双方已达成调解协议</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87"/>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17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z w:val="18"/>
                          </w:rPr>
                          <w:t>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本公司与中国人民解放军 第三〇七医院建设工程施 工合同纠纷案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0" w:right="173"/>
                          <w:jc w:val="left"/>
                          <w:rPr>
                            <w:rFonts w:ascii="宋体" w:hAnsi="宋体" w:cs="宋体" w:eastAsia="宋体" w:hint="default"/>
                            <w:sz w:val="18"/>
                            <w:szCs w:val="18"/>
                          </w:rPr>
                        </w:pPr>
                        <w:r>
                          <w:rPr>
                            <w:rFonts w:ascii="宋体" w:hAnsi="宋体" w:cs="宋体" w:eastAsia="宋体" w:hint="default"/>
                            <w:sz w:val="18"/>
                            <w:szCs w:val="18"/>
                          </w:rPr>
                          <w:t>北京市高级人民法院已下达一审判 决，现本案已进入执行程序</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本项诉讼判决详见公司</w:t>
                        </w:r>
                      </w:p>
                      <w:p>
                        <w:pPr>
                          <w:pStyle w:val="TableParagraph"/>
                          <w:spacing w:line="232" w:lineRule="exact" w:before="23"/>
                          <w:ind w:left="100" w:right="146"/>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日在上海证 券证券交易所网站披露的</w:t>
                        </w:r>
                      </w:p>
                      <w:p>
                        <w:pPr>
                          <w:pStyle w:val="TableParagraph"/>
                          <w:spacing w:line="232" w:lineRule="exact" w:before="3"/>
                          <w:ind w:left="100" w:right="285"/>
                          <w:jc w:val="left"/>
                          <w:rPr>
                            <w:rFonts w:ascii="宋体" w:hAnsi="宋体" w:cs="宋体" w:eastAsia="宋体" w:hint="default"/>
                            <w:sz w:val="18"/>
                            <w:szCs w:val="18"/>
                          </w:rPr>
                        </w:pPr>
                        <w:r>
                          <w:rPr>
                            <w:rFonts w:ascii="宋体" w:hAnsi="宋体" w:cs="宋体" w:eastAsia="宋体" w:hint="default"/>
                            <w:sz w:val="18"/>
                            <w:szCs w:val="18"/>
                          </w:rPr>
                          <w:t>《宁波建工涉及诉讼进展 公告》</w:t>
                        </w:r>
                      </w:p>
                    </w:tc>
                  </w:tr>
                  <w:tr>
                    <w:trPr>
                      <w:trHeight w:val="211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z w:val="18"/>
                          </w:rPr>
                          <w:t>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本公司与宁波南南置业有 限公司破产申请申报债权 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月镇海区人民法院裁定确</w:t>
                        </w:r>
                      </w:p>
                      <w:p>
                        <w:pPr>
                          <w:pStyle w:val="TableParagraph"/>
                          <w:spacing w:line="232" w:lineRule="exact" w:before="24"/>
                          <w:ind w:left="100" w:right="103"/>
                          <w:jc w:val="left"/>
                          <w:rPr>
                            <w:rFonts w:ascii="宋体" w:hAnsi="宋体" w:cs="宋体" w:eastAsia="宋体" w:hint="default"/>
                            <w:sz w:val="18"/>
                            <w:szCs w:val="18"/>
                          </w:rPr>
                        </w:pPr>
                        <w:r>
                          <w:rPr>
                            <w:rFonts w:ascii="宋体" w:hAnsi="宋体" w:cs="宋体" w:eastAsia="宋体" w:hint="default"/>
                            <w:sz w:val="18"/>
                            <w:szCs w:val="18"/>
                          </w:rPr>
                          <w:t>认南南置业尚应支付本公司工程款 </w:t>
                        </w:r>
                        <w:r>
                          <w:rPr>
                            <w:rFonts w:ascii="宋体" w:hAnsi="宋体" w:cs="宋体" w:eastAsia="宋体" w:hint="default"/>
                            <w:spacing w:val="-1"/>
                            <w:sz w:val="18"/>
                            <w:szCs w:val="18"/>
                          </w:rPr>
                          <w:t>41,553,543</w:t>
                        </w:r>
                        <w:r>
                          <w:rPr>
                            <w:rFonts w:ascii="宋体" w:hAnsi="宋体" w:cs="宋体" w:eastAsia="宋体" w:hint="default"/>
                            <w:spacing w:val="-34"/>
                            <w:sz w:val="18"/>
                            <w:szCs w:val="18"/>
                          </w:rPr>
                          <w:t> </w:t>
                        </w:r>
                        <w:r>
                          <w:rPr>
                            <w:rFonts w:ascii="宋体" w:hAnsi="宋体" w:cs="宋体" w:eastAsia="宋体" w:hint="default"/>
                            <w:spacing w:val="-15"/>
                            <w:sz w:val="18"/>
                            <w:szCs w:val="18"/>
                          </w:rPr>
                          <w:t>元（一期）、</w:t>
                        </w:r>
                        <w:r>
                          <w:rPr>
                            <w:rFonts w:ascii="宋体" w:hAnsi="宋体" w:cs="宋体" w:eastAsia="宋体" w:hint="default"/>
                            <w:spacing w:val="-15"/>
                            <w:sz w:val="18"/>
                            <w:szCs w:val="18"/>
                          </w:rPr>
                          <w:t>127,469,193</w:t>
                        </w:r>
                      </w:p>
                      <w:p>
                        <w:pPr>
                          <w:pStyle w:val="TableParagraph"/>
                          <w:spacing w:line="232" w:lineRule="exact" w:before="1"/>
                          <w:ind w:left="100" w:right="173"/>
                          <w:jc w:val="left"/>
                          <w:rPr>
                            <w:rFonts w:ascii="宋体" w:hAnsi="宋体" w:cs="宋体" w:eastAsia="宋体" w:hint="default"/>
                            <w:sz w:val="18"/>
                            <w:szCs w:val="18"/>
                          </w:rPr>
                        </w:pPr>
                        <w:r>
                          <w:rPr>
                            <w:rFonts w:ascii="宋体" w:hAnsi="宋体" w:cs="宋体" w:eastAsia="宋体" w:hint="default"/>
                            <w:sz w:val="18"/>
                            <w:szCs w:val="18"/>
                          </w:rPr>
                          <w:t>元（二期），公司有权就工程款以 一期、二期工程拍卖所得款项优先</w:t>
                        </w:r>
                      </w:p>
                      <w:p>
                        <w:pPr>
                          <w:pStyle w:val="TableParagraph"/>
                          <w:spacing w:line="232" w:lineRule="exact" w:before="3"/>
                          <w:ind w:left="100" w:right="173"/>
                          <w:jc w:val="left"/>
                          <w:rPr>
                            <w:rFonts w:ascii="宋体" w:hAnsi="宋体" w:cs="宋体" w:eastAsia="宋体" w:hint="default"/>
                            <w:sz w:val="18"/>
                            <w:szCs w:val="18"/>
                          </w:rPr>
                        </w:pPr>
                        <w:r>
                          <w:rPr>
                            <w:rFonts w:ascii="宋体" w:hAnsi="宋体" w:cs="宋体" w:eastAsia="宋体" w:hint="default"/>
                            <w:sz w:val="18"/>
                            <w:szCs w:val="18"/>
                          </w:rPr>
                          <w:t>受偿；利息可按银行同期贷款利率 计算，一期</w:t>
                        </w:r>
                        <w:r>
                          <w:rPr>
                            <w:rFonts w:ascii="宋体" w:hAnsi="宋体" w:cs="宋体" w:eastAsia="宋体" w:hint="default"/>
                            <w:spacing w:val="-48"/>
                            <w:sz w:val="18"/>
                            <w:szCs w:val="18"/>
                          </w:rPr>
                          <w:t> </w:t>
                        </w:r>
                        <w:r>
                          <w:rPr>
                            <w:rFonts w:ascii="宋体" w:hAnsi="宋体" w:cs="宋体" w:eastAsia="宋体" w:hint="default"/>
                            <w:sz w:val="18"/>
                            <w:szCs w:val="18"/>
                          </w:rPr>
                          <w:t>2,294,679</w:t>
                        </w:r>
                        <w:r>
                          <w:rPr>
                            <w:rFonts w:ascii="宋体" w:hAnsi="宋体" w:cs="宋体" w:eastAsia="宋体" w:hint="default"/>
                            <w:spacing w:val="-47"/>
                            <w:sz w:val="18"/>
                            <w:szCs w:val="18"/>
                          </w:rPr>
                          <w:t> </w:t>
                        </w:r>
                        <w:r>
                          <w:rPr>
                            <w:rFonts w:ascii="宋体" w:hAnsi="宋体" w:cs="宋体" w:eastAsia="宋体" w:hint="default"/>
                            <w:sz w:val="18"/>
                            <w:szCs w:val="18"/>
                          </w:rPr>
                          <w:t>元，二期</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4,058,047</w:t>
                        </w:r>
                        <w:r>
                          <w:rPr>
                            <w:rFonts w:ascii="宋体" w:hAnsi="宋体" w:cs="宋体" w:eastAsia="宋体" w:hint="default"/>
                            <w:spacing w:val="-38"/>
                            <w:sz w:val="18"/>
                            <w:szCs w:val="18"/>
                          </w:rPr>
                          <w:t> </w:t>
                        </w:r>
                        <w:r>
                          <w:rPr>
                            <w:rFonts w:ascii="宋体" w:hAnsi="宋体" w:cs="宋体" w:eastAsia="宋体" w:hint="default"/>
                            <w:spacing w:val="-7"/>
                            <w:sz w:val="18"/>
                            <w:szCs w:val="18"/>
                          </w:rPr>
                          <w:t>元。截止本报告日，公司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已累计收到破产债权</w:t>
                        </w:r>
                        <w:r>
                          <w:rPr>
                            <w:rFonts w:ascii="宋体" w:hAnsi="宋体" w:cs="宋体" w:eastAsia="宋体" w:hint="default"/>
                            <w:spacing w:val="-47"/>
                            <w:sz w:val="18"/>
                            <w:szCs w:val="18"/>
                          </w:rPr>
                          <w:t> </w:t>
                        </w:r>
                        <w:r>
                          <w:rPr>
                            <w:rFonts w:ascii="宋体" w:hAnsi="宋体" w:cs="宋体" w:eastAsia="宋体" w:hint="default"/>
                            <w:sz w:val="18"/>
                            <w:szCs w:val="18"/>
                          </w:rPr>
                          <w:t>9000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5"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4"/>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94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sz w:val="18"/>
                          </w:rPr>
                          <w:t>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8"/>
                          <w:jc w:val="both"/>
                          <w:rPr>
                            <w:rFonts w:ascii="宋体" w:hAnsi="宋体" w:cs="宋体" w:eastAsia="宋体" w:hint="default"/>
                            <w:sz w:val="18"/>
                            <w:szCs w:val="18"/>
                          </w:rPr>
                        </w:pPr>
                        <w:r>
                          <w:rPr>
                            <w:rFonts w:ascii="宋体" w:hAnsi="宋体" w:cs="宋体" w:eastAsia="宋体" w:hint="default"/>
                            <w:sz w:val="18"/>
                            <w:szCs w:val="18"/>
                          </w:rPr>
                          <w:t>本公司与浙江华越置业有 限公司建设工程施工合同 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0" w:right="173"/>
                          <w:jc w:val="left"/>
                          <w:rPr>
                            <w:rFonts w:ascii="宋体" w:hAnsi="宋体" w:cs="宋体" w:eastAsia="宋体" w:hint="default"/>
                            <w:sz w:val="18"/>
                            <w:szCs w:val="18"/>
                          </w:rPr>
                        </w:pPr>
                        <w:r>
                          <w:rPr>
                            <w:rFonts w:ascii="宋体" w:hAnsi="宋体" w:cs="宋体" w:eastAsia="宋体" w:hint="default"/>
                            <w:sz w:val="18"/>
                            <w:szCs w:val="18"/>
                          </w:rPr>
                          <w:t>宁波市中级人民法院已下达一审判 决，现本案已进入执行程序</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17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sz w:val="18"/>
                          </w:rPr>
                          <w:t>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本公司与浙江路网物流有 限公司建设工程合同纠纷 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本案已经浙江丽水市中级人民法院</w:t>
                        </w:r>
                      </w:p>
                      <w:p>
                        <w:pPr>
                          <w:pStyle w:val="TableParagraph"/>
                          <w:spacing w:line="237" w:lineRule="auto"/>
                          <w:ind w:left="100" w:right="127"/>
                          <w:jc w:val="both"/>
                          <w:rPr>
                            <w:rFonts w:ascii="宋体" w:hAnsi="宋体" w:cs="宋体" w:eastAsia="宋体" w:hint="default"/>
                            <w:sz w:val="18"/>
                            <w:szCs w:val="18"/>
                          </w:rPr>
                        </w:pPr>
                        <w:r>
                          <w:rPr>
                            <w:rFonts w:ascii="宋体" w:hAnsi="宋体" w:cs="宋体" w:eastAsia="宋体" w:hint="default"/>
                            <w:sz w:val="18"/>
                            <w:szCs w:val="18"/>
                          </w:rPr>
                          <w:t>终审判决，维持一审判决的基础上 确认本公司对被告应支付的工程款 </w:t>
                        </w:r>
                        <w:r>
                          <w:rPr>
                            <w:rFonts w:ascii="宋体" w:hAnsi="宋体" w:cs="宋体" w:eastAsia="宋体" w:hint="default"/>
                            <w:sz w:val="18"/>
                            <w:szCs w:val="18"/>
                          </w:rPr>
                          <w:t>38,371,720</w:t>
                        </w:r>
                        <w:r>
                          <w:rPr>
                            <w:rFonts w:ascii="宋体" w:hAnsi="宋体" w:cs="宋体" w:eastAsia="宋体" w:hint="default"/>
                            <w:spacing w:val="-47"/>
                            <w:sz w:val="18"/>
                            <w:szCs w:val="18"/>
                          </w:rPr>
                          <w:t> </w:t>
                        </w:r>
                        <w:r>
                          <w:rPr>
                            <w:rFonts w:ascii="宋体" w:hAnsi="宋体" w:cs="宋体" w:eastAsia="宋体" w:hint="default"/>
                            <w:sz w:val="18"/>
                            <w:szCs w:val="18"/>
                          </w:rPr>
                          <w:t>元享有建设工程价款优 先受偿权。现本案已进入执行程序</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89"/>
                          <w:ind w:left="100" w:right="103"/>
                          <w:jc w:val="left"/>
                          <w:rPr>
                            <w:rFonts w:ascii="宋体" w:hAnsi="宋体" w:cs="宋体" w:eastAsia="宋体" w:hint="default"/>
                            <w:sz w:val="18"/>
                            <w:szCs w:val="18"/>
                          </w:rPr>
                        </w:pPr>
                        <w:r>
                          <w:rPr>
                            <w:rFonts w:ascii="宋体" w:hAnsi="宋体" w:cs="宋体" w:eastAsia="宋体" w:hint="default"/>
                            <w:sz w:val="18"/>
                            <w:szCs w:val="18"/>
                          </w:rPr>
                          <w:t>本项诉讼判决详见公司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日在上海证券 证券交易所网站披露的《宁 波建工涉及诉讼结果公告》</w:t>
                        </w:r>
                      </w:p>
                    </w:tc>
                  </w:tr>
                  <w:tr>
                    <w:trPr>
                      <w:trHeight w:val="956" w:hRule="exact"/>
                    </w:trPr>
                    <w:tc>
                      <w:tcPr>
                        <w:tcW w:w="14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sz w:val="18"/>
                          </w:rPr>
                          <w:t>7</w:t>
                        </w:r>
                      </w:p>
                    </w:tc>
                    <w:tc>
                      <w:tcPr>
                        <w:tcW w:w="2213"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89"/>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本公司与宁波艾迪姆斯运 动用品有限公司建设工程 施工合同纠纷案</w:t>
                        </w:r>
                      </w:p>
                    </w:tc>
                    <w:tc>
                      <w:tcPr>
                        <w:tcW w:w="2986"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89"/>
                          <w:ind w:left="100" w:right="173"/>
                          <w:jc w:val="both"/>
                          <w:rPr>
                            <w:rFonts w:ascii="宋体" w:hAnsi="宋体" w:cs="宋体" w:eastAsia="宋体" w:hint="default"/>
                            <w:sz w:val="18"/>
                            <w:szCs w:val="18"/>
                          </w:rPr>
                        </w:pPr>
                        <w:r>
                          <w:rPr>
                            <w:rFonts w:ascii="宋体" w:hAnsi="宋体" w:cs="宋体" w:eastAsia="宋体" w:hint="default"/>
                            <w:sz w:val="18"/>
                            <w:szCs w:val="18"/>
                          </w:rPr>
                          <w:t>该案进入执行程序后，因无财产可 供执行，目前处于程序终结，待有 财产时，可恢复执行</w:t>
                        </w:r>
                      </w:p>
                    </w:tc>
                    <w:tc>
                      <w:tcPr>
                        <w:tcW w:w="2372" w:type="dxa"/>
                        <w:tcBorders>
                          <w:top w:val="single" w:sz="4" w:space="0" w:color="000000"/>
                          <w:left w:val="single" w:sz="4" w:space="0" w:color="000000"/>
                          <w:bottom w:val="single" w:sz="12"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3"/>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bl>
                <w:p>
                  <w:pPr/>
                </w:p>
              </w:txbxContent>
            </v:textbox>
            <w10:wrap type="none"/>
          </v:shape>
        </w:pict>
      </w: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未决诉讼事项</w:t>
      </w:r>
    </w:p>
    <w:p>
      <w:pPr>
        <w:spacing w:after="0" w:line="381" w:lineRule="auto"/>
        <w:jc w:val="left"/>
        <w:sectPr>
          <w:pgSz w:w="11910" w:h="16840"/>
          <w:pgMar w:header="882"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93"/>
        <w:gridCol w:w="2213"/>
        <w:gridCol w:w="2986"/>
        <w:gridCol w:w="2372"/>
      </w:tblGrid>
      <w:tr>
        <w:trPr>
          <w:trHeight w:val="291" w:hRule="exact"/>
        </w:trPr>
        <w:tc>
          <w:tcPr>
            <w:tcW w:w="1493"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事项名称</w:t>
            </w:r>
          </w:p>
        </w:tc>
        <w:tc>
          <w:tcPr>
            <w:tcW w:w="2986"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945"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2372"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369"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94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7" w:right="0"/>
              <w:jc w:val="center"/>
              <w:rPr>
                <w:rFonts w:ascii="宋体" w:hAnsi="宋体" w:cs="宋体" w:eastAsia="宋体" w:hint="default"/>
                <w:sz w:val="18"/>
                <w:szCs w:val="18"/>
              </w:rPr>
            </w:pPr>
            <w:r>
              <w:rPr>
                <w:rFonts w:ascii="宋体"/>
                <w:sz w:val="18"/>
              </w:rPr>
              <w:t>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18"/>
              <w:jc w:val="both"/>
              <w:rPr>
                <w:rFonts w:ascii="宋体" w:hAnsi="宋体" w:cs="宋体" w:eastAsia="宋体" w:hint="default"/>
                <w:sz w:val="18"/>
                <w:szCs w:val="18"/>
              </w:rPr>
            </w:pPr>
            <w:r>
              <w:rPr>
                <w:rFonts w:ascii="宋体" w:hAnsi="宋体" w:cs="宋体" w:eastAsia="宋体" w:hint="default"/>
                <w:sz w:val="18"/>
                <w:szCs w:val="18"/>
              </w:rPr>
              <w:t>本公司与吉林白山和丰置 业有限公司建设工程施工 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目前仍处于执行阶段</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3"/>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644"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z w:val="18"/>
              </w:rPr>
              <w:t>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本公司与苍南浙福数码家 电城开发有限公司建设工 程施工合同纠纷案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温州仲裁委员会已裁决，浙福数码</w:t>
            </w:r>
          </w:p>
          <w:p>
            <w:pPr>
              <w:pStyle w:val="TableParagraph"/>
              <w:spacing w:line="237" w:lineRule="auto"/>
              <w:ind w:left="100" w:right="173"/>
              <w:jc w:val="left"/>
              <w:rPr>
                <w:rFonts w:ascii="宋体" w:hAnsi="宋体" w:cs="宋体" w:eastAsia="宋体" w:hint="default"/>
                <w:sz w:val="18"/>
                <w:szCs w:val="18"/>
              </w:rPr>
            </w:pPr>
            <w:r>
              <w:rPr>
                <w:rFonts w:ascii="宋体" w:hAnsi="宋体" w:cs="宋体" w:eastAsia="宋体" w:hint="default"/>
                <w:sz w:val="18"/>
                <w:szCs w:val="18"/>
              </w:rPr>
              <w:t>应向本公司支付工程款 </w:t>
            </w:r>
            <w:r>
              <w:rPr>
                <w:rFonts w:ascii="宋体" w:hAnsi="宋体" w:cs="宋体" w:eastAsia="宋体" w:hint="default"/>
                <w:sz w:val="18"/>
                <w:szCs w:val="18"/>
              </w:rPr>
              <w:t>81,578,245.95</w:t>
            </w:r>
            <w:r>
              <w:rPr>
                <w:rFonts w:ascii="宋体" w:hAnsi="宋体" w:cs="宋体" w:eastAsia="宋体" w:hint="default"/>
                <w:spacing w:val="-4"/>
                <w:sz w:val="18"/>
                <w:szCs w:val="18"/>
              </w:rPr>
              <w:t> </w:t>
            </w:r>
            <w:r>
              <w:rPr>
                <w:rFonts w:ascii="宋体" w:hAnsi="宋体" w:cs="宋体" w:eastAsia="宋体" w:hint="default"/>
                <w:sz w:val="18"/>
                <w:szCs w:val="18"/>
              </w:rPr>
              <w:t>元及相应利息，窝 工损失 </w:t>
            </w:r>
            <w:r>
              <w:rPr>
                <w:rFonts w:ascii="宋体" w:hAnsi="宋体" w:cs="宋体" w:eastAsia="宋体" w:hint="default"/>
                <w:sz w:val="18"/>
                <w:szCs w:val="18"/>
              </w:rPr>
              <w:t>2,274,766 </w:t>
            </w:r>
            <w:r>
              <w:rPr>
                <w:rFonts w:ascii="宋体" w:hAnsi="宋体" w:cs="宋体" w:eastAsia="宋体" w:hint="default"/>
                <w:sz w:val="18"/>
                <w:szCs w:val="18"/>
              </w:rPr>
              <w:t>元。</w:t>
            </w:r>
            <w:r>
              <w:rPr>
                <w:rFonts w:ascii="宋体" w:hAnsi="宋体" w:cs="宋体" w:eastAsia="宋体" w:hint="default"/>
                <w:spacing w:val="-5"/>
                <w:sz w:val="18"/>
                <w:szCs w:val="18"/>
              </w:rPr>
              <w:t> </w:t>
            </w:r>
            <w:r>
              <w:rPr>
                <w:rFonts w:ascii="宋体" w:hAnsi="宋体" w:cs="宋体" w:eastAsia="宋体" w:hint="default"/>
                <w:sz w:val="18"/>
                <w:szCs w:val="18"/>
              </w:rPr>
              <w:t>本公司在</w:t>
            </w:r>
            <w:r>
              <w:rPr>
                <w:rFonts w:ascii="宋体" w:hAnsi="宋体" w:cs="宋体" w:eastAsia="宋体" w:hint="default"/>
                <w:sz w:val="18"/>
                <w:szCs w:val="18"/>
              </w:rPr>
              <w:t> </w:t>
            </w:r>
            <w:r>
              <w:rPr>
                <w:rFonts w:ascii="宋体" w:hAnsi="宋体" w:cs="宋体" w:eastAsia="宋体" w:hint="default"/>
                <w:sz w:val="18"/>
                <w:szCs w:val="18"/>
              </w:rPr>
              <w:t>81,578,245.95</w:t>
            </w:r>
            <w:r>
              <w:rPr>
                <w:rFonts w:ascii="宋体" w:hAnsi="宋体" w:cs="宋体" w:eastAsia="宋体" w:hint="default"/>
                <w:spacing w:val="-4"/>
                <w:sz w:val="18"/>
                <w:szCs w:val="18"/>
              </w:rPr>
              <w:t> </w:t>
            </w:r>
            <w:r>
              <w:rPr>
                <w:rFonts w:ascii="宋体" w:hAnsi="宋体" w:cs="宋体" w:eastAsia="宋体" w:hint="default"/>
                <w:sz w:val="18"/>
                <w:szCs w:val="18"/>
              </w:rPr>
              <w:t>元工程款范围内就 苍南浙福数码家电城广场工程折价 或者拍卖的价款享有优先受偿权。</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left="100" w:right="0"/>
              <w:jc w:val="left"/>
              <w:rPr>
                <w:rFonts w:ascii="宋体" w:hAnsi="宋体" w:cs="宋体" w:eastAsia="宋体" w:hint="default"/>
                <w:sz w:val="18"/>
                <w:szCs w:val="18"/>
              </w:rPr>
            </w:pPr>
            <w:r>
              <w:rPr>
                <w:rFonts w:ascii="宋体" w:hAnsi="宋体" w:cs="宋体" w:eastAsia="宋体" w:hint="default"/>
                <w:sz w:val="18"/>
                <w:szCs w:val="18"/>
              </w:rPr>
              <w:t>诉讼判决详见公司于</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37" w:lineRule="auto"/>
              <w:ind w:left="100" w:right="10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日在上海证券交 易所网站披露的《宁波建工 子公司涉及仲裁结果公告》</w:t>
            </w:r>
          </w:p>
        </w:tc>
      </w:tr>
      <w:tr>
        <w:trPr>
          <w:trHeight w:val="121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10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新昌营造有限公司与本公 司建设工程施工合同纠纷 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100" w:right="173"/>
              <w:jc w:val="both"/>
              <w:rPr>
                <w:rFonts w:ascii="宋体" w:hAnsi="宋体" w:cs="宋体" w:eastAsia="宋体" w:hint="default"/>
                <w:sz w:val="18"/>
                <w:szCs w:val="18"/>
              </w:rPr>
            </w:pPr>
            <w:r>
              <w:rPr>
                <w:rFonts w:ascii="宋体" w:hAnsi="宋体" w:cs="宋体" w:eastAsia="宋体" w:hint="default"/>
                <w:sz w:val="18"/>
                <w:szCs w:val="18"/>
              </w:rPr>
              <w:t>杭州仲裁委员会已终局裁决，根据 仲裁结果，本公司须向新昌营造支 付人民币</w:t>
            </w:r>
            <w:r>
              <w:rPr>
                <w:rFonts w:ascii="宋体" w:hAnsi="宋体" w:cs="宋体" w:eastAsia="宋体" w:hint="default"/>
                <w:spacing w:val="-48"/>
                <w:sz w:val="18"/>
                <w:szCs w:val="18"/>
              </w:rPr>
              <w:t> </w:t>
            </w:r>
            <w:r>
              <w:rPr>
                <w:rFonts w:ascii="宋体" w:hAnsi="宋体" w:cs="宋体" w:eastAsia="宋体" w:hint="default"/>
                <w:sz w:val="18"/>
                <w:szCs w:val="18"/>
              </w:rPr>
              <w:t>10,410,435.26</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
              <w:ind w:left="100" w:right="146"/>
              <w:jc w:val="left"/>
              <w:rPr>
                <w:rFonts w:ascii="宋体" w:hAnsi="宋体" w:cs="宋体" w:eastAsia="宋体" w:hint="default"/>
                <w:sz w:val="18"/>
                <w:szCs w:val="18"/>
              </w:rPr>
            </w:pPr>
            <w:r>
              <w:rPr>
                <w:rFonts w:ascii="宋体" w:hAnsi="宋体" w:cs="宋体" w:eastAsia="宋体" w:hint="default"/>
                <w:sz w:val="18"/>
                <w:szCs w:val="18"/>
              </w:rPr>
              <w:t>本项诉讼判决详见公司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日在上海证</w:t>
            </w:r>
          </w:p>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z w:val="18"/>
                <w:szCs w:val="18"/>
              </w:rPr>
              <w:t>券证券交易所网站披露的</w:t>
            </w:r>
          </w:p>
          <w:p>
            <w:pPr>
              <w:pStyle w:val="TableParagraph"/>
              <w:spacing w:line="240" w:lineRule="auto"/>
              <w:ind w:left="100" w:right="285"/>
              <w:jc w:val="left"/>
              <w:rPr>
                <w:rFonts w:ascii="宋体" w:hAnsi="宋体" w:cs="宋体" w:eastAsia="宋体" w:hint="default"/>
                <w:sz w:val="18"/>
                <w:szCs w:val="18"/>
              </w:rPr>
            </w:pPr>
            <w:r>
              <w:rPr>
                <w:rFonts w:ascii="宋体" w:hAnsi="宋体" w:cs="宋体" w:eastAsia="宋体" w:hint="default"/>
                <w:sz w:val="18"/>
                <w:szCs w:val="18"/>
              </w:rPr>
              <w:t>《宁波建工关于涉及仲裁 结果公告》</w:t>
            </w:r>
          </w:p>
        </w:tc>
      </w:tr>
      <w:tr>
        <w:trPr>
          <w:trHeight w:val="94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center"/>
              <w:rPr>
                <w:rFonts w:ascii="宋体" w:hAnsi="宋体" w:cs="宋体" w:eastAsia="宋体" w:hint="default"/>
                <w:sz w:val="18"/>
                <w:szCs w:val="18"/>
              </w:rPr>
            </w:pPr>
            <w:r>
              <w:rPr>
                <w:rFonts w:ascii="宋体"/>
                <w:sz w:val="18"/>
              </w:rPr>
              <w:t>11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本公司与宁波镇海新恒德 房地产开发有限公司建设 工程施工合同纠纷案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现本案处于执行阶段。</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94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center"/>
              <w:rPr>
                <w:rFonts w:ascii="宋体" w:hAnsi="宋体" w:cs="宋体" w:eastAsia="宋体" w:hint="default"/>
                <w:sz w:val="18"/>
                <w:szCs w:val="18"/>
              </w:rPr>
            </w:pPr>
            <w:r>
              <w:rPr>
                <w:rFonts w:ascii="宋体"/>
                <w:sz w:val="18"/>
              </w:rPr>
              <w:t>12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8"/>
              <w:jc w:val="both"/>
              <w:rPr>
                <w:rFonts w:ascii="宋体" w:hAnsi="宋体" w:cs="宋体" w:eastAsia="宋体" w:hint="default"/>
                <w:sz w:val="18"/>
                <w:szCs w:val="18"/>
              </w:rPr>
            </w:pPr>
            <w:r>
              <w:rPr>
                <w:rFonts w:ascii="宋体" w:hAnsi="宋体" w:cs="宋体" w:eastAsia="宋体" w:hint="default"/>
                <w:sz w:val="18"/>
                <w:szCs w:val="18"/>
              </w:rPr>
              <w:t>本公司与杭州森淼房地产 开发有限公司建设工程施 工合同纠纷案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73"/>
              <w:jc w:val="both"/>
              <w:rPr>
                <w:rFonts w:ascii="宋体" w:hAnsi="宋体" w:cs="宋体" w:eastAsia="宋体" w:hint="default"/>
                <w:sz w:val="18"/>
                <w:szCs w:val="18"/>
              </w:rPr>
            </w:pPr>
            <w:r>
              <w:rPr>
                <w:rFonts w:ascii="宋体" w:hAnsi="宋体" w:cs="宋体" w:eastAsia="宋体" w:hint="default"/>
                <w:sz w:val="18"/>
                <w:szCs w:val="18"/>
              </w:rPr>
              <w:t>经杭州市余杭区人民法院一审判决 后，双方不服判决均上诉。目前该 案正在审理中。</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4"/>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94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center"/>
              <w:rPr>
                <w:rFonts w:ascii="宋体" w:hAnsi="宋体" w:cs="宋体" w:eastAsia="宋体" w:hint="default"/>
                <w:sz w:val="18"/>
                <w:szCs w:val="18"/>
              </w:rPr>
            </w:pPr>
            <w:r>
              <w:rPr>
                <w:rFonts w:ascii="宋体"/>
                <w:sz w:val="18"/>
              </w:rPr>
              <w:t>13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本公司与宁波香格房地产 开发有限公司建设工程合 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173"/>
              <w:jc w:val="both"/>
              <w:rPr>
                <w:rFonts w:ascii="宋体" w:hAnsi="宋体" w:cs="宋体" w:eastAsia="宋体" w:hint="default"/>
                <w:sz w:val="18"/>
                <w:szCs w:val="18"/>
              </w:rPr>
            </w:pPr>
            <w:r>
              <w:rPr>
                <w:rFonts w:ascii="宋体" w:hAnsi="宋体" w:cs="宋体" w:eastAsia="宋体" w:hint="default"/>
                <w:sz w:val="18"/>
                <w:szCs w:val="18"/>
              </w:rPr>
              <w:t>由于目前暂无可供执行财产，该案 目前已执行终结，待有其他可供执 行财产时可恢复执行。</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before="2"/>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40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 w:right="0"/>
              <w:jc w:val="center"/>
              <w:rPr>
                <w:rFonts w:ascii="宋体" w:hAnsi="宋体" w:cs="宋体" w:eastAsia="宋体" w:hint="default"/>
                <w:sz w:val="18"/>
                <w:szCs w:val="18"/>
              </w:rPr>
            </w:pPr>
            <w:r>
              <w:rPr>
                <w:rFonts w:ascii="宋体"/>
                <w:sz w:val="18"/>
              </w:rPr>
              <w:t>14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118"/>
              <w:jc w:val="both"/>
              <w:rPr>
                <w:rFonts w:ascii="宋体" w:hAnsi="宋体" w:cs="宋体" w:eastAsia="宋体" w:hint="default"/>
                <w:sz w:val="18"/>
                <w:szCs w:val="18"/>
              </w:rPr>
            </w:pPr>
            <w:r>
              <w:rPr>
                <w:rFonts w:ascii="宋体" w:hAnsi="宋体" w:cs="宋体" w:eastAsia="宋体" w:hint="default"/>
                <w:sz w:val="18"/>
                <w:szCs w:val="18"/>
              </w:rPr>
              <w:t>本公司与盛宏永（九江） 实业发展有限公司建设工 程合同纠纷案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宁波市中级人民法院作出一审判</w:t>
            </w:r>
          </w:p>
          <w:p>
            <w:pPr>
              <w:pStyle w:val="TableParagraph"/>
              <w:spacing w:line="237" w:lineRule="auto"/>
              <w:ind w:left="100" w:right="173"/>
              <w:jc w:val="both"/>
              <w:rPr>
                <w:rFonts w:ascii="宋体" w:hAnsi="宋体" w:cs="宋体" w:eastAsia="宋体" w:hint="default"/>
                <w:sz w:val="18"/>
                <w:szCs w:val="18"/>
              </w:rPr>
            </w:pPr>
            <w:r>
              <w:rPr>
                <w:rFonts w:ascii="宋体" w:hAnsi="宋体" w:cs="宋体" w:eastAsia="宋体" w:hint="default"/>
                <w:sz w:val="18"/>
                <w:szCs w:val="18"/>
              </w:rPr>
              <w:t>决，对方不服判决上诉至浙江省高 级人民法院，浙江省高院作出撤销 一审判决的裁定，并将本案移送江 西省九江市中级人员法院审理。目 前本案尚在审理中。</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234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sz w:val="18"/>
              </w:rPr>
              <w:t>15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32" w:lineRule="exact"/>
              <w:ind w:left="103" w:right="118"/>
              <w:jc w:val="both"/>
              <w:rPr>
                <w:rFonts w:ascii="宋体" w:hAnsi="宋体" w:cs="宋体" w:eastAsia="宋体" w:hint="default"/>
                <w:sz w:val="18"/>
                <w:szCs w:val="18"/>
              </w:rPr>
            </w:pPr>
            <w:r>
              <w:rPr>
                <w:rFonts w:ascii="宋体" w:hAnsi="宋体" w:cs="宋体" w:eastAsia="宋体" w:hint="default"/>
                <w:sz w:val="18"/>
                <w:szCs w:val="18"/>
              </w:rPr>
              <w:t>本公司与镇江深国投商用 置业有限公司建设工程合 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根据镇江市润州区人民法院</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p>
          <w:p>
            <w:pPr>
              <w:pStyle w:val="TableParagraph"/>
              <w:spacing w:line="232" w:lineRule="exact" w:before="24"/>
              <w:ind w:left="100" w:right="12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日下发的《执行裁定书》， 深国投公司以其房产作价 </w:t>
            </w:r>
            <w:r>
              <w:rPr>
                <w:rFonts w:ascii="宋体" w:hAnsi="宋体" w:cs="宋体" w:eastAsia="宋体" w:hint="default"/>
                <w:sz w:val="18"/>
                <w:szCs w:val="18"/>
              </w:rPr>
              <w:t>4027.9488</w:t>
            </w:r>
            <w:r>
              <w:rPr>
                <w:rFonts w:ascii="宋体" w:hAnsi="宋体" w:cs="宋体" w:eastAsia="宋体" w:hint="default"/>
                <w:spacing w:val="-50"/>
                <w:sz w:val="18"/>
                <w:szCs w:val="18"/>
              </w:rPr>
              <w:t> </w:t>
            </w:r>
            <w:r>
              <w:rPr>
                <w:rFonts w:ascii="宋体" w:hAnsi="宋体" w:cs="宋体" w:eastAsia="宋体" w:hint="default"/>
                <w:sz w:val="18"/>
                <w:szCs w:val="18"/>
              </w:rPr>
              <w:t>万元交付给本公司抵偿</w:t>
            </w:r>
          </w:p>
          <w:p>
            <w:pPr>
              <w:pStyle w:val="TableParagraph"/>
              <w:spacing w:line="232" w:lineRule="exact" w:before="3"/>
              <w:ind w:left="100" w:right="12"/>
              <w:jc w:val="left"/>
              <w:rPr>
                <w:rFonts w:ascii="宋体" w:hAnsi="宋体" w:cs="宋体" w:eastAsia="宋体" w:hint="default"/>
                <w:sz w:val="18"/>
                <w:szCs w:val="18"/>
              </w:rPr>
            </w:pPr>
            <w:r>
              <w:rPr>
                <w:rFonts w:ascii="宋体" w:hAnsi="宋体" w:cs="宋体" w:eastAsia="宋体" w:hint="default"/>
                <w:spacing w:val="-2"/>
                <w:sz w:val="18"/>
                <w:szCs w:val="18"/>
              </w:rPr>
              <w:t>债务，利息不足部分继续予以执行，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上述房产所有权及土地使用权自裁</w:t>
            </w:r>
          </w:p>
          <w:p>
            <w:pPr>
              <w:pStyle w:val="TableParagraph"/>
              <w:spacing w:line="232" w:lineRule="exact" w:before="1"/>
              <w:ind w:left="100" w:right="103"/>
              <w:jc w:val="left"/>
              <w:rPr>
                <w:rFonts w:ascii="宋体" w:hAnsi="宋体" w:cs="宋体" w:eastAsia="宋体" w:hint="default"/>
                <w:sz w:val="18"/>
                <w:szCs w:val="18"/>
              </w:rPr>
            </w:pPr>
            <w:r>
              <w:rPr>
                <w:rFonts w:ascii="宋体" w:hAnsi="宋体" w:cs="宋体" w:eastAsia="宋体" w:hint="default"/>
                <w:sz w:val="18"/>
                <w:szCs w:val="18"/>
              </w:rPr>
              <w:t>定送达之时起转移。但因深国投公 司于</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日被镇江市中级</w:t>
            </w:r>
          </w:p>
          <w:p>
            <w:pPr>
              <w:pStyle w:val="TableParagraph"/>
              <w:spacing w:line="232" w:lineRule="exact" w:before="3"/>
              <w:ind w:left="100" w:right="173"/>
              <w:jc w:val="left"/>
              <w:rPr>
                <w:rFonts w:ascii="宋体" w:hAnsi="宋体" w:cs="宋体" w:eastAsia="宋体" w:hint="default"/>
                <w:sz w:val="18"/>
                <w:szCs w:val="18"/>
              </w:rPr>
            </w:pPr>
            <w:r>
              <w:rPr>
                <w:rFonts w:ascii="宋体" w:hAnsi="宋体" w:cs="宋体" w:eastAsia="宋体" w:hint="default"/>
                <w:sz w:val="18"/>
                <w:szCs w:val="18"/>
              </w:rPr>
              <w:t>人民法院裁定破产，目前案件已进 入破产阶段。</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5"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before="2"/>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93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sz w:val="18"/>
              </w:rPr>
              <w:t>16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本公司与宁波广隆房地产 开发有限公司建设工程合 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目前处于执行调解协议阶段</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956" w:hRule="exact"/>
        </w:trPr>
        <w:tc>
          <w:tcPr>
            <w:tcW w:w="1493"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center"/>
              <w:rPr>
                <w:rFonts w:ascii="宋体" w:hAnsi="宋体" w:cs="宋体" w:eastAsia="宋体" w:hint="default"/>
                <w:sz w:val="18"/>
                <w:szCs w:val="18"/>
              </w:rPr>
            </w:pPr>
            <w:r>
              <w:rPr>
                <w:rFonts w:ascii="宋体"/>
                <w:sz w:val="18"/>
              </w:rPr>
              <w:t>17</w:t>
            </w:r>
          </w:p>
        </w:tc>
        <w:tc>
          <w:tcPr>
            <w:tcW w:w="2213"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89"/>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本公司与宁波千和置业有 限公司建设工程合同纠纷 案</w:t>
            </w:r>
          </w:p>
        </w:tc>
        <w:tc>
          <w:tcPr>
            <w:tcW w:w="2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目前正在审理中</w:t>
            </w:r>
          </w:p>
        </w:tc>
        <w:tc>
          <w:tcPr>
            <w:tcW w:w="2372"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before="2"/>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bl>
    <w:p>
      <w:pPr>
        <w:spacing w:after="0" w:line="237" w:lineRule="auto"/>
        <w:jc w:val="both"/>
        <w:rPr>
          <w:rFonts w:ascii="宋体" w:hAnsi="宋体" w:cs="宋体" w:eastAsia="宋体" w:hint="default"/>
          <w:sz w:val="18"/>
          <w:szCs w:val="18"/>
        </w:rPr>
        <w:sectPr>
          <w:pgSz w:w="11910" w:h="16840"/>
          <w:pgMar w:header="882"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493"/>
        <w:gridCol w:w="2213"/>
        <w:gridCol w:w="2986"/>
        <w:gridCol w:w="2372"/>
      </w:tblGrid>
      <w:tr>
        <w:trPr>
          <w:trHeight w:val="291" w:hRule="exact"/>
        </w:trPr>
        <w:tc>
          <w:tcPr>
            <w:tcW w:w="1493"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事项名称</w:t>
            </w:r>
          </w:p>
        </w:tc>
        <w:tc>
          <w:tcPr>
            <w:tcW w:w="2986"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945"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2372"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369"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946"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center"/>
              <w:rPr>
                <w:rFonts w:ascii="宋体" w:hAnsi="宋体" w:cs="宋体" w:eastAsia="宋体" w:hint="default"/>
                <w:sz w:val="18"/>
                <w:szCs w:val="18"/>
              </w:rPr>
            </w:pPr>
            <w:r>
              <w:rPr>
                <w:rFonts w:ascii="宋体"/>
                <w:sz w:val="18"/>
              </w:rPr>
              <w:t>18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本公司与宁波第五医院有</w:t>
            </w:r>
          </w:p>
          <w:p>
            <w:pPr>
              <w:pStyle w:val="TableParagraph"/>
              <w:spacing w:line="232" w:lineRule="exact" w:before="23"/>
              <w:ind w:left="103" w:right="118"/>
              <w:jc w:val="both"/>
              <w:rPr>
                <w:rFonts w:ascii="宋体" w:hAnsi="宋体" w:cs="宋体" w:eastAsia="宋体" w:hint="default"/>
                <w:sz w:val="18"/>
                <w:szCs w:val="18"/>
              </w:rPr>
            </w:pPr>
            <w:r>
              <w:rPr>
                <w:rFonts w:ascii="宋体" w:hAnsi="宋体" w:cs="宋体" w:eastAsia="宋体" w:hint="default"/>
                <w:sz w:val="18"/>
                <w:szCs w:val="18"/>
              </w:rPr>
              <w:t>限公司、太仓康来特房地 产开发有限公司建设工程 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目前处于执行调解协议阶段</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3"/>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2811"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sz w:val="18"/>
              </w:rPr>
              <w:t>19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本公司子公司宁波建工工 程集团与仪征市晶崴国际 大酒店投资有限公司建设 工程合同纠纷案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双方已签订调解协议，后因晶崴公</w:t>
            </w:r>
          </w:p>
          <w:p>
            <w:pPr>
              <w:pStyle w:val="TableParagraph"/>
              <w:spacing w:line="237" w:lineRule="auto"/>
              <w:ind w:left="100" w:right="173"/>
              <w:jc w:val="both"/>
              <w:rPr>
                <w:rFonts w:ascii="宋体" w:hAnsi="宋体" w:cs="宋体" w:eastAsia="宋体" w:hint="default"/>
                <w:sz w:val="18"/>
                <w:szCs w:val="18"/>
              </w:rPr>
            </w:pPr>
            <w:r>
              <w:rPr>
                <w:rFonts w:ascii="宋体" w:hAnsi="宋体" w:cs="宋体" w:eastAsia="宋体" w:hint="default"/>
                <w:sz w:val="18"/>
                <w:szCs w:val="18"/>
              </w:rPr>
              <w:t>司未按约履行付款义务，宁波建工 工程集团向仪征市人民法院申请强 制执行，并查封了晶崴公司名下银 行账户及房产、土地等。</w:t>
            </w:r>
          </w:p>
          <w:p>
            <w:pPr>
              <w:pStyle w:val="TableParagraph"/>
              <w:spacing w:line="237" w:lineRule="auto"/>
              <w:ind w:left="100" w:right="10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8"/>
                <w:sz w:val="18"/>
                <w:szCs w:val="18"/>
              </w:rPr>
              <w:t>日，晶崴公司经仪征</w:t>
            </w:r>
            <w:r>
              <w:rPr>
                <w:rFonts w:ascii="宋体" w:hAnsi="宋体" w:cs="宋体" w:eastAsia="宋体" w:hint="default"/>
                <w:sz w:val="18"/>
                <w:szCs w:val="18"/>
              </w:rPr>
              <w:t> 市人民法院审查裁定破产。本公司 已申报了相应的债券，对方破产管 理人于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日组织召开 第一次债权人会议，会后破产管理 人已向本公司支付了部分工程款 </w:t>
            </w: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21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20</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4"/>
              <w:ind w:left="103" w:right="118"/>
              <w:jc w:val="left"/>
              <w:rPr>
                <w:rFonts w:ascii="宋体" w:hAnsi="宋体" w:cs="宋体" w:eastAsia="宋体" w:hint="default"/>
                <w:sz w:val="18"/>
                <w:szCs w:val="18"/>
              </w:rPr>
            </w:pPr>
            <w:r>
              <w:rPr>
                <w:rFonts w:ascii="宋体" w:hAnsi="宋体" w:cs="宋体" w:eastAsia="宋体" w:hint="default"/>
                <w:sz w:val="18"/>
                <w:szCs w:val="18"/>
              </w:rPr>
              <w:t>本公司与叶庆峰民事纠纷 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目前处于执行阶段</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104"/>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3"/>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943"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center"/>
              <w:rPr>
                <w:rFonts w:ascii="宋体" w:hAnsi="宋体" w:cs="宋体" w:eastAsia="宋体" w:hint="default"/>
                <w:sz w:val="18"/>
                <w:szCs w:val="18"/>
              </w:rPr>
            </w:pPr>
            <w:r>
              <w:rPr>
                <w:rFonts w:ascii="宋体"/>
                <w:sz w:val="18"/>
              </w:rPr>
              <w:t>21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本公司与宁波日地太阳能 电力有限公司工程项目造 价结算纠纷案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目前正在审理中</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4"/>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212"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22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2" w:lineRule="exact"/>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本公司与宁波金地置业有 限公司建设工程施工合同 纠纷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0" w:right="173"/>
              <w:jc w:val="left"/>
              <w:rPr>
                <w:rFonts w:ascii="宋体" w:hAnsi="宋体" w:cs="宋体" w:eastAsia="宋体" w:hint="default"/>
                <w:sz w:val="18"/>
                <w:szCs w:val="18"/>
              </w:rPr>
            </w:pPr>
            <w:r>
              <w:rPr>
                <w:rFonts w:ascii="宋体" w:hAnsi="宋体" w:cs="宋体" w:eastAsia="宋体" w:hint="default"/>
                <w:sz w:val="18"/>
                <w:szCs w:val="18"/>
              </w:rPr>
              <w:t>二审法院判决维持原判，公司已申 请强制执行，现执行中。</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104"/>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before="1"/>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21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23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3" w:right="118"/>
              <w:jc w:val="both"/>
              <w:rPr>
                <w:rFonts w:ascii="宋体" w:hAnsi="宋体" w:cs="宋体" w:eastAsia="宋体" w:hint="default"/>
                <w:sz w:val="18"/>
                <w:szCs w:val="18"/>
              </w:rPr>
            </w:pPr>
            <w:r>
              <w:rPr>
                <w:rFonts w:ascii="宋体" w:hAnsi="宋体" w:cs="宋体" w:eastAsia="宋体" w:hint="default"/>
                <w:sz w:val="18"/>
                <w:szCs w:val="18"/>
              </w:rPr>
              <w:t>本公司与宁波新园置业有 限公司建设工程施工合同 纠纷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0" w:right="103"/>
              <w:jc w:val="both"/>
              <w:rPr>
                <w:rFonts w:ascii="宋体" w:hAnsi="宋体" w:cs="宋体" w:eastAsia="宋体" w:hint="default"/>
                <w:sz w:val="18"/>
                <w:szCs w:val="18"/>
              </w:rPr>
            </w:pPr>
            <w:r>
              <w:rPr>
                <w:rFonts w:ascii="宋体" w:hAnsi="宋体" w:cs="宋体" w:eastAsia="宋体" w:hint="default"/>
                <w:sz w:val="18"/>
                <w:szCs w:val="18"/>
              </w:rPr>
              <w:t>本案经宁波市江北区人民法院下发 民事判决书，判决双方《建设工程 施工合同》解除并支付本公司工程 款</w:t>
            </w:r>
            <w:r>
              <w:rPr>
                <w:rFonts w:ascii="宋体" w:hAnsi="宋体" w:cs="宋体" w:eastAsia="宋体" w:hint="default"/>
                <w:spacing w:val="-46"/>
                <w:sz w:val="18"/>
                <w:szCs w:val="18"/>
              </w:rPr>
              <w:t> </w:t>
            </w:r>
            <w:r>
              <w:rPr>
                <w:rFonts w:ascii="宋体" w:hAnsi="宋体" w:cs="宋体" w:eastAsia="宋体" w:hint="default"/>
                <w:sz w:val="18"/>
                <w:szCs w:val="18"/>
              </w:rPr>
              <w:t>10,501,657</w:t>
            </w:r>
            <w:r>
              <w:rPr>
                <w:rFonts w:ascii="宋体" w:hAnsi="宋体" w:cs="宋体" w:eastAsia="宋体" w:hint="default"/>
                <w:spacing w:val="-43"/>
                <w:sz w:val="18"/>
                <w:szCs w:val="18"/>
              </w:rPr>
              <w:t> </w:t>
            </w:r>
            <w:r>
              <w:rPr>
                <w:rFonts w:ascii="宋体" w:hAnsi="宋体" w:cs="宋体" w:eastAsia="宋体" w:hint="default"/>
                <w:spacing w:val="-3"/>
                <w:sz w:val="18"/>
                <w:szCs w:val="18"/>
              </w:rPr>
              <w:t>元及相应利息，截止</w:t>
            </w:r>
          </w:p>
          <w:p>
            <w:pPr>
              <w:pStyle w:val="TableParagraph"/>
              <w:spacing w:line="214" w:lineRule="exact"/>
              <w:ind w:left="100" w:right="0"/>
              <w:jc w:val="both"/>
              <w:rPr>
                <w:rFonts w:ascii="宋体" w:hAnsi="宋体" w:cs="宋体" w:eastAsia="宋体" w:hint="default"/>
                <w:sz w:val="18"/>
                <w:szCs w:val="18"/>
              </w:rPr>
            </w:pPr>
            <w:r>
              <w:rPr>
                <w:rFonts w:ascii="宋体" w:hAnsi="宋体" w:cs="宋体" w:eastAsia="宋体" w:hint="default"/>
                <w:sz w:val="18"/>
                <w:szCs w:val="18"/>
              </w:rPr>
              <w:t>本报告日已执行完毕。</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101"/>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7" w:lineRule="auto"/>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21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24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3" w:right="118"/>
              <w:jc w:val="both"/>
              <w:rPr>
                <w:rFonts w:ascii="宋体" w:hAnsi="宋体" w:cs="宋体" w:eastAsia="宋体" w:hint="default"/>
                <w:sz w:val="18"/>
                <w:szCs w:val="18"/>
              </w:rPr>
            </w:pPr>
            <w:r>
              <w:rPr>
                <w:rFonts w:ascii="宋体" w:hAnsi="宋体" w:cs="宋体" w:eastAsia="宋体" w:hint="default"/>
                <w:sz w:val="18"/>
                <w:szCs w:val="18"/>
              </w:rPr>
              <w:t>公司子公司宁波建工建乐 工程有限公司与奉化市东 部新城建设投资有限公司 建设工程施工合同纠纷案</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目前正在审理中</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101"/>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4"/>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21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25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9"/>
              <w:ind w:left="103" w:right="118"/>
              <w:jc w:val="both"/>
              <w:rPr>
                <w:rFonts w:ascii="宋体" w:hAnsi="宋体" w:cs="宋体" w:eastAsia="宋体" w:hint="default"/>
                <w:sz w:val="18"/>
                <w:szCs w:val="18"/>
              </w:rPr>
            </w:pPr>
            <w:r>
              <w:rPr>
                <w:rFonts w:ascii="宋体" w:hAnsi="宋体" w:cs="宋体" w:eastAsia="宋体" w:hint="default"/>
                <w:sz w:val="18"/>
                <w:szCs w:val="18"/>
              </w:rPr>
              <w:t>本公司子公司宁波建工工 程集团有限公司与宁波宁 兴中基置业有限公司建设 工程施工合同纠纷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宁波仲裁委员会已受理</w:t>
            </w:r>
          </w:p>
        </w:tc>
        <w:tc>
          <w:tcPr>
            <w:tcW w:w="237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104"/>
              <w:ind w:left="100" w:right="0"/>
              <w:jc w:val="both"/>
              <w:rPr>
                <w:rFonts w:ascii="宋体" w:hAnsi="宋体" w:cs="宋体" w:eastAsia="宋体" w:hint="default"/>
                <w:sz w:val="18"/>
                <w:szCs w:val="18"/>
              </w:rPr>
            </w:pPr>
            <w:r>
              <w:rPr>
                <w:rFonts w:ascii="宋体" w:hAnsi="宋体" w:cs="宋体" w:eastAsia="宋体" w:hint="default"/>
                <w:sz w:val="18"/>
                <w:szCs w:val="18"/>
              </w:rPr>
              <w:t>本项诉讼详见公司于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32" w:lineRule="exact" w:before="23"/>
              <w:ind w:left="100" w:right="1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日在上海证券证 券交易所网站披露的《宁波 建工</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年第三季度报告》</w:t>
            </w:r>
          </w:p>
        </w:tc>
      </w:tr>
      <w:tr>
        <w:trPr>
          <w:trHeight w:val="121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sz w:val="18"/>
              </w:rPr>
              <w:t>26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本公司与黄山市新徽投资 有限公司建设工程施工合 同纠纷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4"/>
              <w:ind w:left="100" w:right="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pacing w:val="-7"/>
                <w:sz w:val="18"/>
                <w:szCs w:val="18"/>
              </w:rPr>
              <w:t>月，黄山仲裁委员会下发</w:t>
            </w:r>
          </w:p>
          <w:p>
            <w:pPr>
              <w:pStyle w:val="TableParagraph"/>
              <w:spacing w:line="232" w:lineRule="exact" w:before="23"/>
              <w:ind w:left="100" w:right="170"/>
              <w:jc w:val="both"/>
              <w:rPr>
                <w:rFonts w:ascii="宋体" w:hAnsi="宋体" w:cs="宋体" w:eastAsia="宋体" w:hint="default"/>
                <w:sz w:val="18"/>
                <w:szCs w:val="18"/>
              </w:rPr>
            </w:pPr>
            <w:r>
              <w:rPr>
                <w:rFonts w:ascii="宋体" w:hAnsi="宋体" w:cs="宋体" w:eastAsia="宋体" w:hint="default"/>
                <w:sz w:val="18"/>
                <w:szCs w:val="18"/>
              </w:rPr>
              <w:t>《裁决书》，裁决黄山新徽投资支 付本公司工程款</w:t>
            </w:r>
            <w:r>
              <w:rPr>
                <w:rFonts w:ascii="宋体" w:hAnsi="宋体" w:cs="宋体" w:eastAsia="宋体" w:hint="default"/>
                <w:spacing w:val="-47"/>
                <w:sz w:val="18"/>
                <w:szCs w:val="18"/>
              </w:rPr>
              <w:t> </w:t>
            </w:r>
            <w:r>
              <w:rPr>
                <w:rFonts w:ascii="宋体" w:hAnsi="宋体" w:cs="宋体" w:eastAsia="宋体" w:hint="default"/>
                <w:sz w:val="18"/>
                <w:szCs w:val="18"/>
              </w:rPr>
              <w:t>10,433,152.32</w:t>
            </w:r>
            <w:r>
              <w:rPr>
                <w:rFonts w:ascii="宋体" w:hAnsi="宋体" w:cs="宋体" w:eastAsia="宋体" w:hint="default"/>
                <w:spacing w:val="-46"/>
                <w:sz w:val="18"/>
                <w:szCs w:val="18"/>
              </w:rPr>
              <w:t> </w:t>
            </w:r>
            <w:r>
              <w:rPr>
                <w:rFonts w:ascii="宋体" w:hAnsi="宋体" w:cs="宋体" w:eastAsia="宋体" w:hint="default"/>
                <w:sz w:val="18"/>
                <w:szCs w:val="18"/>
              </w:rPr>
              <w:t>元 及违约金。</w:t>
            </w:r>
          </w:p>
        </w:tc>
        <w:tc>
          <w:tcPr>
            <w:tcW w:w="2372" w:type="dxa"/>
            <w:tcBorders>
              <w:top w:val="single" w:sz="4" w:space="0" w:color="000000"/>
              <w:left w:val="single" w:sz="4" w:space="0" w:color="000000"/>
              <w:bottom w:val="single" w:sz="4" w:space="0" w:color="000000"/>
              <w:right w:val="nil" w:sz="6" w:space="0" w:color="auto"/>
            </w:tcBorders>
          </w:tcPr>
          <w:p>
            <w:pPr/>
          </w:p>
        </w:tc>
      </w:tr>
      <w:tr>
        <w:trPr>
          <w:trHeight w:val="1421" w:hRule="exact"/>
        </w:trPr>
        <w:tc>
          <w:tcPr>
            <w:tcW w:w="1493"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9" w:right="0"/>
              <w:jc w:val="center"/>
              <w:rPr>
                <w:rFonts w:ascii="宋体" w:hAnsi="宋体" w:cs="宋体" w:eastAsia="宋体" w:hint="default"/>
                <w:sz w:val="18"/>
                <w:szCs w:val="18"/>
              </w:rPr>
            </w:pPr>
            <w:r>
              <w:rPr>
                <w:rFonts w:ascii="宋体"/>
                <w:sz w:val="18"/>
              </w:rPr>
              <w:t>27</w:t>
            </w:r>
          </w:p>
        </w:tc>
        <w:tc>
          <w:tcPr>
            <w:tcW w:w="22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34" w:lineRule="exact"/>
              <w:ind w:left="103" w:right="118"/>
              <w:jc w:val="left"/>
              <w:rPr>
                <w:rFonts w:ascii="宋体" w:hAnsi="宋体" w:cs="宋体" w:eastAsia="宋体" w:hint="default"/>
                <w:sz w:val="18"/>
                <w:szCs w:val="18"/>
              </w:rPr>
            </w:pPr>
            <w:r>
              <w:rPr>
                <w:rFonts w:ascii="宋体" w:hAnsi="宋体" w:cs="宋体" w:eastAsia="宋体" w:hint="default"/>
                <w:sz w:val="18"/>
                <w:szCs w:val="18"/>
              </w:rPr>
              <w:t>章良军与本公司建设工程 施工合同纠纷</w:t>
            </w:r>
          </w:p>
        </w:tc>
        <w:tc>
          <w:tcPr>
            <w:tcW w:w="298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因鄞江镇悬慈村江宕居住地块一期</w:t>
            </w:r>
          </w:p>
          <w:p>
            <w:pPr>
              <w:pStyle w:val="TableParagraph"/>
              <w:spacing w:line="237" w:lineRule="auto" w:before="2"/>
              <w:ind w:left="100" w:right="103"/>
              <w:jc w:val="left"/>
              <w:rPr>
                <w:rFonts w:ascii="宋体" w:hAnsi="宋体" w:cs="宋体" w:eastAsia="宋体" w:hint="default"/>
                <w:sz w:val="18"/>
                <w:szCs w:val="18"/>
              </w:rPr>
            </w:pPr>
            <w:r>
              <w:rPr>
                <w:rFonts w:ascii="宋体" w:hAnsi="宋体" w:cs="宋体" w:eastAsia="宋体" w:hint="default"/>
                <w:sz w:val="18"/>
                <w:szCs w:val="18"/>
              </w:rPr>
              <w:t>工程纠纷，原告章良军请求本公司 支付工程款</w:t>
            </w:r>
            <w:r>
              <w:rPr>
                <w:rFonts w:ascii="宋体" w:hAnsi="宋体" w:cs="宋体" w:eastAsia="宋体" w:hint="default"/>
                <w:spacing w:val="-58"/>
                <w:sz w:val="18"/>
                <w:szCs w:val="18"/>
              </w:rPr>
              <w:t> </w:t>
            </w:r>
            <w:r>
              <w:rPr>
                <w:rFonts w:ascii="宋体" w:hAnsi="宋体" w:cs="宋体" w:eastAsia="宋体" w:hint="default"/>
                <w:sz w:val="18"/>
                <w:szCs w:val="18"/>
              </w:rPr>
              <w:t>19,234,165</w:t>
            </w:r>
            <w:r>
              <w:rPr>
                <w:rFonts w:ascii="宋体" w:hAnsi="宋体" w:cs="宋体" w:eastAsia="宋体" w:hint="default"/>
                <w:spacing w:val="-57"/>
                <w:sz w:val="18"/>
                <w:szCs w:val="18"/>
              </w:rPr>
              <w:t> </w:t>
            </w:r>
            <w:r>
              <w:rPr>
                <w:rFonts w:ascii="宋体" w:hAnsi="宋体" w:cs="宋体" w:eastAsia="宋体" w:hint="default"/>
                <w:sz w:val="18"/>
                <w:szCs w:val="18"/>
              </w:rPr>
              <w:t>元及相应利 息，并请求宁波亚隆置业有限责任 公司在上述工程款及利息范围内承 担责任。宁波市海曙区人民法院于</w:t>
            </w:r>
          </w:p>
        </w:tc>
        <w:tc>
          <w:tcPr>
            <w:tcW w:w="2372" w:type="dxa"/>
            <w:tcBorders>
              <w:top w:val="single" w:sz="4" w:space="0" w:color="000000"/>
              <w:left w:val="single" w:sz="4" w:space="0" w:color="000000"/>
              <w:bottom w:val="single" w:sz="12" w:space="0" w:color="000000"/>
              <w:right w:val="nil" w:sz="6" w:space="0" w:color="auto"/>
            </w:tcBorders>
          </w:tcPr>
          <w:p>
            <w:pPr/>
          </w:p>
        </w:tc>
      </w:tr>
    </w:tbl>
    <w:p>
      <w:pPr>
        <w:spacing w:after="0"/>
        <w:sectPr>
          <w:footerReference w:type="default" r:id="rId56"/>
          <w:pgSz w:w="11910" w:h="16840"/>
          <w:pgMar w:footer="1195" w:header="882"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61" w:type="dxa"/>
        <w:tblLayout w:type="fixed"/>
        <w:tblCellMar>
          <w:top w:w="0" w:type="dxa"/>
          <w:left w:w="0" w:type="dxa"/>
          <w:bottom w:w="0" w:type="dxa"/>
          <w:right w:w="0" w:type="dxa"/>
        </w:tblCellMar>
        <w:tblLook w:val="01E0"/>
      </w:tblPr>
      <w:tblGrid>
        <w:gridCol w:w="1493"/>
        <w:gridCol w:w="2213"/>
        <w:gridCol w:w="2986"/>
        <w:gridCol w:w="2372"/>
      </w:tblGrid>
      <w:tr>
        <w:trPr>
          <w:trHeight w:val="291" w:hRule="exact"/>
        </w:trPr>
        <w:tc>
          <w:tcPr>
            <w:tcW w:w="1493" w:type="dxa"/>
            <w:tcBorders>
              <w:top w:val="single" w:sz="12" w:space="0" w:color="000000"/>
              <w:left w:val="nil" w:sz="6" w:space="0" w:color="auto"/>
              <w:bottom w:val="single" w:sz="4" w:space="0" w:color="000000"/>
              <w:right w:val="single" w:sz="4" w:space="0" w:color="000000"/>
            </w:tcBorders>
          </w:tcPr>
          <w:p>
            <w:pPr>
              <w:pStyle w:val="TableParagraph"/>
              <w:spacing w:line="227" w:lineRule="exact"/>
              <w:ind w:left="19"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13"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事项名称</w:t>
            </w:r>
          </w:p>
        </w:tc>
        <w:tc>
          <w:tcPr>
            <w:tcW w:w="2986" w:type="dxa"/>
            <w:tcBorders>
              <w:top w:val="single" w:sz="12" w:space="0" w:color="000000"/>
              <w:left w:val="single" w:sz="4" w:space="0" w:color="000000"/>
              <w:bottom w:val="single" w:sz="4" w:space="0" w:color="000000"/>
              <w:right w:val="single" w:sz="4" w:space="0" w:color="000000"/>
            </w:tcBorders>
          </w:tcPr>
          <w:p>
            <w:pPr>
              <w:pStyle w:val="TableParagraph"/>
              <w:spacing w:line="227" w:lineRule="exact"/>
              <w:ind w:left="945" w:right="0"/>
              <w:jc w:val="left"/>
              <w:rPr>
                <w:rFonts w:ascii="宋体" w:hAnsi="宋体" w:cs="宋体" w:eastAsia="宋体" w:hint="default"/>
                <w:sz w:val="18"/>
                <w:szCs w:val="18"/>
              </w:rPr>
            </w:pPr>
            <w:r>
              <w:rPr>
                <w:rFonts w:ascii="宋体" w:hAnsi="宋体" w:cs="宋体" w:eastAsia="宋体" w:hint="default"/>
                <w:sz w:val="18"/>
                <w:szCs w:val="18"/>
              </w:rPr>
              <w:t>事项目前状态</w:t>
            </w:r>
          </w:p>
        </w:tc>
        <w:tc>
          <w:tcPr>
            <w:tcW w:w="2372" w:type="dxa"/>
            <w:tcBorders>
              <w:top w:val="single" w:sz="12" w:space="0" w:color="000000"/>
              <w:left w:val="single" w:sz="4" w:space="0" w:color="000000"/>
              <w:bottom w:val="single" w:sz="4" w:space="0" w:color="000000"/>
              <w:right w:val="nil" w:sz="6" w:space="0" w:color="auto"/>
            </w:tcBorders>
          </w:tcPr>
          <w:p>
            <w:pPr>
              <w:pStyle w:val="TableParagraph"/>
              <w:spacing w:line="227" w:lineRule="exact"/>
              <w:ind w:left="369" w:right="0"/>
              <w:jc w:val="left"/>
              <w:rPr>
                <w:rFonts w:ascii="宋体" w:hAnsi="宋体" w:cs="宋体" w:eastAsia="宋体" w:hint="default"/>
                <w:sz w:val="18"/>
                <w:szCs w:val="18"/>
              </w:rPr>
            </w:pPr>
            <w:r>
              <w:rPr>
                <w:rFonts w:ascii="宋体" w:hAnsi="宋体" w:cs="宋体" w:eastAsia="宋体" w:hint="default"/>
                <w:sz w:val="18"/>
                <w:szCs w:val="18"/>
              </w:rPr>
              <w:t>具体案情或查询索引</w:t>
            </w:r>
          </w:p>
        </w:tc>
      </w:tr>
      <w:tr>
        <w:trPr>
          <w:trHeight w:val="1222" w:hRule="exact"/>
        </w:trPr>
        <w:tc>
          <w:tcPr>
            <w:tcW w:w="1493" w:type="dxa"/>
            <w:tcBorders>
              <w:top w:val="single" w:sz="4" w:space="0" w:color="000000"/>
              <w:left w:val="nil" w:sz="6" w:space="0" w:color="auto"/>
              <w:bottom w:val="single" w:sz="12" w:space="0" w:color="000000"/>
              <w:right w:val="single" w:sz="4" w:space="0" w:color="000000"/>
            </w:tcBorders>
          </w:tcPr>
          <w:p>
            <w:pPr/>
          </w:p>
        </w:tc>
        <w:tc>
          <w:tcPr>
            <w:tcW w:w="2213" w:type="dxa"/>
            <w:tcBorders>
              <w:top w:val="single" w:sz="4" w:space="0" w:color="000000"/>
              <w:left w:val="single" w:sz="4" w:space="0" w:color="000000"/>
              <w:bottom w:val="single" w:sz="12" w:space="0" w:color="000000"/>
              <w:right w:val="single" w:sz="4" w:space="0" w:color="000000"/>
            </w:tcBorders>
          </w:tcPr>
          <w:p>
            <w:pPr/>
          </w:p>
        </w:tc>
        <w:tc>
          <w:tcPr>
            <w:tcW w:w="2986"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月已受理。</w:t>
            </w:r>
          </w:p>
        </w:tc>
        <w:tc>
          <w:tcPr>
            <w:tcW w:w="23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footerReference w:type="default" r:id="rId57"/>
          <w:pgSz w:w="11910" w:h="16840"/>
          <w:pgMar w:footer="1195" w:header="882" w:top="1120" w:bottom="1380" w:left="400" w:right="320"/>
          <w:pgNumType w:start="151"/>
        </w:sectPr>
      </w:pPr>
    </w:p>
    <w:p>
      <w:pPr>
        <w:pStyle w:val="Heading3"/>
        <w:tabs>
          <w:tab w:pos="2237" w:val="left" w:leader="none"/>
        </w:tabs>
        <w:spacing w:line="240" w:lineRule="auto"/>
        <w:ind w:left="1398" w:right="-16"/>
        <w:jc w:val="left"/>
        <w:rPr>
          <w:b w:val="0"/>
          <w:bCs w:val="0"/>
        </w:rPr>
      </w:pPr>
      <w:r>
        <w:rPr/>
        <w:t>十三、</w:t>
        <w:tab/>
        <w:t>资产负债表日后事项</w:t>
      </w:r>
      <w:r>
        <w:rPr>
          <w:b w:val="0"/>
          <w:bCs w:val="0"/>
        </w:rPr>
      </w:r>
    </w:p>
    <w:p>
      <w:pPr>
        <w:pStyle w:val="Heading3"/>
        <w:spacing w:line="240" w:lineRule="auto" w:before="56"/>
        <w:ind w:left="1398" w:right="-16"/>
        <w:jc w:val="left"/>
        <w:rPr>
          <w:b w:val="0"/>
          <w:bCs w:val="0"/>
        </w:rPr>
      </w:pPr>
      <w:r>
        <w:rPr>
          <w:rFonts w:ascii="Calibri" w:hAnsi="Calibri" w:cs="Calibri" w:eastAsia="Calibri" w:hint="default"/>
        </w:rPr>
        <w:t>1</w:t>
      </w:r>
      <w:r>
        <w:rPr/>
        <w:t>、</w:t>
      </w:r>
      <w:r>
        <w:rPr>
          <w:spacing w:val="3"/>
        </w:rPr>
        <w:t> </w:t>
      </w:r>
      <w:r>
        <w:rPr/>
        <w:t>利润分配情况</w:t>
      </w:r>
      <w:r>
        <w:rPr>
          <w:b w:val="0"/>
          <w:bCs w:val="0"/>
        </w:rPr>
      </w:r>
    </w:p>
    <w:p>
      <w:pPr>
        <w:pStyle w:val="BodyText"/>
        <w:spacing w:line="240" w:lineRule="auto" w:before="32"/>
        <w:ind w:left="1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20"/>
          <w:cols w:num="2" w:equalWidth="0">
            <w:col w:w="4139" w:space="2382"/>
            <w:col w:w="4669"/>
          </w:cols>
        </w:sectPr>
      </w:pP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68,325,600.00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tabs>
          <w:tab w:pos="2237" w:val="left" w:leader="none"/>
        </w:tabs>
        <w:spacing w:line="240" w:lineRule="auto"/>
        <w:ind w:left="1398" w:right="950"/>
        <w:jc w:val="left"/>
        <w:rPr>
          <w:b w:val="0"/>
          <w:bCs w:val="0"/>
        </w:rPr>
      </w:pPr>
      <w:r>
        <w:rPr/>
        <w:t>十四、</w:t>
        <w:tab/>
        <w:t>其他重要事项</w:t>
      </w:r>
      <w:r>
        <w:rPr>
          <w:b w:val="0"/>
          <w:bCs w:val="0"/>
        </w:rPr>
      </w:r>
    </w:p>
    <w:p>
      <w:pPr>
        <w:spacing w:line="240" w:lineRule="auto" w:before="5"/>
        <w:rPr>
          <w:rFonts w:ascii="宋体" w:hAnsi="宋体" w:cs="宋体" w:eastAsia="宋体" w:hint="default"/>
          <w:b/>
          <w:bCs/>
          <w:sz w:val="27"/>
          <w:szCs w:val="27"/>
        </w:rPr>
      </w:pPr>
    </w:p>
    <w:p>
      <w:pPr>
        <w:pStyle w:val="Heading3"/>
        <w:spacing w:line="240" w:lineRule="auto" w:before="0"/>
        <w:ind w:left="1398" w:right="950"/>
        <w:jc w:val="left"/>
        <w:rPr>
          <w:b w:val="0"/>
          <w:bCs w:val="0"/>
        </w:rPr>
      </w:pPr>
      <w:r>
        <w:rPr>
          <w:rFonts w:ascii="宋体" w:hAnsi="宋体" w:cs="宋体" w:eastAsia="宋体" w:hint="default"/>
        </w:rPr>
        <w:t>1</w:t>
      </w:r>
      <w:r>
        <w:rPr/>
        <w:t>、</w:t>
      </w:r>
      <w:r>
        <w:rPr>
          <w:spacing w:val="3"/>
        </w:rPr>
        <w:t> </w:t>
      </w:r>
      <w:r>
        <w:rPr/>
        <w:t>终止经营</w:t>
      </w:r>
      <w:r>
        <w:rPr>
          <w:b w:val="0"/>
          <w:bCs w:val="0"/>
        </w:rPr>
      </w:r>
    </w:p>
    <w:p>
      <w:pPr>
        <w:pStyle w:val="BodyText"/>
        <w:spacing w:line="282" w:lineRule="exact" w:before="56"/>
        <w:ind w:left="1398" w:right="95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left="1398" w:right="950" w:firstLine="424"/>
        <w:jc w:val="left"/>
      </w:pPr>
      <w:r>
        <w:rPr>
          <w:spacing w:val="-2"/>
        </w:rPr>
        <w:t>本公司下属子公司芜湖宁建建筑工程有限公司注册地为安徽省芜湖市，独立承建本公司在芜</w:t>
      </w:r>
      <w:r>
        <w:rPr>
          <w:w w:val="100"/>
        </w:rPr>
        <w:t> </w:t>
      </w:r>
      <w:r>
        <w:rPr/>
        <w:t>湖地区工程项目，本期该公司已注销完毕。</w:t>
      </w:r>
    </w:p>
    <w:p>
      <w:pPr>
        <w:pStyle w:val="BodyText"/>
        <w:tabs>
          <w:tab w:pos="1051" w:val="left" w:leader="none"/>
        </w:tabs>
        <w:spacing w:line="249" w:lineRule="exact"/>
        <w:ind w:left="0" w:right="9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362" w:type="dxa"/>
        <w:tblLayout w:type="fixed"/>
        <w:tblCellMar>
          <w:top w:w="0" w:type="dxa"/>
          <w:left w:w="0" w:type="dxa"/>
          <w:bottom w:w="0" w:type="dxa"/>
          <w:right w:w="0" w:type="dxa"/>
        </w:tblCellMar>
        <w:tblLook w:val="01E0"/>
      </w:tblPr>
      <w:tblGrid>
        <w:gridCol w:w="1238"/>
        <w:gridCol w:w="1193"/>
        <w:gridCol w:w="1181"/>
        <w:gridCol w:w="1181"/>
        <w:gridCol w:w="1178"/>
        <w:gridCol w:w="1184"/>
        <w:gridCol w:w="1740"/>
      </w:tblGrid>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828"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芜</w:t>
            </w:r>
            <w:r>
              <w:rPr>
                <w:rFonts w:ascii="宋体" w:hAnsi="宋体" w:cs="宋体" w:eastAsia="宋体" w:hint="default"/>
                <w:spacing w:val="-73"/>
                <w:sz w:val="21"/>
                <w:szCs w:val="21"/>
              </w:rPr>
              <w:t> </w:t>
            </w:r>
            <w:r>
              <w:rPr>
                <w:rFonts w:ascii="宋体" w:hAnsi="宋体" w:cs="宋体" w:eastAsia="宋体" w:hint="default"/>
                <w:sz w:val="21"/>
                <w:szCs w:val="21"/>
              </w:rPr>
              <w:t>湖</w:t>
            </w:r>
            <w:r>
              <w:rPr>
                <w:rFonts w:ascii="宋体" w:hAnsi="宋体" w:cs="宋体" w:eastAsia="宋体" w:hint="default"/>
                <w:spacing w:val="-73"/>
                <w:sz w:val="21"/>
                <w:szCs w:val="21"/>
              </w:rPr>
              <w:t> </w:t>
            </w: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建</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筑</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6" w:right="0"/>
              <w:jc w:val="left"/>
              <w:rPr>
                <w:rFonts w:ascii="Times New Roman" w:hAnsi="Times New Roman" w:cs="Times New Roman" w:eastAsia="Times New Roman" w:hint="default"/>
                <w:sz w:val="21"/>
                <w:szCs w:val="21"/>
              </w:rPr>
            </w:pPr>
            <w:r>
              <w:rPr>
                <w:rFonts w:ascii="Times New Roman"/>
                <w:sz w:val="21"/>
              </w:rPr>
              <w:t>-734.83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6" w:right="0"/>
              <w:jc w:val="left"/>
              <w:rPr>
                <w:rFonts w:ascii="Times New Roman" w:hAnsi="Times New Roman" w:cs="Times New Roman" w:eastAsia="Times New Roman" w:hint="default"/>
                <w:sz w:val="21"/>
                <w:szCs w:val="21"/>
              </w:rPr>
            </w:pPr>
            <w:r>
              <w:rPr>
                <w:rFonts w:ascii="Times New Roman"/>
                <w:sz w:val="21"/>
              </w:rPr>
              <w:t>734.83</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734.83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5" w:right="0"/>
              <w:jc w:val="left"/>
              <w:rPr>
                <w:rFonts w:ascii="Times New Roman" w:hAnsi="Times New Roman" w:cs="Times New Roman" w:eastAsia="Times New Roman" w:hint="default"/>
                <w:sz w:val="21"/>
                <w:szCs w:val="21"/>
              </w:rPr>
            </w:pPr>
            <w:r>
              <w:rPr>
                <w:rFonts w:ascii="Times New Roman"/>
                <w:sz w:val="21"/>
              </w:rPr>
              <w:t>734.83</w:t>
            </w:r>
          </w:p>
        </w:tc>
      </w:tr>
    </w:tbl>
    <w:p>
      <w:pPr>
        <w:spacing w:line="240" w:lineRule="auto" w:before="4"/>
        <w:rPr>
          <w:rFonts w:ascii="宋体" w:hAnsi="宋体" w:cs="宋体" w:eastAsia="宋体" w:hint="default"/>
          <w:sz w:val="22"/>
          <w:szCs w:val="22"/>
        </w:rPr>
      </w:pPr>
    </w:p>
    <w:p>
      <w:pPr>
        <w:pStyle w:val="Heading3"/>
        <w:spacing w:line="240" w:lineRule="auto"/>
        <w:ind w:left="1398" w:right="950"/>
        <w:jc w:val="left"/>
        <w:rPr>
          <w:b w:val="0"/>
          <w:bCs w:val="0"/>
        </w:rPr>
      </w:pPr>
      <w:r>
        <w:rPr>
          <w:rFonts w:ascii="宋体" w:hAnsi="宋体" w:cs="宋体" w:eastAsia="宋体" w:hint="default"/>
        </w:rPr>
        <w:t>2</w:t>
      </w:r>
      <w:r>
        <w:rPr/>
        <w:t>、</w:t>
      </w:r>
      <w:r>
        <w:rPr>
          <w:spacing w:val="3"/>
        </w:rPr>
        <w:t> </w:t>
      </w:r>
      <w:r>
        <w:rPr/>
        <w:t>分部信息</w:t>
      </w:r>
      <w:r>
        <w:rPr>
          <w:b w:val="0"/>
          <w:bCs w:val="0"/>
        </w:rPr>
      </w:r>
    </w:p>
    <w:p>
      <w:pPr>
        <w:pStyle w:val="Heading3"/>
        <w:tabs>
          <w:tab w:pos="2041" w:val="left" w:leader="none"/>
        </w:tabs>
        <w:spacing w:line="240" w:lineRule="auto" w:before="56"/>
        <w:ind w:left="1398" w:right="95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2144" w:val="left" w:leader="none"/>
        </w:tabs>
        <w:spacing w:line="274" w:lineRule="exact" w:before="82"/>
        <w:ind w:left="1818" w:right="95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本公司从事多种经营业务，管理层主要按风险报酬的不同特征对各项业务的经营业绩进行评</w:t>
      </w:r>
    </w:p>
    <w:p>
      <w:pPr>
        <w:pStyle w:val="BodyText"/>
        <w:spacing w:line="246" w:lineRule="exact"/>
        <w:ind w:left="1398" w:right="834"/>
        <w:jc w:val="left"/>
      </w:pPr>
      <w:r>
        <w:rPr/>
        <w:t>价，分部间转移产品或劳务的价格参照向第三方销售价格确定。间接归属各分部的费用按照收入</w:t>
      </w:r>
    </w:p>
    <w:p>
      <w:pPr>
        <w:pStyle w:val="BodyText"/>
        <w:spacing w:line="274" w:lineRule="exact"/>
        <w:ind w:left="1398" w:right="950"/>
        <w:jc w:val="left"/>
      </w:pPr>
      <w:r>
        <w:rPr/>
        <w:t>比例在分部之间进行分配。</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400" w:right="320"/>
        </w:sectPr>
      </w:pPr>
    </w:p>
    <w:p>
      <w:pPr>
        <w:pStyle w:val="Heading3"/>
        <w:tabs>
          <w:tab w:pos="2041" w:val="left" w:leader="none"/>
        </w:tabs>
        <w:spacing w:line="240" w:lineRule="auto"/>
        <w:ind w:left="139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2240" w:val="left" w:leader="none"/>
        </w:tabs>
        <w:spacing w:line="240" w:lineRule="auto" w:before="56"/>
        <w:ind w:left="139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20"/>
          <w:cols w:num="2" w:equalWidth="0">
            <w:col w:w="3943" w:space="2579"/>
            <w:col w:w="466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61"/>
        <w:gridCol w:w="1793"/>
        <w:gridCol w:w="1685"/>
        <w:gridCol w:w="1529"/>
        <w:gridCol w:w="1392"/>
        <w:gridCol w:w="1685"/>
        <w:gridCol w:w="1793"/>
      </w:tblGrid>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一、主营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业务收入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13,485,217,038.20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1,519,763,989.39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393,874,355.64</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652,584,208.75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14,746,271,174.48</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二、主营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业务成本</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12,670,899,481.22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1,341,371,064.00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348,779,781.55</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652,584,208.75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13,708,466,118.02</w:t>
            </w:r>
          </w:p>
        </w:tc>
      </w:tr>
      <w:tr>
        <w:trPr>
          <w:trHeight w:val="8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三、对联</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营和合营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企业的投</w:t>
            </w:r>
          </w:p>
        </w:tc>
        <w:tc>
          <w:tcPr>
            <w:tcW w:w="179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-4,431,734.15</w:t>
            </w: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-4,431,734.15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40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061"/>
        <w:gridCol w:w="1793"/>
        <w:gridCol w:w="1685"/>
        <w:gridCol w:w="1529"/>
        <w:gridCol w:w="1392"/>
        <w:gridCol w:w="1685"/>
        <w:gridCol w:w="1793"/>
      </w:tblGrid>
      <w:tr>
        <w:trPr>
          <w:trHeight w:val="28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793"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16,553,195.23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3,634,269.41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2,039,130.05</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22,226,594.69</w:t>
            </w:r>
          </w:p>
        </w:tc>
      </w:tr>
      <w:tr>
        <w:trPr>
          <w:trHeight w:val="8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五、折旧</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费和摊销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19,804,302.94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4,425,627.66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3,954,629.21</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28,184,559.81</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六、利润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269,499,528.75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46,425,010.04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5,951,397.92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321,875,936.71</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七、所得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税费用</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86,124,926.12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15,895,791.00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1,530,988.50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103,551,705.62</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183,374,602.63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30,529,219.04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4,420,409.42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218,324,231.09</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spacing w:val="-1"/>
                <w:sz w:val="21"/>
              </w:rPr>
              <w:t>15,803,250,126.27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1,705,583,669.78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259,997,739.30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 w:right="0"/>
              <w:jc w:val="center"/>
              <w:rPr>
                <w:rFonts w:ascii="Times New Roman" w:hAnsi="Times New Roman" w:cs="Times New Roman" w:eastAsia="Times New Roman" w:hint="default"/>
                <w:sz w:val="21"/>
                <w:szCs w:val="21"/>
              </w:rPr>
            </w:pPr>
            <w:r>
              <w:rPr>
                <w:rFonts w:ascii="Times New Roman"/>
                <w:sz w:val="21"/>
              </w:rPr>
              <w:t>3,854,013,525.67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13,914,818,009.68</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十、负债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13,707,702,617.02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1,194,351,101.20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148,955,461.46</w:t>
            </w:r>
          </w:p>
        </w:tc>
        <w:tc>
          <w:tcPr>
            <w:tcW w:w="139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3,854,013,525.67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11,196,995,654.01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1398" w:right="0"/>
        <w:jc w:val="both"/>
        <w:rPr>
          <w:b w:val="0"/>
          <w:bCs w:val="0"/>
        </w:rPr>
      </w:pPr>
      <w:r>
        <w:rPr>
          <w:rFonts w:ascii="宋体" w:hAnsi="宋体" w:cs="宋体" w:eastAsia="宋体" w:hint="default"/>
        </w:rPr>
        <w:t>3</w:t>
      </w:r>
      <w:r>
        <w:rPr/>
        <w:t>、</w:t>
      </w:r>
      <w:r>
        <w:rPr>
          <w:spacing w:val="3"/>
        </w:rPr>
        <w:t> </w:t>
      </w:r>
      <w:r>
        <w:rPr/>
        <w:t>其他对投资者决策有影响的重要交易和事项</w:t>
      </w:r>
      <w:r>
        <w:rPr>
          <w:b w:val="0"/>
          <w:bCs w:val="0"/>
        </w:rPr>
      </w:r>
    </w:p>
    <w:p>
      <w:pPr>
        <w:pStyle w:val="BodyText"/>
        <w:spacing w:line="287" w:lineRule="exact" w:before="133"/>
        <w:ind w:left="139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1" w:lineRule="exact"/>
        <w:ind w:left="1818" w:right="834"/>
        <w:jc w:val="left"/>
      </w:pPr>
      <w:r>
        <w:rPr>
          <w:rFonts w:ascii="宋体" w:hAnsi="宋体" w:cs="宋体" w:eastAsia="宋体" w:hint="default"/>
        </w:rPr>
        <w:t>1</w:t>
      </w:r>
      <w:r>
        <w:rPr/>
        <w:t>、公司于</w:t>
      </w:r>
      <w:r>
        <w:rPr>
          <w:spacing w:val="-54"/>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日召开的第三届董事会第二十三次会议审议通过了《宁波建工股</w:t>
      </w:r>
    </w:p>
    <w:p>
      <w:pPr>
        <w:pStyle w:val="BodyText"/>
        <w:spacing w:line="357" w:lineRule="auto" w:before="133"/>
        <w:ind w:left="1398" w:right="948"/>
        <w:jc w:val="both"/>
      </w:pPr>
      <w:r>
        <w:rPr>
          <w:spacing w:val="-2"/>
          <w:w w:val="100"/>
        </w:rPr>
        <w:t>份有限公司</w:t>
      </w:r>
      <w:r>
        <w:rPr>
          <w:spacing w:val="-52"/>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spacing w:val="-15"/>
          <w:w w:val="100"/>
        </w:rPr>
        <w:t>年员工持股计划（草案）》</w:t>
      </w:r>
      <w:r>
        <w:rPr>
          <w:rFonts w:ascii="宋体" w:hAnsi="宋体" w:cs="宋体" w:eastAsia="宋体" w:hint="default"/>
          <w:spacing w:val="-15"/>
          <w:w w:val="100"/>
        </w:rPr>
        <w:t>,</w:t>
      </w:r>
      <w:r>
        <w:rPr>
          <w:spacing w:val="-15"/>
          <w:w w:val="100"/>
        </w:rPr>
        <w:t>并于</w:t>
      </w:r>
      <w:r>
        <w:rPr>
          <w:spacing w:val="-54"/>
          <w:w w:val="100"/>
        </w:rPr>
        <w:t> </w:t>
      </w:r>
      <w:r>
        <w:rPr>
          <w:rFonts w:ascii="宋体" w:hAnsi="宋体" w:cs="宋体" w:eastAsia="宋体" w:hint="default"/>
          <w:spacing w:val="-1"/>
          <w:w w:val="100"/>
        </w:rPr>
        <w:t>2017</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2"/>
          <w:w w:val="100"/>
        </w:rPr>
        <w:t> </w:t>
      </w:r>
      <w:r>
        <w:rPr>
          <w:w w:val="100"/>
        </w:rPr>
        <w:t>月</w:t>
      </w:r>
      <w:r>
        <w:rPr>
          <w:spacing w:val="-52"/>
          <w:w w:val="100"/>
        </w:rPr>
        <w:t> </w:t>
      </w:r>
      <w:r>
        <w:rPr>
          <w:rFonts w:ascii="宋体" w:hAnsi="宋体" w:cs="宋体" w:eastAsia="宋体" w:hint="default"/>
          <w:spacing w:val="-2"/>
          <w:w w:val="100"/>
        </w:rPr>
        <w:t>11</w:t>
      </w:r>
      <w:r>
        <w:rPr>
          <w:rFonts w:ascii="宋体" w:hAnsi="宋体" w:cs="宋体" w:eastAsia="宋体" w:hint="default"/>
          <w:spacing w:val="-52"/>
          <w:w w:val="100"/>
        </w:rPr>
        <w:t> </w:t>
      </w:r>
      <w:r>
        <w:rPr>
          <w:spacing w:val="-2"/>
          <w:w w:val="100"/>
        </w:rPr>
        <w:t>日召开了</w:t>
      </w:r>
      <w:r>
        <w:rPr>
          <w:spacing w:val="-52"/>
          <w:w w:val="100"/>
        </w:rPr>
        <w:t> </w:t>
      </w:r>
      <w:r>
        <w:rPr>
          <w:rFonts w:ascii="宋体" w:hAnsi="宋体" w:cs="宋体" w:eastAsia="宋体" w:hint="default"/>
          <w:spacing w:val="-2"/>
          <w:w w:val="100"/>
        </w:rPr>
        <w:t>2017</w:t>
      </w:r>
      <w:r>
        <w:rPr>
          <w:rFonts w:ascii="宋体" w:hAnsi="宋体" w:cs="宋体" w:eastAsia="宋体" w:hint="default"/>
          <w:spacing w:val="-51"/>
          <w:w w:val="100"/>
        </w:rPr>
        <w:t> </w:t>
      </w:r>
      <w:r>
        <w:rPr>
          <w:spacing w:val="-2"/>
          <w:w w:val="100"/>
        </w:rPr>
        <w:t>年第三次临时股</w:t>
      </w:r>
      <w:r>
        <w:rPr>
          <w:w w:val="100"/>
        </w:rPr>
        <w:t> </w:t>
      </w:r>
      <w:r>
        <w:rPr>
          <w:spacing w:val="-1"/>
        </w:rPr>
        <w:t>东大会审议通过了本次员工持股计划的草案及相关议案。另公司董事会召集和主持员工持股计划</w:t>
      </w:r>
      <w:r>
        <w:rPr>
          <w:spacing w:val="-55"/>
        </w:rPr>
        <w:t> </w:t>
      </w:r>
      <w:r>
        <w:rPr>
          <w:spacing w:val="-55"/>
        </w:rPr>
      </w:r>
      <w:r>
        <w:rPr>
          <w:spacing w:val="-1"/>
        </w:rPr>
        <w:t>首次持有人会议。本次员工持股计划设立后将委托资产管理人成立信托计划进行管理，截止本报</w:t>
      </w:r>
      <w:r>
        <w:rPr>
          <w:spacing w:val="-55"/>
        </w:rPr>
        <w:t> </w:t>
      </w:r>
      <w:r>
        <w:rPr>
          <w:spacing w:val="-55"/>
        </w:rPr>
      </w:r>
      <w:r>
        <w:rPr/>
        <w:t>告出具日，该信托计划已设立，其他相关材料准备工作正在进行中。</w:t>
      </w:r>
    </w:p>
    <w:p>
      <w:pPr>
        <w:pStyle w:val="BodyText"/>
        <w:spacing w:line="240" w:lineRule="auto" w:before="30"/>
        <w:ind w:left="1818" w:right="834"/>
        <w:jc w:val="left"/>
      </w:pPr>
      <w:r>
        <w:rPr>
          <w:rFonts w:ascii="宋体" w:hAnsi="宋体" w:cs="宋体" w:eastAsia="宋体" w:hint="default"/>
        </w:rPr>
        <w:t>2</w:t>
      </w:r>
      <w:r>
        <w:rPr/>
        <w:t>、经公司第三届董事会第十四次会议于</w:t>
      </w:r>
      <w:r>
        <w:rPr>
          <w:spacing w:val="-51"/>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4"/>
        </w:rPr>
        <w:t> </w:t>
      </w:r>
      <w:r>
        <w:rPr/>
        <w:t>日审议通过，公司拟申请注册发行</w:t>
      </w:r>
    </w:p>
    <w:p>
      <w:pPr>
        <w:pStyle w:val="BodyText"/>
        <w:spacing w:line="240" w:lineRule="auto" w:before="135"/>
        <w:ind w:left="1398" w:right="0"/>
        <w:jc w:val="both"/>
      </w:pPr>
      <w:r>
        <w:rPr/>
        <w:t>总额不超过</w:t>
      </w:r>
      <w:r>
        <w:rPr>
          <w:spacing w:val="-54"/>
        </w:rPr>
        <w:t> </w:t>
      </w:r>
      <w:r>
        <w:rPr>
          <w:rFonts w:ascii="宋体" w:hAnsi="宋体" w:cs="宋体" w:eastAsia="宋体" w:hint="default"/>
        </w:rPr>
        <w:t>8</w:t>
      </w:r>
      <w:r>
        <w:rPr>
          <w:rFonts w:ascii="宋体" w:hAnsi="宋体" w:cs="宋体" w:eastAsia="宋体" w:hint="default"/>
          <w:spacing w:val="-51"/>
        </w:rPr>
        <w:t> </w:t>
      </w:r>
      <w:r>
        <w:rPr/>
        <w:t>亿元人民币（含</w:t>
      </w:r>
      <w:r>
        <w:rPr>
          <w:spacing w:val="-53"/>
        </w:rPr>
        <w:t> </w:t>
      </w:r>
      <w:r>
        <w:rPr>
          <w:rFonts w:ascii="宋体" w:hAnsi="宋体" w:cs="宋体" w:eastAsia="宋体" w:hint="default"/>
        </w:rPr>
        <w:t>8</w:t>
      </w:r>
      <w:r>
        <w:rPr>
          <w:rFonts w:ascii="宋体" w:hAnsi="宋体" w:cs="宋体" w:eastAsia="宋体" w:hint="default"/>
          <w:spacing w:val="-54"/>
        </w:rPr>
        <w:t> </w:t>
      </w:r>
      <w:r>
        <w:rPr/>
        <w:t>亿元）融资期限不超过</w:t>
      </w:r>
      <w:r>
        <w:rPr>
          <w:spacing w:val="-53"/>
        </w:rPr>
        <w:t> </w:t>
      </w:r>
      <w:r>
        <w:rPr>
          <w:rFonts w:ascii="宋体" w:hAnsi="宋体" w:cs="宋体" w:eastAsia="宋体" w:hint="default"/>
        </w:rPr>
        <w:t>1</w:t>
      </w:r>
      <w:r>
        <w:rPr>
          <w:rFonts w:ascii="宋体" w:hAnsi="宋体" w:cs="宋体" w:eastAsia="宋体" w:hint="default"/>
          <w:spacing w:val="-54"/>
        </w:rPr>
        <w:t> </w:t>
      </w:r>
      <w:r>
        <w:rPr/>
        <w:t>年（含</w:t>
      </w:r>
      <w:r>
        <w:rPr>
          <w:spacing w:val="-54"/>
        </w:rPr>
        <w:t> </w:t>
      </w:r>
      <w:r>
        <w:rPr>
          <w:rFonts w:ascii="宋体" w:hAnsi="宋体" w:cs="宋体" w:eastAsia="宋体" w:hint="default"/>
        </w:rPr>
        <w:t>1</w:t>
      </w:r>
      <w:r>
        <w:rPr>
          <w:rFonts w:ascii="宋体" w:hAnsi="宋体" w:cs="宋体" w:eastAsia="宋体" w:hint="default"/>
          <w:spacing w:val="-51"/>
        </w:rPr>
        <w:t> </w:t>
      </w:r>
      <w:r>
        <w:rPr/>
        <w:t>年）的短期融资券该事项已经</w:t>
      </w:r>
    </w:p>
    <w:p>
      <w:pPr>
        <w:pStyle w:val="BodyText"/>
        <w:spacing w:line="357" w:lineRule="auto" w:before="133"/>
        <w:ind w:left="1398" w:right="947"/>
        <w:jc w:val="both"/>
      </w:pPr>
      <w:r>
        <w:rPr>
          <w:rFonts w:ascii="宋体" w:hAnsi="宋体" w:cs="宋体" w:eastAsia="宋体" w:hint="default"/>
        </w:rPr>
        <w:t>2016</w:t>
      </w:r>
      <w:r>
        <w:rPr>
          <w:rFonts w:ascii="宋体" w:hAnsi="宋体" w:cs="宋体" w:eastAsia="宋体" w:hint="default"/>
          <w:spacing w:val="-41"/>
        </w:rPr>
        <w:t> </w:t>
      </w:r>
      <w:r>
        <w:rPr>
          <w:spacing w:val="-4"/>
        </w:rPr>
        <w:t>年第一次临时股东大会审议通过。</w:t>
      </w:r>
      <w:r>
        <w:rPr>
          <w:rFonts w:ascii="宋体" w:hAnsi="宋体" w:cs="宋体" w:eastAsia="宋体" w:hint="default"/>
          <w:spacing w:val="-4"/>
        </w:rPr>
        <w:t>2017</w:t>
      </w:r>
      <w:r>
        <w:rPr>
          <w:rFonts w:ascii="宋体" w:hAnsi="宋体" w:cs="宋体" w:eastAsia="宋体" w:hint="default"/>
          <w:spacing w:val="-41"/>
        </w:rPr>
        <w:t> </w:t>
      </w:r>
      <w:r>
        <w:rPr/>
        <w:t>年</w:t>
      </w:r>
      <w:r>
        <w:rPr>
          <w:spacing w:val="-38"/>
        </w:rPr>
        <w:t> </w:t>
      </w:r>
      <w:r>
        <w:rPr>
          <w:rFonts w:ascii="宋体" w:hAnsi="宋体" w:cs="宋体" w:eastAsia="宋体" w:hint="default"/>
        </w:rPr>
        <w:t>5</w:t>
      </w:r>
      <w:r>
        <w:rPr>
          <w:rFonts w:ascii="宋体" w:hAnsi="宋体" w:cs="宋体" w:eastAsia="宋体" w:hint="default"/>
          <w:spacing w:val="-41"/>
        </w:rPr>
        <w:t> </w:t>
      </w:r>
      <w:r>
        <w:rPr>
          <w:spacing w:val="-4"/>
        </w:rPr>
        <w:t>月公司收到中国银行间市场交易商协会的《接受</w:t>
      </w:r>
      <w:r>
        <w:rPr>
          <w:spacing w:val="-99"/>
        </w:rPr>
        <w:t> </w:t>
      </w:r>
      <w:r>
        <w:rPr>
          <w:spacing w:val="-99"/>
        </w:rPr>
      </w:r>
      <w:r>
        <w:rPr>
          <w:spacing w:val="-7"/>
          <w:w w:val="100"/>
        </w:rPr>
        <w:t>注册通知书》（中市协注</w:t>
      </w:r>
      <w:r>
        <w:rPr>
          <w:rFonts w:ascii="宋体" w:hAnsi="宋体" w:cs="宋体" w:eastAsia="宋体" w:hint="default"/>
          <w:spacing w:val="-7"/>
          <w:w w:val="100"/>
        </w:rPr>
        <w:t>[2017]CP87</w:t>
      </w:r>
      <w:r>
        <w:rPr>
          <w:rFonts w:ascii="宋体" w:hAnsi="宋体" w:cs="宋体" w:eastAsia="宋体" w:hint="default"/>
          <w:spacing w:val="-48"/>
          <w:w w:val="100"/>
        </w:rPr>
        <w:t> </w:t>
      </w:r>
      <w:r>
        <w:rPr>
          <w:spacing w:val="-8"/>
          <w:w w:val="100"/>
        </w:rPr>
        <w:t>号），同意接受公司短期融资券注册，注册金额为</w:t>
      </w:r>
      <w:r>
        <w:rPr>
          <w:spacing w:val="-44"/>
          <w:w w:val="100"/>
        </w:rPr>
        <w:t> </w:t>
      </w:r>
      <w:r>
        <w:rPr>
          <w:rFonts w:ascii="宋体" w:hAnsi="宋体" w:cs="宋体" w:eastAsia="宋体" w:hint="default"/>
          <w:w w:val="100"/>
        </w:rPr>
        <w:t>8</w:t>
      </w:r>
      <w:r>
        <w:rPr>
          <w:rFonts w:ascii="宋体" w:hAnsi="宋体" w:cs="宋体" w:eastAsia="宋体" w:hint="default"/>
          <w:spacing w:val="-48"/>
          <w:w w:val="100"/>
        </w:rPr>
        <w:t> </w:t>
      </w:r>
      <w:r>
        <w:rPr>
          <w:spacing w:val="-4"/>
          <w:w w:val="100"/>
        </w:rPr>
        <w:t>亿元，注</w:t>
      </w:r>
      <w:r>
        <w:rPr>
          <w:spacing w:val="-102"/>
          <w:w w:val="100"/>
        </w:rPr>
        <w:t> </w:t>
      </w:r>
      <w:r>
        <w:rPr>
          <w:spacing w:val="-102"/>
          <w:w w:val="100"/>
        </w:rPr>
      </w:r>
      <w:r>
        <w:rPr/>
        <w:t>册额度自通知书落款之日起</w:t>
      </w:r>
      <w:r>
        <w:rPr>
          <w:spacing w:val="-51"/>
        </w:rPr>
        <w:t> </w:t>
      </w:r>
      <w:r>
        <w:rPr>
          <w:rFonts w:ascii="宋体" w:hAnsi="宋体" w:cs="宋体" w:eastAsia="宋体" w:hint="default"/>
        </w:rPr>
        <w:t>2</w:t>
      </w:r>
      <w:r>
        <w:rPr>
          <w:rFonts w:ascii="宋体" w:hAnsi="宋体" w:cs="宋体" w:eastAsia="宋体" w:hint="default"/>
          <w:spacing w:val="-49"/>
        </w:rPr>
        <w:t> </w:t>
      </w:r>
      <w:r>
        <w:rPr/>
        <w:t>年内有效，由中国建设银行股份有限公司主承销。公司在注册有效</w:t>
      </w:r>
      <w:r>
        <w:rPr>
          <w:w w:val="100"/>
        </w:rPr>
        <w:t> </w:t>
      </w:r>
      <w:r>
        <w:rPr/>
        <w:t>期内可分期发行短期融资券。</w:t>
      </w:r>
    </w:p>
    <w:p>
      <w:pPr>
        <w:pStyle w:val="BodyText"/>
        <w:spacing w:line="240" w:lineRule="auto" w:before="32"/>
        <w:ind w:left="1818" w:right="834"/>
        <w:jc w:val="left"/>
      </w:pPr>
      <w:r>
        <w:rPr>
          <w:rFonts w:ascii="宋体" w:hAnsi="宋体" w:cs="宋体" w:eastAsia="宋体" w:hint="default"/>
        </w:rPr>
        <w:t>3</w:t>
      </w:r>
      <w:r>
        <w:rPr/>
        <w:t>、经公司第三届董事会第十四次会议于</w:t>
      </w:r>
      <w:r>
        <w:rPr>
          <w:spacing w:val="-51"/>
        </w:rPr>
        <w:t> </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4"/>
        </w:rPr>
        <w:t> </w:t>
      </w:r>
      <w:r>
        <w:rPr/>
        <w:t>日审议通过，公司拟申请注册发行</w:t>
      </w:r>
    </w:p>
    <w:p>
      <w:pPr>
        <w:pStyle w:val="BodyText"/>
        <w:spacing w:line="240" w:lineRule="auto" w:before="133"/>
        <w:ind w:left="1398" w:right="0"/>
        <w:jc w:val="both"/>
      </w:pPr>
      <w:r>
        <w:rPr/>
        <w:t>总额不超过</w:t>
      </w:r>
      <w:r>
        <w:rPr>
          <w:spacing w:val="-53"/>
        </w:rPr>
        <w:t> </w:t>
      </w:r>
      <w:r>
        <w:rPr>
          <w:rFonts w:ascii="宋体" w:hAnsi="宋体" w:cs="宋体" w:eastAsia="宋体" w:hint="default"/>
        </w:rPr>
        <w:t>12</w:t>
      </w:r>
      <w:r>
        <w:rPr>
          <w:rFonts w:ascii="宋体" w:hAnsi="宋体" w:cs="宋体" w:eastAsia="宋体" w:hint="default"/>
          <w:spacing w:val="-52"/>
        </w:rPr>
        <w:t> </w:t>
      </w:r>
      <w:r>
        <w:rPr/>
        <w:t>亿元人民币（含</w:t>
      </w:r>
      <w:r>
        <w:rPr>
          <w:spacing w:val="-54"/>
        </w:rPr>
        <w:t> </w:t>
      </w:r>
      <w:r>
        <w:rPr>
          <w:rFonts w:ascii="宋体" w:hAnsi="宋体" w:cs="宋体" w:eastAsia="宋体" w:hint="default"/>
        </w:rPr>
        <w:t>12</w:t>
      </w:r>
      <w:r>
        <w:rPr>
          <w:rFonts w:ascii="宋体" w:hAnsi="宋体" w:cs="宋体" w:eastAsia="宋体" w:hint="default"/>
          <w:spacing w:val="-55"/>
        </w:rPr>
        <w:t> </w:t>
      </w:r>
      <w:r>
        <w:rPr/>
        <w:t>亿元）融资期限不超过</w:t>
      </w:r>
      <w:r>
        <w:rPr>
          <w:spacing w:val="-55"/>
        </w:rPr>
        <w:t> </w:t>
      </w:r>
      <w:r>
        <w:rPr>
          <w:rFonts w:ascii="宋体" w:hAnsi="宋体" w:cs="宋体" w:eastAsia="宋体" w:hint="default"/>
        </w:rPr>
        <w:t>270</w:t>
      </w:r>
      <w:r>
        <w:rPr>
          <w:rFonts w:ascii="宋体" w:hAnsi="宋体" w:cs="宋体" w:eastAsia="宋体" w:hint="default"/>
          <w:spacing w:val="-52"/>
        </w:rPr>
        <w:t> </w:t>
      </w:r>
      <w:r>
        <w:rPr/>
        <w:t>天（含</w:t>
      </w:r>
      <w:r>
        <w:rPr>
          <w:spacing w:val="-52"/>
        </w:rPr>
        <w:t> </w:t>
      </w:r>
      <w:r>
        <w:rPr>
          <w:rFonts w:ascii="宋体" w:hAnsi="宋体" w:cs="宋体" w:eastAsia="宋体" w:hint="default"/>
        </w:rPr>
        <w:t>270</w:t>
      </w:r>
      <w:r>
        <w:rPr>
          <w:rFonts w:ascii="宋体" w:hAnsi="宋体" w:cs="宋体" w:eastAsia="宋体" w:hint="default"/>
          <w:spacing w:val="-52"/>
        </w:rPr>
        <w:t> </w:t>
      </w:r>
      <w:r>
        <w:rPr/>
        <w:t>天）的超短期融资券，</w:t>
      </w:r>
    </w:p>
    <w:p>
      <w:pPr>
        <w:pStyle w:val="BodyText"/>
        <w:spacing w:line="357" w:lineRule="auto" w:before="133"/>
        <w:ind w:left="1398" w:right="834"/>
        <w:jc w:val="left"/>
      </w:pPr>
      <w:r>
        <w:rPr/>
        <w:t>该事项已经</w:t>
      </w:r>
      <w:r>
        <w:rPr>
          <w:spacing w:val="-42"/>
        </w:rPr>
        <w:t> </w:t>
      </w:r>
      <w:r>
        <w:rPr>
          <w:rFonts w:ascii="宋体" w:hAnsi="宋体" w:cs="宋体" w:eastAsia="宋体" w:hint="default"/>
        </w:rPr>
        <w:t>2016</w:t>
      </w:r>
      <w:r>
        <w:rPr>
          <w:rFonts w:ascii="宋体" w:hAnsi="宋体" w:cs="宋体" w:eastAsia="宋体" w:hint="default"/>
          <w:spacing w:val="-42"/>
        </w:rPr>
        <w:t> </w:t>
      </w:r>
      <w:r>
        <w:rPr/>
        <w:t>年第一次临时股东大会审议通过。</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5</w:t>
      </w:r>
      <w:r>
        <w:rPr>
          <w:rFonts w:ascii="宋体" w:hAnsi="宋体" w:cs="宋体" w:eastAsia="宋体" w:hint="default"/>
          <w:spacing w:val="-42"/>
        </w:rPr>
        <w:t> </w:t>
      </w:r>
      <w:r>
        <w:rPr/>
        <w:t>月公司收到了中国银行间市场交易</w:t>
      </w:r>
      <w:r>
        <w:rPr>
          <w:w w:val="100"/>
        </w:rPr>
        <w:t> </w:t>
      </w:r>
      <w:r>
        <w:rPr>
          <w:spacing w:val="-7"/>
          <w:w w:val="100"/>
        </w:rPr>
        <w:t>商协会的《接受注册通知书》（中市协注</w:t>
      </w:r>
      <w:r>
        <w:rPr>
          <w:rFonts w:ascii="宋体" w:hAnsi="宋体" w:cs="宋体" w:eastAsia="宋体" w:hint="default"/>
          <w:spacing w:val="-7"/>
          <w:w w:val="100"/>
        </w:rPr>
        <w:t>[2017]SCP137</w:t>
      </w:r>
      <w:r>
        <w:rPr>
          <w:rFonts w:ascii="宋体" w:hAnsi="宋体" w:cs="宋体" w:eastAsia="宋体" w:hint="default"/>
          <w:w w:val="100"/>
        </w:rPr>
        <w:t> </w:t>
      </w:r>
      <w:r>
        <w:rPr>
          <w:spacing w:val="-10"/>
          <w:w w:val="100"/>
        </w:rPr>
        <w:t>号），同意接受公司超短期融资券注册，注</w:t>
      </w:r>
      <w:r>
        <w:rPr>
          <w:spacing w:val="-70"/>
          <w:w w:val="100"/>
        </w:rPr>
        <w:t> </w:t>
      </w:r>
      <w:r>
        <w:rPr>
          <w:spacing w:val="-70"/>
          <w:w w:val="100"/>
        </w:rPr>
      </w:r>
      <w:r>
        <w:rPr/>
        <w:t>册金额为 </w:t>
      </w:r>
      <w:r>
        <w:rPr>
          <w:rFonts w:ascii="宋体" w:hAnsi="宋体" w:cs="宋体" w:eastAsia="宋体" w:hint="default"/>
        </w:rPr>
        <w:t>12 </w:t>
      </w:r>
      <w:r>
        <w:rPr/>
        <w:t>亿元，注册额度自通知书落款之日起 </w:t>
      </w:r>
      <w:r>
        <w:rPr>
          <w:rFonts w:ascii="宋体" w:hAnsi="宋体" w:cs="宋体" w:eastAsia="宋体" w:hint="default"/>
        </w:rPr>
        <w:t>2</w:t>
      </w:r>
      <w:r>
        <w:rPr>
          <w:rFonts w:ascii="宋体" w:hAnsi="宋体" w:cs="宋体" w:eastAsia="宋体" w:hint="default"/>
          <w:spacing w:val="9"/>
        </w:rPr>
        <w:t> </w:t>
      </w:r>
      <w:r>
        <w:rPr/>
        <w:t>年内有效，由中国建设银行股份有限公司、</w:t>
      </w:r>
      <w:r>
        <w:rPr>
          <w:w w:val="100"/>
        </w:rPr>
        <w:t> </w:t>
      </w:r>
      <w:r>
        <w:rPr/>
        <w:t>宁波银行股份有限公司和中国银行股份有限公司联席主承销。公司在注册有效期内可分期发行超</w:t>
      </w:r>
      <w:r>
        <w:rPr>
          <w:spacing w:val="-97"/>
        </w:rPr>
        <w:t> </w:t>
      </w:r>
      <w:r>
        <w:rPr>
          <w:spacing w:val="-97"/>
        </w:rPr>
      </w:r>
      <w:r>
        <w:rPr/>
        <w:t>短期融资券。截至本报告出具日，相关材料准备工作正在进行中。</w:t>
      </w:r>
    </w:p>
    <w:p>
      <w:pPr>
        <w:pStyle w:val="BodyText"/>
        <w:spacing w:line="240" w:lineRule="auto" w:before="30"/>
        <w:ind w:left="1818" w:right="834"/>
        <w:jc w:val="left"/>
      </w:pPr>
      <w:r>
        <w:rPr>
          <w:rFonts w:ascii="宋体" w:hAnsi="宋体" w:cs="宋体" w:eastAsia="宋体" w:hint="default"/>
        </w:rPr>
        <w:t>4</w:t>
      </w:r>
      <w:r>
        <w:rPr/>
        <w:t>、经公司第三届董事会第十四次会议于</w:t>
      </w:r>
      <w:r>
        <w:rPr>
          <w:spacing w:val="-53"/>
        </w:rPr>
        <w:t> </w:t>
      </w:r>
      <w:r>
        <w:rPr>
          <w:rFonts w:ascii="宋体" w:hAnsi="宋体" w:cs="宋体" w:eastAsia="宋体" w:hint="default"/>
        </w:rPr>
        <w:t>2017</w:t>
      </w:r>
      <w:r>
        <w:rPr>
          <w:rFonts w:ascii="宋体" w:hAnsi="宋体" w:cs="宋体" w:eastAsia="宋体" w:hint="default"/>
          <w:spacing w:val="-50"/>
        </w:rPr>
        <w:t> </w:t>
      </w:r>
      <w:r>
        <w:rPr/>
        <w:t>年审议通过，公司拟申请注册发行总额不超过</w:t>
      </w:r>
    </w:p>
    <w:p>
      <w:pPr>
        <w:pStyle w:val="BodyText"/>
        <w:spacing w:line="240" w:lineRule="auto" w:before="133"/>
        <w:ind w:left="1398" w:right="0"/>
        <w:jc w:val="both"/>
      </w:pPr>
      <w:r>
        <w:rPr/>
        <w:t>人民币</w:t>
      </w:r>
      <w:r>
        <w:rPr>
          <w:spacing w:val="-48"/>
        </w:rPr>
        <w:t> </w:t>
      </w:r>
      <w:r>
        <w:rPr>
          <w:rFonts w:ascii="宋体" w:hAnsi="宋体" w:cs="宋体" w:eastAsia="宋体" w:hint="default"/>
        </w:rPr>
        <w:t>6</w:t>
      </w:r>
      <w:r>
        <w:rPr>
          <w:rFonts w:ascii="宋体" w:hAnsi="宋体" w:cs="宋体" w:eastAsia="宋体" w:hint="default"/>
          <w:spacing w:val="-48"/>
        </w:rPr>
        <w:t> </w:t>
      </w:r>
      <w:r>
        <w:rPr>
          <w:spacing w:val="-10"/>
        </w:rPr>
        <w:t>亿元（含</w:t>
      </w:r>
      <w:r>
        <w:rPr>
          <w:spacing w:val="-48"/>
        </w:rPr>
        <w:t> </w:t>
      </w:r>
      <w:r>
        <w:rPr>
          <w:rFonts w:ascii="宋体" w:hAnsi="宋体" w:cs="宋体" w:eastAsia="宋体" w:hint="default"/>
        </w:rPr>
        <w:t>6</w:t>
      </w:r>
      <w:r>
        <w:rPr>
          <w:rFonts w:ascii="宋体" w:hAnsi="宋体" w:cs="宋体" w:eastAsia="宋体" w:hint="default"/>
          <w:spacing w:val="-50"/>
        </w:rPr>
        <w:t> </w:t>
      </w:r>
      <w:r>
        <w:rPr>
          <w:spacing w:val="-5"/>
        </w:rPr>
        <w:t>亿元）的长期限含权中期票据，该事项已经</w:t>
      </w:r>
      <w:r>
        <w:rPr>
          <w:spacing w:val="-48"/>
        </w:rPr>
        <w:t> </w:t>
      </w:r>
      <w:r>
        <w:rPr>
          <w:rFonts w:ascii="宋体" w:hAnsi="宋体" w:cs="宋体" w:eastAsia="宋体" w:hint="default"/>
        </w:rPr>
        <w:t>2017</w:t>
      </w:r>
      <w:r>
        <w:rPr>
          <w:rFonts w:ascii="宋体" w:hAnsi="宋体" w:cs="宋体" w:eastAsia="宋体" w:hint="default"/>
          <w:spacing w:val="-48"/>
        </w:rPr>
        <w:t> </w:t>
      </w:r>
      <w:r>
        <w:rPr/>
        <w:t>年第一次临时股东大会审议</w:t>
      </w:r>
    </w:p>
    <w:p>
      <w:pPr>
        <w:spacing w:after="0" w:line="240" w:lineRule="auto"/>
        <w:jc w:val="both"/>
        <w:sectPr>
          <w:pgSz w:w="11910" w:h="16840"/>
          <w:pgMar w:header="882" w:footer="1195" w:top="1120" w:bottom="1380" w:left="400" w:right="320"/>
        </w:sectPr>
      </w:pPr>
    </w:p>
    <w:p>
      <w:pPr>
        <w:spacing w:line="240" w:lineRule="auto" w:before="1"/>
        <w:rPr>
          <w:rFonts w:ascii="宋体" w:hAnsi="宋体" w:cs="宋体" w:eastAsia="宋体" w:hint="default"/>
          <w:sz w:val="25"/>
          <w:szCs w:val="25"/>
        </w:rPr>
      </w:pPr>
    </w:p>
    <w:p>
      <w:pPr>
        <w:pStyle w:val="BodyText"/>
        <w:spacing w:line="357" w:lineRule="auto" w:before="36"/>
        <w:ind w:left="1538" w:right="907"/>
        <w:jc w:val="both"/>
      </w:pPr>
      <w:r>
        <w:rPr>
          <w:spacing w:val="8"/>
          <w:w w:val="100"/>
        </w:rPr>
        <w:t>通过，公司于</w:t>
      </w:r>
      <w:r>
        <w:rPr>
          <w:w w:val="100"/>
        </w:rPr>
        <w:t> </w:t>
      </w:r>
      <w:r>
        <w:rPr>
          <w:rFonts w:ascii="宋体" w:hAnsi="宋体" w:cs="宋体" w:eastAsia="宋体" w:hint="default"/>
          <w:spacing w:val="-1"/>
          <w:w w:val="100"/>
        </w:rPr>
        <w:t>2018</w:t>
      </w:r>
      <w:r>
        <w:rPr>
          <w:rFonts w:ascii="宋体" w:hAnsi="宋体" w:cs="宋体" w:eastAsia="宋体" w:hint="default"/>
          <w:w w:val="100"/>
        </w:rPr>
        <w:t> </w:t>
      </w:r>
      <w:r>
        <w:rPr>
          <w:w w:val="100"/>
        </w:rPr>
        <w:t>年 </w:t>
      </w:r>
      <w:r>
        <w:rPr>
          <w:rFonts w:ascii="宋体" w:hAnsi="宋体" w:cs="宋体" w:eastAsia="宋体" w:hint="default"/>
          <w:w w:val="100"/>
        </w:rPr>
        <w:t>3</w:t>
      </w:r>
      <w:r>
        <w:rPr>
          <w:rFonts w:ascii="宋体" w:hAnsi="宋体" w:cs="宋体" w:eastAsia="宋体" w:hint="default"/>
          <w:spacing w:val="64"/>
          <w:w w:val="100"/>
        </w:rPr>
        <w:t> </w:t>
      </w:r>
      <w:r>
        <w:rPr>
          <w:spacing w:val="5"/>
          <w:w w:val="100"/>
        </w:rPr>
        <w:t>月收到中国银行间市场交易商协会《接受注册通知书》（中市协注</w:t>
      </w:r>
      <w:r>
        <w:rPr>
          <w:w w:val="100"/>
        </w:rPr>
        <w:t> </w:t>
      </w:r>
      <w:r>
        <w:rPr>
          <w:rFonts w:ascii="宋体" w:hAnsi="宋体" w:cs="宋体" w:eastAsia="宋体" w:hint="default"/>
          <w:spacing w:val="-5"/>
          <w:w w:val="100"/>
        </w:rPr>
        <w:t>[2018]MTN139</w:t>
      </w:r>
      <w:r>
        <w:rPr>
          <w:spacing w:val="-5"/>
          <w:w w:val="100"/>
        </w:rPr>
        <w:t>），同意接受公司中期票据注册，注册金额为</w:t>
      </w:r>
      <w:r>
        <w:rPr>
          <w:spacing w:val="-45"/>
          <w:w w:val="100"/>
        </w:rPr>
        <w:t> </w:t>
      </w:r>
      <w:r>
        <w:rPr>
          <w:rFonts w:ascii="宋体" w:hAnsi="宋体" w:cs="宋体" w:eastAsia="宋体" w:hint="default"/>
          <w:w w:val="100"/>
        </w:rPr>
        <w:t>6</w:t>
      </w:r>
      <w:r>
        <w:rPr>
          <w:rFonts w:ascii="宋体" w:hAnsi="宋体" w:cs="宋体" w:eastAsia="宋体" w:hint="default"/>
          <w:spacing w:val="-42"/>
          <w:w w:val="100"/>
        </w:rPr>
        <w:t> </w:t>
      </w:r>
      <w:r>
        <w:rPr>
          <w:spacing w:val="-2"/>
          <w:w w:val="100"/>
        </w:rPr>
        <w:t>亿元，注册额度自通知书落款</w:t>
      </w:r>
      <w:r>
        <w:rPr>
          <w:spacing w:val="7"/>
          <w:w w:val="100"/>
        </w:rPr>
        <w:t> </w:t>
      </w:r>
      <w:r>
        <w:rPr>
          <w:rFonts w:ascii="宋体" w:hAnsi="宋体" w:cs="宋体" w:eastAsia="宋体" w:hint="default"/>
          <w:w w:val="100"/>
        </w:rPr>
        <w:t>2</w:t>
      </w:r>
      <w:r>
        <w:rPr>
          <w:rFonts w:ascii="宋体" w:hAnsi="宋体" w:cs="宋体" w:eastAsia="宋体" w:hint="default"/>
          <w:spacing w:val="5"/>
          <w:w w:val="100"/>
        </w:rPr>
        <w:t> </w:t>
      </w:r>
      <w:r>
        <w:rPr>
          <w:w w:val="100"/>
        </w:rPr>
        <w:t>年 </w:t>
      </w:r>
      <w:r>
        <w:rPr>
          <w:spacing w:val="-1"/>
        </w:rPr>
        <w:t>内有效，由中国民生银行股份有限公司和中国光大银行股份有限公司联席主承销，公司在注册有</w:t>
      </w:r>
      <w:r>
        <w:rPr>
          <w:spacing w:val="-56"/>
        </w:rPr>
        <w:t> </w:t>
      </w:r>
      <w:r>
        <w:rPr>
          <w:spacing w:val="-56"/>
        </w:rPr>
      </w:r>
      <w:r>
        <w:rPr/>
        <w:t>效期内可分期发行中期票据。</w:t>
      </w:r>
    </w:p>
    <w:p>
      <w:pPr>
        <w:pStyle w:val="BodyText"/>
        <w:spacing w:line="357" w:lineRule="auto" w:before="30"/>
        <w:ind w:left="1538" w:right="907" w:firstLine="419"/>
        <w:jc w:val="both"/>
      </w:pPr>
      <w:r>
        <w:rPr>
          <w:rFonts w:ascii="宋体" w:hAnsi="宋体" w:cs="宋体" w:eastAsia="宋体" w:hint="default"/>
        </w:rPr>
        <w:t>5</w:t>
      </w:r>
      <w:r>
        <w:rPr/>
        <w:t>、公司</w:t>
      </w:r>
      <w:r>
        <w:rPr>
          <w:spacing w:val="-34"/>
        </w:rPr>
        <w:t> </w:t>
      </w:r>
      <w:r>
        <w:rPr>
          <w:rFonts w:ascii="宋体" w:hAnsi="宋体" w:cs="宋体" w:eastAsia="宋体" w:hint="default"/>
        </w:rPr>
        <w:t>2017</w:t>
      </w:r>
      <w:r>
        <w:rPr>
          <w:rFonts w:ascii="宋体" w:hAnsi="宋体" w:cs="宋体" w:eastAsia="宋体" w:hint="default"/>
          <w:spacing w:val="-34"/>
        </w:rPr>
        <w:t> </w:t>
      </w:r>
      <w:r>
        <w:rPr/>
        <w:t>年出售持有北京韬盛科技发展有限公司的</w:t>
      </w:r>
      <w:r>
        <w:rPr>
          <w:spacing w:val="-34"/>
        </w:rPr>
        <w:t> </w:t>
      </w:r>
      <w:r>
        <w:rPr>
          <w:rFonts w:ascii="宋体" w:hAnsi="宋体" w:cs="宋体" w:eastAsia="宋体" w:hint="default"/>
        </w:rPr>
        <w:t>4.68%</w:t>
      </w:r>
      <w:r>
        <w:rPr/>
        <w:t>股权，根据与舟山九铭投资合</w:t>
      </w:r>
      <w:r>
        <w:rPr>
          <w:w w:val="100"/>
        </w:rPr>
        <w:t> </w:t>
      </w:r>
      <w:r>
        <w:rPr>
          <w:spacing w:val="-7"/>
          <w:w w:val="100"/>
        </w:rPr>
        <w:t>伙企业（有限合伙）签订的《关于北京韬盛科技发展有限公司股权转让协议》，本次股权转让款为</w:t>
      </w:r>
      <w:r>
        <w:rPr>
          <w:spacing w:val="-66"/>
          <w:w w:val="100"/>
        </w:rPr>
        <w:t> </w:t>
      </w:r>
      <w:r>
        <w:rPr>
          <w:spacing w:val="-66"/>
          <w:w w:val="100"/>
        </w:rPr>
      </w:r>
      <w:r>
        <w:rPr>
          <w:rFonts w:ascii="宋体" w:hAnsi="宋体" w:cs="宋体" w:eastAsia="宋体" w:hint="default"/>
        </w:rPr>
        <w:t>202.67</w:t>
      </w:r>
      <w:r>
        <w:rPr>
          <w:rFonts w:ascii="宋体" w:hAnsi="宋体" w:cs="宋体" w:eastAsia="宋体" w:hint="default"/>
          <w:spacing w:val="-44"/>
        </w:rPr>
        <w:t> </w:t>
      </w:r>
      <w:r>
        <w:rPr/>
        <w:t>万，根据公司</w:t>
      </w:r>
      <w:r>
        <w:rPr>
          <w:spacing w:val="-44"/>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11</w:t>
      </w:r>
      <w:r>
        <w:rPr>
          <w:rFonts w:ascii="宋体" w:hAnsi="宋体" w:cs="宋体" w:eastAsia="宋体" w:hint="default"/>
          <w:spacing w:val="-46"/>
        </w:rPr>
        <w:t> </w:t>
      </w:r>
      <w:r>
        <w:rPr/>
        <w:t>月</w:t>
      </w:r>
      <w:r>
        <w:rPr>
          <w:spacing w:val="-44"/>
        </w:rPr>
        <w:t> </w:t>
      </w:r>
      <w:r>
        <w:rPr>
          <w:rFonts w:ascii="宋体" w:hAnsi="宋体" w:cs="宋体" w:eastAsia="宋体" w:hint="default"/>
        </w:rPr>
        <w:t>20</w:t>
      </w:r>
      <w:r>
        <w:rPr>
          <w:rFonts w:ascii="宋体" w:hAnsi="宋体" w:cs="宋体" w:eastAsia="宋体" w:hint="default"/>
          <w:spacing w:val="-46"/>
        </w:rPr>
        <w:t> </w:t>
      </w:r>
      <w:r>
        <w:rPr/>
        <w:t>日与郝海涛、北京韬盛科技发展有限公司签订的《北京韬</w:t>
      </w:r>
      <w:r>
        <w:rPr>
          <w:w w:val="100"/>
        </w:rPr>
        <w:t> </w:t>
      </w:r>
      <w:r>
        <w:rPr>
          <w:spacing w:val="-6"/>
          <w:w w:val="100"/>
        </w:rPr>
        <w:t>盛科技发展有限公投资协议》和《关于北京韬盛科技发展有限公司投资协议之补充协议》，公司投</w:t>
      </w:r>
      <w:r>
        <w:rPr>
          <w:w w:val="100"/>
        </w:rPr>
        <w:t> </w:t>
      </w:r>
      <w:r>
        <w:rPr>
          <w:spacing w:val="-1"/>
          <w:w w:val="100"/>
        </w:rPr>
        <w:t>资成本</w:t>
      </w:r>
      <w:r>
        <w:rPr>
          <w:spacing w:val="-49"/>
          <w:w w:val="100"/>
        </w:rPr>
        <w:t> </w:t>
      </w:r>
      <w:r>
        <w:rPr>
          <w:rFonts w:ascii="宋体" w:hAnsi="宋体" w:cs="宋体" w:eastAsia="宋体" w:hint="default"/>
          <w:spacing w:val="-1"/>
          <w:w w:val="100"/>
        </w:rPr>
        <w:t>1800</w:t>
      </w:r>
      <w:r>
        <w:rPr>
          <w:rFonts w:ascii="宋体" w:hAnsi="宋体" w:cs="宋体" w:eastAsia="宋体" w:hint="default"/>
          <w:spacing w:val="-49"/>
          <w:w w:val="100"/>
        </w:rPr>
        <w:t> </w:t>
      </w:r>
      <w:r>
        <w:rPr>
          <w:spacing w:val="-2"/>
          <w:w w:val="100"/>
        </w:rPr>
        <w:t>万与本次股权转让款之间的差额部分</w:t>
      </w:r>
      <w:r>
        <w:rPr>
          <w:spacing w:val="-48"/>
          <w:w w:val="100"/>
        </w:rPr>
        <w:t> </w:t>
      </w:r>
      <w:r>
        <w:rPr>
          <w:rFonts w:ascii="宋体" w:hAnsi="宋体" w:cs="宋体" w:eastAsia="宋体" w:hint="default"/>
          <w:spacing w:val="-2"/>
          <w:w w:val="100"/>
        </w:rPr>
        <w:t>1,597.33</w:t>
      </w:r>
      <w:r>
        <w:rPr>
          <w:rFonts w:ascii="宋体" w:hAnsi="宋体" w:cs="宋体" w:eastAsia="宋体" w:hint="default"/>
          <w:spacing w:val="-49"/>
          <w:w w:val="100"/>
        </w:rPr>
        <w:t> </w:t>
      </w:r>
      <w:r>
        <w:rPr>
          <w:spacing w:val="-7"/>
          <w:w w:val="100"/>
        </w:rPr>
        <w:t>万元</w:t>
      </w:r>
      <w:r>
        <w:rPr>
          <w:rFonts w:ascii="宋体" w:hAnsi="宋体" w:cs="宋体" w:eastAsia="宋体" w:hint="default"/>
          <w:spacing w:val="-7"/>
          <w:w w:val="100"/>
        </w:rPr>
        <w:t>.</w:t>
      </w:r>
      <w:r>
        <w:rPr>
          <w:spacing w:val="-7"/>
          <w:w w:val="100"/>
        </w:rPr>
        <w:t>由郝海涛对本公司进行赔偿，根</w:t>
      </w:r>
    </w:p>
    <w:p>
      <w:pPr>
        <w:pStyle w:val="BodyText"/>
        <w:spacing w:line="357" w:lineRule="auto" w:before="30"/>
        <w:ind w:left="1538" w:right="908"/>
        <w:jc w:val="both"/>
      </w:pPr>
      <w:r>
        <w:rPr>
          <w:spacing w:val="-5"/>
          <w:w w:val="100"/>
        </w:rPr>
        <w:t>据《关于支付股权转让款及补偿款的协议》，该补偿款由郝海涛在</w:t>
      </w:r>
      <w:r>
        <w:rPr>
          <w:spacing w:val="-45"/>
          <w:w w:val="100"/>
        </w:rPr>
        <w:t> </w:t>
      </w:r>
      <w:r>
        <w:rPr>
          <w:rFonts w:ascii="宋体" w:hAnsi="宋体" w:cs="宋体" w:eastAsia="宋体" w:hint="default"/>
          <w:w w:val="100"/>
        </w:rPr>
        <w:t>10</w:t>
      </w:r>
      <w:r>
        <w:rPr>
          <w:rFonts w:ascii="宋体" w:hAnsi="宋体" w:cs="宋体" w:eastAsia="宋体" w:hint="default"/>
          <w:spacing w:val="-45"/>
          <w:w w:val="100"/>
        </w:rPr>
        <w:t> </w:t>
      </w:r>
      <w:r>
        <w:rPr>
          <w:spacing w:val="-2"/>
          <w:w w:val="100"/>
        </w:rPr>
        <w:t>年期限内以现金、房产、北</w:t>
      </w:r>
      <w:r>
        <w:rPr>
          <w:w w:val="100"/>
        </w:rPr>
        <w:t> </w:t>
      </w:r>
      <w:r>
        <w:rPr>
          <w:spacing w:val="-1"/>
        </w:rPr>
        <w:t>京韬盛科技发展有限公司股权等方式进行支付，因公司是否能收到该部分补偿款及收款时间不确</w:t>
      </w:r>
      <w:r>
        <w:rPr>
          <w:spacing w:val="-55"/>
        </w:rPr>
        <w:t> </w:t>
      </w:r>
      <w:r>
        <w:rPr>
          <w:spacing w:val="-55"/>
        </w:rPr>
      </w:r>
      <w:r>
        <w:rPr/>
        <w:t>定，本次未确认与该部分对应的收益及应收款项，待款项实际收到时计入收到当期的收益。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260" w:right="360"/>
        </w:sectPr>
      </w:pPr>
    </w:p>
    <w:p>
      <w:pPr>
        <w:pStyle w:val="Heading3"/>
        <w:tabs>
          <w:tab w:pos="2377" w:val="left" w:leader="none"/>
        </w:tabs>
        <w:spacing w:line="290" w:lineRule="auto" w:before="169"/>
        <w:ind w:left="1538" w:right="0"/>
        <w:jc w:val="left"/>
        <w:rPr>
          <w:b w:val="0"/>
          <w:bCs w:val="0"/>
        </w:rPr>
      </w:pPr>
      <w:r>
        <w:rPr/>
        <w:t>十五、</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3"/>
        <w:tabs>
          <w:tab w:pos="2377" w:val="left" w:leader="none"/>
        </w:tabs>
        <w:spacing w:line="240" w:lineRule="auto" w:before="14"/>
        <w:ind w:left="1679"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2284" w:val="left" w:leader="none"/>
        </w:tabs>
        <w:spacing w:line="240" w:lineRule="auto" w:before="56"/>
        <w:ind w:left="15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60"/>
          <w:cols w:num="2" w:equalWidth="0">
            <w:col w:w="5119" w:space="1402"/>
            <w:col w:w="4769"/>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57"/>
        <w:gridCol w:w="1376"/>
        <w:gridCol w:w="641"/>
        <w:gridCol w:w="1270"/>
        <w:gridCol w:w="643"/>
        <w:gridCol w:w="1373"/>
        <w:gridCol w:w="1376"/>
        <w:gridCol w:w="641"/>
        <w:gridCol w:w="1273"/>
        <w:gridCol w:w="535"/>
        <w:gridCol w:w="1371"/>
      </w:tblGrid>
      <w:tr>
        <w:trPr>
          <w:trHeight w:val="269" w:hRule="exact"/>
        </w:trPr>
        <w:tc>
          <w:tcPr>
            <w:tcW w:w="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53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557" w:type="dxa"/>
            <w:vMerge/>
            <w:tcBorders>
              <w:left w:val="single" w:sz="4" w:space="0" w:color="000000"/>
              <w:right w:val="single" w:sz="4" w:space="0" w:color="000000"/>
            </w:tcBorders>
          </w:tcPr>
          <w:p>
            <w:pP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99" w:right="503"/>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99" w:right="501"/>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08" w:hRule="exact"/>
        </w:trPr>
        <w:tc>
          <w:tcPr>
            <w:tcW w:w="557" w:type="dxa"/>
            <w:vMerge/>
            <w:tcBorders>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137"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47" w:hanging="44"/>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1373" w:type="dxa"/>
            <w:vMerge/>
            <w:tcBorders>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0" w:right="13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27" w:right="83"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71" w:type="dxa"/>
            <w:vMerge/>
            <w:tcBorders>
              <w:left w:val="single" w:sz="4" w:space="0" w:color="000000"/>
              <w:bottom w:val="single" w:sz="4" w:space="0" w:color="000000"/>
              <w:right w:val="single" w:sz="4" w:space="0" w:color="000000"/>
            </w:tcBorders>
          </w:tcPr>
          <w:p>
            <w:pPr/>
          </w:p>
        </w:tc>
      </w:tr>
      <w:tr>
        <w:trPr>
          <w:trHeight w:val="234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44"/>
                <w:sz w:val="18"/>
                <w:szCs w:val="18"/>
              </w:rPr>
              <w:t> </w:t>
            </w:r>
            <w:r>
              <w:rPr>
                <w:rFonts w:ascii="宋体" w:hAnsi="宋体" w:cs="宋体" w:eastAsia="宋体" w:hint="default"/>
                <w:sz w:val="18"/>
                <w:szCs w:val="18"/>
              </w:rPr>
              <w:t>项</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宋体" w:hAnsi="宋体" w:cs="宋体" w:eastAsia="宋体" w:hint="default"/>
                <w:sz w:val="18"/>
                <w:szCs w:val="18"/>
              </w:rPr>
              <w:t>额</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4"/>
                <w:sz w:val="18"/>
                <w:szCs w:val="18"/>
              </w:rPr>
              <w:t> </w:t>
            </w:r>
            <w:r>
              <w:rPr>
                <w:rFonts w:ascii="宋体" w:hAnsi="宋体" w:cs="宋体" w:eastAsia="宋体" w:hint="default"/>
                <w:sz w:val="18"/>
                <w:szCs w:val="18"/>
              </w:rPr>
              <w:t>大</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pacing w:val="44"/>
                <w:sz w:val="18"/>
                <w:szCs w:val="18"/>
              </w:rPr>
              <w:t> </w:t>
            </w:r>
            <w:r>
              <w:rPr>
                <w:rFonts w:ascii="宋体" w:hAnsi="宋体" w:cs="宋体" w:eastAsia="宋体" w:hint="default"/>
                <w:sz w:val="18"/>
                <w:szCs w:val="18"/>
              </w:rPr>
              <w:t>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独</w:t>
            </w:r>
            <w:r>
              <w:rPr>
                <w:rFonts w:ascii="宋体" w:hAnsi="宋体" w:cs="宋体" w:eastAsia="宋体" w:hint="default"/>
                <w:spacing w:val="44"/>
                <w:sz w:val="18"/>
                <w:szCs w:val="18"/>
              </w:rPr>
              <w:t> </w:t>
            </w:r>
            <w:r>
              <w:rPr>
                <w:rFonts w:ascii="宋体" w:hAnsi="宋体" w:cs="宋体" w:eastAsia="宋体" w:hint="default"/>
                <w:sz w:val="18"/>
                <w:szCs w:val="18"/>
              </w:rPr>
              <w:t>计</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pacing w:val="44"/>
                <w:sz w:val="18"/>
                <w:szCs w:val="18"/>
              </w:rPr>
              <w:t> </w:t>
            </w:r>
            <w:r>
              <w:rPr>
                <w:rFonts w:ascii="宋体" w:hAnsi="宋体" w:cs="宋体" w:eastAsia="宋体" w:hint="default"/>
                <w:sz w:val="18"/>
                <w:szCs w:val="18"/>
              </w:rPr>
              <w:t>坏</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44"/>
                <w:sz w:val="18"/>
                <w:szCs w:val="18"/>
              </w:rPr>
              <w:t> </w:t>
            </w:r>
            <w:r>
              <w:rPr>
                <w:rFonts w:ascii="宋体" w:hAnsi="宋体" w:cs="宋体" w:eastAsia="宋体" w:hint="default"/>
                <w:sz w:val="18"/>
                <w:szCs w:val="18"/>
              </w:rPr>
              <w:t>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44"/>
                <w:sz w:val="18"/>
                <w:szCs w:val="18"/>
              </w:rPr>
              <w:t> </w:t>
            </w:r>
            <w:r>
              <w:rPr>
                <w:rFonts w:ascii="宋体" w:hAnsi="宋体" w:cs="宋体" w:eastAsia="宋体" w:hint="default"/>
                <w:sz w:val="18"/>
                <w:szCs w:val="18"/>
              </w:rPr>
              <w:t>的</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4"/>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22,300,000.00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12.01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 w:right="0"/>
              <w:jc w:val="center"/>
              <w:rPr>
                <w:rFonts w:ascii="宋体" w:hAnsi="宋体" w:cs="宋体" w:eastAsia="宋体" w:hint="default"/>
                <w:sz w:val="18"/>
                <w:szCs w:val="18"/>
              </w:rPr>
            </w:pPr>
            <w:r>
              <w:rPr>
                <w:rFonts w:ascii="宋体"/>
                <w:sz w:val="18"/>
              </w:rPr>
              <w:t>6,690,000.00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6"/>
              <w:jc w:val="right"/>
              <w:rPr>
                <w:rFonts w:ascii="宋体" w:hAnsi="宋体" w:cs="宋体" w:eastAsia="宋体" w:hint="default"/>
                <w:sz w:val="18"/>
                <w:szCs w:val="18"/>
              </w:rPr>
            </w:pPr>
            <w:r>
              <w:rPr>
                <w:rFonts w:ascii="宋体"/>
                <w:sz w:val="18"/>
              </w:rPr>
              <w:t>30.00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15,610,000.00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69,499,690.00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27.09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 w:right="0"/>
              <w:jc w:val="center"/>
              <w:rPr>
                <w:rFonts w:ascii="宋体" w:hAnsi="宋体" w:cs="宋体" w:eastAsia="宋体" w:hint="default"/>
                <w:sz w:val="18"/>
                <w:szCs w:val="18"/>
              </w:rPr>
            </w:pPr>
            <w:r>
              <w:rPr>
                <w:rFonts w:ascii="宋体"/>
                <w:sz w:val="18"/>
              </w:rPr>
              <w:t>16,750,166.89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center"/>
              <w:rPr>
                <w:rFonts w:ascii="宋体" w:hAnsi="宋体" w:cs="宋体" w:eastAsia="宋体" w:hint="default"/>
                <w:sz w:val="18"/>
                <w:szCs w:val="18"/>
              </w:rPr>
            </w:pPr>
            <w:r>
              <w:rPr>
                <w:rFonts w:ascii="宋体"/>
                <w:sz w:val="18"/>
              </w:rPr>
              <w:t>24.10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52,749,523.11</w:t>
            </w:r>
          </w:p>
        </w:tc>
      </w:tr>
      <w:tr>
        <w:trPr>
          <w:trHeight w:val="2345"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4"/>
                <w:sz w:val="18"/>
                <w:szCs w:val="18"/>
              </w:rPr>
              <w:t> </w:t>
            </w:r>
            <w:r>
              <w:rPr>
                <w:rFonts w:ascii="宋体" w:hAnsi="宋体" w:cs="宋体" w:eastAsia="宋体" w:hint="default"/>
                <w:sz w:val="18"/>
                <w:szCs w:val="18"/>
              </w:rPr>
              <w:t>信</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4"/>
                <w:sz w:val="18"/>
                <w:szCs w:val="18"/>
              </w:rPr>
              <w:t> </w:t>
            </w:r>
            <w:r>
              <w:rPr>
                <w:rFonts w:ascii="宋体" w:hAnsi="宋体" w:cs="宋体" w:eastAsia="宋体" w:hint="default"/>
                <w:sz w:val="18"/>
                <w:szCs w:val="18"/>
              </w:rPr>
              <w:t>风</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pacing w:val="44"/>
                <w:sz w:val="18"/>
                <w:szCs w:val="18"/>
              </w:rPr>
              <w:t> </w:t>
            </w:r>
            <w:r>
              <w:rPr>
                <w:rFonts w:ascii="宋体" w:hAnsi="宋体" w:cs="宋体" w:eastAsia="宋体" w:hint="default"/>
                <w:sz w:val="18"/>
                <w:szCs w:val="18"/>
              </w:rPr>
              <w:t>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征</w:t>
            </w:r>
            <w:r>
              <w:rPr>
                <w:rFonts w:ascii="宋体" w:hAnsi="宋体" w:cs="宋体" w:eastAsia="宋体" w:hint="default"/>
                <w:spacing w:val="44"/>
                <w:sz w:val="18"/>
                <w:szCs w:val="18"/>
              </w:rPr>
              <w:t> </w:t>
            </w:r>
            <w:r>
              <w:rPr>
                <w:rFonts w:ascii="宋体" w:hAnsi="宋体" w:cs="宋体" w:eastAsia="宋体" w:hint="default"/>
                <w:sz w:val="18"/>
                <w:szCs w:val="18"/>
              </w:rPr>
              <w:t>组</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4"/>
                <w:sz w:val="18"/>
                <w:szCs w:val="18"/>
              </w:rPr>
              <w:t> </w:t>
            </w:r>
            <w:r>
              <w:rPr>
                <w:rFonts w:ascii="宋体" w:hAnsi="宋体" w:cs="宋体" w:eastAsia="宋体" w:hint="default"/>
                <w:sz w:val="18"/>
                <w:szCs w:val="18"/>
              </w:rPr>
              <w:t>计</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pacing w:val="44"/>
                <w:sz w:val="18"/>
                <w:szCs w:val="18"/>
              </w:rPr>
              <w:t> </w:t>
            </w:r>
            <w:r>
              <w:rPr>
                <w:rFonts w:ascii="宋体" w:hAnsi="宋体" w:cs="宋体" w:eastAsia="宋体" w:hint="default"/>
                <w:sz w:val="18"/>
                <w:szCs w:val="18"/>
              </w:rPr>
              <w:t>坏</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44"/>
                <w:sz w:val="18"/>
                <w:szCs w:val="18"/>
              </w:rPr>
              <w:t> </w:t>
            </w:r>
            <w:r>
              <w:rPr>
                <w:rFonts w:ascii="宋体" w:hAnsi="宋体" w:cs="宋体" w:eastAsia="宋体" w:hint="default"/>
                <w:sz w:val="18"/>
                <w:szCs w:val="18"/>
              </w:rPr>
              <w:t>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44"/>
                <w:sz w:val="18"/>
                <w:szCs w:val="18"/>
              </w:rPr>
              <w:t> </w:t>
            </w:r>
            <w:r>
              <w:rPr>
                <w:rFonts w:ascii="宋体" w:hAnsi="宋体" w:cs="宋体" w:eastAsia="宋体" w:hint="default"/>
                <w:sz w:val="18"/>
                <w:szCs w:val="18"/>
              </w:rPr>
              <w:t>的</w:t>
            </w:r>
          </w:p>
          <w:p>
            <w:pPr>
              <w:pStyle w:val="TableParagraph"/>
              <w:spacing w:line="232" w:lineRule="exact" w:before="24"/>
              <w:ind w:left="26" w:right="24"/>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4"/>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154,353,337.39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z w:val="18"/>
              </w:rPr>
              <w:t>83.17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sz w:val="18"/>
              </w:rPr>
              <w:t>14,950,616.02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9.69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139,402,721.37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187,096,538.49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72.91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 w:right="0"/>
              <w:jc w:val="center"/>
              <w:rPr>
                <w:rFonts w:ascii="宋体" w:hAnsi="宋体" w:cs="宋体" w:eastAsia="宋体" w:hint="default"/>
                <w:sz w:val="18"/>
                <w:szCs w:val="18"/>
              </w:rPr>
            </w:pPr>
            <w:r>
              <w:rPr>
                <w:rFonts w:ascii="宋体"/>
                <w:sz w:val="18"/>
              </w:rPr>
              <w:t>18,425,569.31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center"/>
              <w:rPr>
                <w:rFonts w:ascii="宋体" w:hAnsi="宋体" w:cs="宋体" w:eastAsia="宋体" w:hint="default"/>
                <w:sz w:val="18"/>
                <w:szCs w:val="18"/>
              </w:rPr>
            </w:pPr>
            <w:r>
              <w:rPr>
                <w:rFonts w:ascii="宋体"/>
                <w:sz w:val="18"/>
              </w:rPr>
              <w:t>9.85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168,670,969.18</w:t>
            </w:r>
          </w:p>
        </w:tc>
      </w:tr>
    </w:tbl>
    <w:p>
      <w:pPr>
        <w:spacing w:after="0" w:line="205" w:lineRule="exact"/>
        <w:jc w:val="right"/>
        <w:rPr>
          <w:rFonts w:ascii="宋体" w:hAnsi="宋体" w:cs="宋体" w:eastAsia="宋体" w:hint="default"/>
          <w:sz w:val="18"/>
          <w:szCs w:val="18"/>
        </w:rPr>
        <w:sectPr>
          <w:type w:val="continuous"/>
          <w:pgSz w:w="11910" w:h="16840"/>
          <w:pgMar w:top="1120" w:bottom="1380" w:left="26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557"/>
        <w:gridCol w:w="1376"/>
        <w:gridCol w:w="641"/>
        <w:gridCol w:w="1270"/>
        <w:gridCol w:w="643"/>
        <w:gridCol w:w="1373"/>
        <w:gridCol w:w="1376"/>
        <w:gridCol w:w="641"/>
        <w:gridCol w:w="1273"/>
        <w:gridCol w:w="535"/>
        <w:gridCol w:w="1371"/>
      </w:tblGrid>
      <w:tr>
        <w:trPr>
          <w:trHeight w:val="258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44"/>
                <w:sz w:val="18"/>
                <w:szCs w:val="18"/>
              </w:rPr>
              <w:t> </w:t>
            </w:r>
            <w:r>
              <w:rPr>
                <w:rFonts w:ascii="宋体" w:hAnsi="宋体" w:cs="宋体" w:eastAsia="宋体" w:hint="default"/>
                <w:sz w:val="18"/>
                <w:szCs w:val="18"/>
              </w:rPr>
              <w:t>项</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宋体" w:hAnsi="宋体" w:cs="宋体" w:eastAsia="宋体" w:hint="default"/>
                <w:sz w:val="18"/>
                <w:szCs w:val="18"/>
              </w:rPr>
              <w:t>额</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44"/>
                <w:sz w:val="18"/>
                <w:szCs w:val="18"/>
              </w:rPr>
              <w:t> </w:t>
            </w:r>
            <w:r>
              <w:rPr>
                <w:rFonts w:ascii="宋体" w:hAnsi="宋体" w:cs="宋体" w:eastAsia="宋体" w:hint="default"/>
                <w:sz w:val="18"/>
                <w:szCs w:val="18"/>
              </w:rPr>
              <w:t>重</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4"/>
                <w:sz w:val="18"/>
                <w:szCs w:val="18"/>
              </w:rPr>
              <w:t> </w:t>
            </w:r>
            <w:r>
              <w:rPr>
                <w:rFonts w:ascii="宋体" w:hAnsi="宋体" w:cs="宋体" w:eastAsia="宋体" w:hint="default"/>
                <w:sz w:val="18"/>
                <w:szCs w:val="18"/>
              </w:rPr>
              <w:t>但</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44"/>
                <w:sz w:val="18"/>
                <w:szCs w:val="18"/>
              </w:rPr>
              <w:t> </w:t>
            </w:r>
            <w:r>
              <w:rPr>
                <w:rFonts w:ascii="宋体" w:hAnsi="宋体" w:cs="宋体" w:eastAsia="宋体" w:hint="default"/>
                <w:sz w:val="18"/>
                <w:szCs w:val="18"/>
              </w:rPr>
              <w:t>独</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宋体" w:hAnsi="宋体" w:cs="宋体" w:eastAsia="宋体" w:hint="default"/>
                <w:sz w:val="18"/>
                <w:szCs w:val="18"/>
              </w:rPr>
              <w:t>提</w:t>
            </w:r>
          </w:p>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坏</w:t>
            </w:r>
            <w:r>
              <w:rPr>
                <w:rFonts w:ascii="宋体" w:hAnsi="宋体" w:cs="宋体" w:eastAsia="宋体" w:hint="default"/>
                <w:spacing w:val="44"/>
                <w:sz w:val="18"/>
                <w:szCs w:val="18"/>
              </w:rPr>
              <w:t> </w:t>
            </w:r>
            <w:r>
              <w:rPr>
                <w:rFonts w:ascii="宋体" w:hAnsi="宋体" w:cs="宋体" w:eastAsia="宋体" w:hint="default"/>
                <w:sz w:val="18"/>
                <w:szCs w:val="18"/>
              </w:rPr>
              <w:t>账</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pacing w:val="44"/>
                <w:sz w:val="18"/>
                <w:szCs w:val="18"/>
              </w:rPr>
              <w:t> </w:t>
            </w:r>
            <w:r>
              <w:rPr>
                <w:rFonts w:ascii="宋体" w:hAnsi="宋体" w:cs="宋体" w:eastAsia="宋体" w:hint="default"/>
                <w:sz w:val="18"/>
                <w:szCs w:val="18"/>
              </w:rPr>
              <w:t>备</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宋体" w:hAnsi="宋体" w:cs="宋体" w:eastAsia="宋体" w:hint="default"/>
                <w:sz w:val="18"/>
                <w:szCs w:val="18"/>
              </w:rPr>
              <w:t>应</w:t>
            </w:r>
          </w:p>
          <w:p>
            <w:pPr>
              <w:pStyle w:val="TableParagraph"/>
              <w:spacing w:line="232" w:lineRule="exact" w:before="23"/>
              <w:ind w:left="26" w:right="24"/>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4"/>
                <w:sz w:val="18"/>
                <w:szCs w:val="18"/>
              </w:rPr>
              <w:t> </w:t>
            </w:r>
            <w:r>
              <w:rPr>
                <w:rFonts w:ascii="宋体" w:hAnsi="宋体" w:cs="宋体" w:eastAsia="宋体" w:hint="default"/>
                <w:sz w:val="18"/>
                <w:szCs w:val="18"/>
              </w:rPr>
              <w:t>账</w:t>
            </w:r>
            <w:r>
              <w:rPr>
                <w:rFonts w:ascii="宋体" w:hAnsi="宋体" w:cs="宋体" w:eastAsia="宋体" w:hint="default"/>
                <w:sz w:val="18"/>
                <w:szCs w:val="18"/>
              </w:rPr>
              <w:t> 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8,950,000.00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z w:val="18"/>
              </w:rPr>
              <w:t>4.82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1" w:right="0"/>
              <w:jc w:val="center"/>
              <w:rPr>
                <w:rFonts w:ascii="宋体" w:hAnsi="宋体" w:cs="宋体" w:eastAsia="宋体" w:hint="default"/>
                <w:sz w:val="18"/>
                <w:szCs w:val="18"/>
              </w:rPr>
            </w:pPr>
            <w:r>
              <w:rPr>
                <w:rFonts w:ascii="宋体"/>
                <w:sz w:val="18"/>
              </w:rPr>
              <w:t>8,950,000.00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 w:right="0"/>
              <w:jc w:val="center"/>
              <w:rPr>
                <w:rFonts w:ascii="宋体" w:hAnsi="宋体" w:cs="宋体" w:eastAsia="宋体" w:hint="default"/>
                <w:sz w:val="18"/>
                <w:szCs w:val="18"/>
              </w:rPr>
            </w:pPr>
            <w:r>
              <w:rPr>
                <w:rFonts w:ascii="宋体"/>
                <w:sz w:val="18"/>
              </w:rPr>
              <w:t>100.00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185,603,337.39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5"/>
              <w:jc w:val="right"/>
              <w:rPr>
                <w:rFonts w:ascii="宋体" w:hAnsi="宋体" w:cs="宋体" w:eastAsia="宋体" w:hint="default"/>
                <w:sz w:val="18"/>
                <w:szCs w:val="18"/>
              </w:rPr>
            </w:pPr>
            <w:r>
              <w:rPr>
                <w:rFonts w:ascii="宋体"/>
                <w:spacing w:val="-1"/>
                <w:sz w:val="18"/>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center"/>
              <w:rPr>
                <w:rFonts w:ascii="宋体" w:hAnsi="宋体" w:cs="宋体" w:eastAsia="宋体" w:hint="default"/>
                <w:sz w:val="18"/>
                <w:szCs w:val="18"/>
              </w:rPr>
            </w:pPr>
            <w:r>
              <w:rPr>
                <w:rFonts w:ascii="宋体"/>
                <w:sz w:val="18"/>
              </w:rPr>
              <w:t>30,590,616.02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16.48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sz w:val="18"/>
              </w:rPr>
              <w:t>155,012,721.37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left"/>
              <w:rPr>
                <w:rFonts w:ascii="宋体" w:hAnsi="宋体" w:cs="宋体" w:eastAsia="宋体" w:hint="default"/>
                <w:sz w:val="18"/>
                <w:szCs w:val="18"/>
              </w:rPr>
            </w:pPr>
            <w:r>
              <w:rPr>
                <w:rFonts w:ascii="宋体"/>
                <w:sz w:val="18"/>
              </w:rPr>
              <w:t>256,596,228.49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sz w:val="18"/>
              </w:rPr>
              <w:t>100.00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left"/>
              <w:rPr>
                <w:rFonts w:ascii="宋体" w:hAnsi="宋体" w:cs="宋体" w:eastAsia="宋体" w:hint="default"/>
                <w:sz w:val="18"/>
                <w:szCs w:val="18"/>
              </w:rPr>
            </w:pPr>
            <w:r>
              <w:rPr>
                <w:rFonts w:ascii="宋体"/>
                <w:sz w:val="18"/>
              </w:rPr>
              <w:t>35,175,736.20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sz w:val="18"/>
              </w:rPr>
              <w:t>13.71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left"/>
              <w:rPr>
                <w:rFonts w:ascii="宋体" w:hAnsi="宋体" w:cs="宋体" w:eastAsia="宋体" w:hint="default"/>
                <w:sz w:val="18"/>
                <w:szCs w:val="18"/>
              </w:rPr>
            </w:pPr>
            <w:r>
              <w:rPr>
                <w:rFonts w:ascii="宋体"/>
                <w:sz w:val="18"/>
              </w:rPr>
              <w:t>221,420,492.29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260" w:right="360"/>
        </w:sectPr>
      </w:pPr>
    </w:p>
    <w:p>
      <w:pPr>
        <w:pStyle w:val="BodyText"/>
        <w:spacing w:line="240" w:lineRule="auto" w:before="36"/>
        <w:ind w:left="1538" w:right="0"/>
        <w:jc w:val="left"/>
      </w:pPr>
      <w:r>
        <w:rPr>
          <w:spacing w:val="-2"/>
        </w:rPr>
        <w:t>期末单项金额重大并单项计提坏账准备的应收账款：</w:t>
      </w:r>
    </w:p>
    <w:p>
      <w:pPr>
        <w:pStyle w:val="BodyText"/>
        <w:spacing w:line="240" w:lineRule="auto" w:before="58"/>
        <w:ind w:left="1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60"/>
          <w:cols w:num="2" w:equalWidth="0">
            <w:col w:w="6373" w:space="149"/>
            <w:col w:w="476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1"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71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3"/>
              <w:ind w:left="103" w:right="99"/>
              <w:jc w:val="left"/>
              <w:rPr>
                <w:rFonts w:ascii="宋体" w:hAnsi="宋体" w:cs="宋体" w:eastAsia="宋体" w:hint="default"/>
                <w:sz w:val="21"/>
                <w:szCs w:val="21"/>
              </w:rPr>
            </w:pPr>
            <w:r>
              <w:rPr>
                <w:rFonts w:ascii="宋体" w:hAnsi="宋体" w:cs="宋体" w:eastAsia="宋体" w:hint="default"/>
                <w:spacing w:val="-6"/>
                <w:sz w:val="21"/>
                <w:szCs w:val="21"/>
              </w:rPr>
              <w:t>盛宏永（九江）实业发展有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22,300,000.00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6,690,000.00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涉及诉讼，按谨</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5"/>
                <w:sz w:val="18"/>
                <w:szCs w:val="18"/>
              </w:rPr>
              <w:t>慎性原则计提坏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center"/>
              <w:rPr>
                <w:rFonts w:ascii="宋体" w:hAnsi="宋体" w:cs="宋体" w:eastAsia="宋体" w:hint="default"/>
                <w:sz w:val="18"/>
                <w:szCs w:val="18"/>
              </w:rPr>
            </w:pPr>
            <w:r>
              <w:rPr>
                <w:rFonts w:ascii="宋体"/>
                <w:sz w:val="18"/>
              </w:rPr>
              <w:t>22,300,000.00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6,690,000.00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260" w:right="360"/>
        </w:sectPr>
      </w:pPr>
    </w:p>
    <w:p>
      <w:pPr>
        <w:pStyle w:val="BodyText"/>
        <w:spacing w:line="240" w:lineRule="auto" w:before="36"/>
        <w:ind w:left="1538" w:right="0"/>
        <w:jc w:val="left"/>
      </w:pPr>
      <w:r>
        <w:rPr>
          <w:spacing w:val="-2"/>
        </w:rPr>
        <w:t>组合中，按账龄分析法计提坏账准备的应收账款：</w:t>
      </w:r>
    </w:p>
    <w:p>
      <w:pPr>
        <w:pStyle w:val="BodyText"/>
        <w:spacing w:line="240" w:lineRule="auto" w:before="59"/>
        <w:ind w:left="1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60"/>
          <w:cols w:num="2" w:equalWidth="0">
            <w:col w:w="6164" w:space="358"/>
            <w:col w:w="476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37,373,706.51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1,121,211.18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57,906,192.67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5,790,619.27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16,621,477.31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2,493,221.60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9,889,712.54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1,977,942.51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4,488,278.20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897,655.64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13,349,829.10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2,669,965.82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139,629,196.33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14,950,616.02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6"/>
        <w:ind w:left="1538" w:right="0"/>
        <w:jc w:val="left"/>
      </w:pPr>
      <w:r>
        <w:rPr/>
        <w:t>组合中，采用其他方法计提坏账准备的应收账款：</w:t>
      </w:r>
    </w:p>
    <w:p>
      <w:pPr>
        <w:pStyle w:val="BodyText"/>
        <w:spacing w:line="240" w:lineRule="auto" w:before="58"/>
        <w:ind w:left="1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tbl>
      <w:tblPr>
        <w:tblW w:w="0" w:type="auto"/>
        <w:jc w:val="left"/>
        <w:tblInd w:w="1401" w:type="dxa"/>
        <w:tblLayout w:type="fixed"/>
        <w:tblCellMar>
          <w:top w:w="0" w:type="dxa"/>
          <w:left w:w="0" w:type="dxa"/>
          <w:bottom w:w="0" w:type="dxa"/>
          <w:right w:w="0" w:type="dxa"/>
        </w:tblCellMar>
        <w:tblLook w:val="01E0"/>
      </w:tblPr>
      <w:tblGrid>
        <w:gridCol w:w="2074"/>
        <w:gridCol w:w="1388"/>
        <w:gridCol w:w="1102"/>
        <w:gridCol w:w="1030"/>
        <w:gridCol w:w="1385"/>
        <w:gridCol w:w="1129"/>
        <w:gridCol w:w="958"/>
      </w:tblGrid>
      <w:tr>
        <w:trPr>
          <w:trHeight w:val="360" w:hRule="exact"/>
        </w:trPr>
        <w:tc>
          <w:tcPr>
            <w:tcW w:w="207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1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074"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9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92"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488" w:hRule="exact"/>
        </w:trPr>
        <w:tc>
          <w:tcPr>
            <w:tcW w:w="2074"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应收合并范围内的关联</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方款项</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95" w:right="0"/>
              <w:jc w:val="left"/>
              <w:rPr>
                <w:rFonts w:ascii="宋体" w:hAnsi="宋体" w:cs="宋体" w:eastAsia="宋体" w:hint="default"/>
                <w:sz w:val="18"/>
                <w:szCs w:val="18"/>
              </w:rPr>
            </w:pPr>
            <w:r>
              <w:rPr>
                <w:rFonts w:ascii="宋体"/>
                <w:sz w:val="18"/>
              </w:rPr>
              <w:t>5,627,111.11</w:t>
            </w:r>
          </w:p>
        </w:tc>
        <w:tc>
          <w:tcPr>
            <w:tcW w:w="1102" w:type="dxa"/>
            <w:tcBorders>
              <w:top w:val="single" w:sz="4" w:space="0" w:color="000000"/>
              <w:left w:val="single" w:sz="4" w:space="0" w:color="000000"/>
              <w:bottom w:val="single" w:sz="12" w:space="0" w:color="000000"/>
              <w:right w:val="single" w:sz="4" w:space="0" w:color="000000"/>
            </w:tcBorders>
          </w:tcPr>
          <w:p>
            <w:pPr/>
          </w:p>
        </w:tc>
        <w:tc>
          <w:tcPr>
            <w:tcW w:w="1030"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sz w:val="18"/>
              </w:rPr>
              <w:t>5,929,891.25</w:t>
            </w:r>
          </w:p>
        </w:tc>
        <w:tc>
          <w:tcPr>
            <w:tcW w:w="1129" w:type="dxa"/>
            <w:tcBorders>
              <w:top w:val="single" w:sz="4" w:space="0" w:color="000000"/>
              <w:left w:val="single" w:sz="4" w:space="0" w:color="000000"/>
              <w:bottom w:val="single" w:sz="12" w:space="0" w:color="000000"/>
              <w:right w:val="single" w:sz="4" w:space="0" w:color="000000"/>
            </w:tcBorders>
          </w:tcPr>
          <w:p>
            <w:pPr/>
          </w:p>
        </w:tc>
        <w:tc>
          <w:tcPr>
            <w:tcW w:w="958" w:type="dxa"/>
            <w:tcBorders>
              <w:top w:val="single" w:sz="4" w:space="0" w:color="000000"/>
              <w:left w:val="single" w:sz="4" w:space="0" w:color="000000"/>
              <w:bottom w:val="single" w:sz="12" w:space="0" w:color="000000"/>
              <w:right w:val="nil" w:sz="6" w:space="0" w:color="auto"/>
            </w:tcBorders>
          </w:tcPr>
          <w:p>
            <w:pPr/>
          </w:p>
        </w:tc>
      </w:tr>
    </w:tbl>
    <w:p>
      <w:pPr>
        <w:spacing w:after="0"/>
        <w:sectPr>
          <w:type w:val="continuous"/>
          <w:pgSz w:w="11910" w:h="16840"/>
          <w:pgMar w:top="1120" w:bottom="1380" w:left="26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01" w:type="dxa"/>
        <w:tblLayout w:type="fixed"/>
        <w:tblCellMar>
          <w:top w:w="0" w:type="dxa"/>
          <w:left w:w="0" w:type="dxa"/>
          <w:bottom w:w="0" w:type="dxa"/>
          <w:right w:w="0" w:type="dxa"/>
        </w:tblCellMar>
        <w:tblLook w:val="01E0"/>
      </w:tblPr>
      <w:tblGrid>
        <w:gridCol w:w="2074"/>
        <w:gridCol w:w="1388"/>
        <w:gridCol w:w="1102"/>
        <w:gridCol w:w="1030"/>
        <w:gridCol w:w="1385"/>
        <w:gridCol w:w="1129"/>
        <w:gridCol w:w="958"/>
      </w:tblGrid>
      <w:tr>
        <w:trPr>
          <w:trHeight w:val="363" w:hRule="exact"/>
        </w:trPr>
        <w:tc>
          <w:tcPr>
            <w:tcW w:w="207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1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5" w:hRule="exact"/>
        </w:trPr>
        <w:tc>
          <w:tcPr>
            <w:tcW w:w="2074"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9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34" w:lineRule="exact"/>
              <w:ind w:left="292" w:right="0"/>
              <w:jc w:val="left"/>
              <w:rPr>
                <w:rFonts w:ascii="宋体" w:hAnsi="宋体" w:cs="宋体" w:eastAsia="宋体" w:hint="default"/>
                <w:sz w:val="18"/>
                <w:szCs w:val="18"/>
              </w:rPr>
            </w:pPr>
            <w:r>
              <w:rPr>
                <w:rFonts w:ascii="宋体" w:hAnsi="宋体" w:cs="宋体" w:eastAsia="宋体" w:hint="default"/>
                <w:sz w:val="18"/>
                <w:szCs w:val="18"/>
              </w:rPr>
              <w:t>准备</w:t>
            </w:r>
          </w:p>
        </w:tc>
      </w:tr>
      <w:tr>
        <w:trPr>
          <w:trHeight w:val="350" w:hRule="exact"/>
        </w:trPr>
        <w:tc>
          <w:tcPr>
            <w:tcW w:w="2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 w:right="0"/>
              <w:jc w:val="center"/>
              <w:rPr>
                <w:rFonts w:ascii="宋体" w:hAnsi="宋体" w:cs="宋体" w:eastAsia="宋体" w:hint="default"/>
                <w:sz w:val="18"/>
                <w:szCs w:val="18"/>
              </w:rPr>
            </w:pPr>
            <w:r>
              <w:rPr>
                <w:rFonts w:ascii="宋体"/>
                <w:sz w:val="18"/>
              </w:rPr>
              <w:t>9,097,029.95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9,099,793.18</w:t>
            </w:r>
          </w:p>
        </w:tc>
        <w:tc>
          <w:tcPr>
            <w:tcW w:w="112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0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14,724,141.06</w:t>
            </w:r>
          </w:p>
        </w:tc>
        <w:tc>
          <w:tcPr>
            <w:tcW w:w="1102" w:type="dxa"/>
            <w:tcBorders>
              <w:top w:val="single" w:sz="4" w:space="0" w:color="000000"/>
              <w:left w:val="single" w:sz="4" w:space="0" w:color="000000"/>
              <w:bottom w:val="single" w:sz="12" w:space="0" w:color="000000"/>
              <w:right w:val="single" w:sz="4" w:space="0" w:color="000000"/>
            </w:tcBorders>
          </w:tcPr>
          <w:p>
            <w:pPr/>
          </w:p>
        </w:tc>
        <w:tc>
          <w:tcPr>
            <w:tcW w:w="1030"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15,029,684.43</w:t>
            </w:r>
          </w:p>
        </w:tc>
        <w:tc>
          <w:tcPr>
            <w:tcW w:w="1129" w:type="dxa"/>
            <w:tcBorders>
              <w:top w:val="single" w:sz="4" w:space="0" w:color="000000"/>
              <w:left w:val="single" w:sz="4" w:space="0" w:color="000000"/>
              <w:bottom w:val="single" w:sz="12" w:space="0" w:color="000000"/>
              <w:right w:val="single" w:sz="4" w:space="0" w:color="000000"/>
            </w:tcBorders>
          </w:tcPr>
          <w:p>
            <w:pPr/>
          </w:p>
        </w:tc>
        <w:tc>
          <w:tcPr>
            <w:tcW w:w="95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tabs>
          <w:tab w:pos="2377" w:val="left" w:leader="none"/>
        </w:tabs>
        <w:spacing w:line="240" w:lineRule="auto"/>
        <w:ind w:left="16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1538" w:right="0"/>
        <w:jc w:val="left"/>
      </w:pPr>
      <w:r>
        <w:rPr/>
        <w:t>本期计提坏账准备金额</w:t>
      </w:r>
      <w:r>
        <w:rPr>
          <w:rFonts w:ascii="Times New Roman" w:hAnsi="Times New Roman" w:cs="Times New Roman" w:eastAsia="Times New Roman" w:hint="default"/>
        </w:rPr>
        <w:t>-4,583,482.18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260" w:right="660"/>
        </w:sectPr>
      </w:pPr>
    </w:p>
    <w:p>
      <w:pPr>
        <w:pStyle w:val="Heading3"/>
        <w:tabs>
          <w:tab w:pos="2377" w:val="left" w:leader="none"/>
        </w:tabs>
        <w:spacing w:line="240" w:lineRule="auto"/>
        <w:ind w:left="167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left="1538" w:right="-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660"/>
          <w:cols w:num="2" w:equalWidth="0">
            <w:col w:w="5120" w:space="1402"/>
            <w:col w:w="4468"/>
          </w:cols>
        </w:sectPr>
      </w:pPr>
    </w:p>
    <w:p>
      <w:pPr>
        <w:spacing w:line="240" w:lineRule="auto" w:before="4"/>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1,638.00</w:t>
            </w:r>
          </w:p>
        </w:tc>
      </w:tr>
    </w:tbl>
    <w:p>
      <w:pPr>
        <w:spacing w:line="240" w:lineRule="auto" w:before="13"/>
        <w:rPr>
          <w:rFonts w:ascii="宋体" w:hAnsi="宋体" w:cs="宋体" w:eastAsia="宋体" w:hint="default"/>
          <w:sz w:val="12"/>
          <w:szCs w:val="12"/>
        </w:rPr>
      </w:pPr>
    </w:p>
    <w:p>
      <w:pPr>
        <w:pStyle w:val="BodyText"/>
        <w:spacing w:line="274" w:lineRule="exact" w:before="36"/>
        <w:ind w:left="1538" w:right="0"/>
        <w:jc w:val="left"/>
      </w:pPr>
      <w:r>
        <w:rPr/>
        <w:t>其中重要的应收账款核销情况</w:t>
      </w:r>
    </w:p>
    <w:p>
      <w:pPr>
        <w:pStyle w:val="BodyText"/>
        <w:spacing w:line="274" w:lineRule="exact"/>
        <w:ind w:left="1538" w:right="0"/>
        <w:jc w:val="left"/>
      </w:pPr>
      <w:r>
        <w:rPr/>
        <w:t>□适用 √不适用</w:t>
      </w:r>
    </w:p>
    <w:p>
      <w:pPr>
        <w:spacing w:line="240" w:lineRule="auto" w:before="11"/>
        <w:rPr>
          <w:rFonts w:ascii="宋体" w:hAnsi="宋体" w:cs="宋体" w:eastAsia="宋体" w:hint="default"/>
          <w:sz w:val="22"/>
          <w:szCs w:val="22"/>
        </w:rPr>
      </w:pPr>
    </w:p>
    <w:p>
      <w:pPr>
        <w:pStyle w:val="Heading3"/>
        <w:tabs>
          <w:tab w:pos="2377" w:val="left" w:leader="none"/>
        </w:tabs>
        <w:spacing w:line="240" w:lineRule="auto" w:before="0"/>
        <w:ind w:left="167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2284" w:val="left" w:leader="none"/>
        </w:tabs>
        <w:spacing w:line="240" w:lineRule="auto" w:before="56"/>
        <w:ind w:left="15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3243"/>
        <w:gridCol w:w="2124"/>
        <w:gridCol w:w="1560"/>
        <w:gridCol w:w="1808"/>
      </w:tblGrid>
      <w:tr>
        <w:trPr>
          <w:trHeight w:val="487" w:hRule="exact"/>
        </w:trPr>
        <w:tc>
          <w:tcPr>
            <w:tcW w:w="32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6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占应收账款总额</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8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358"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威县天海光伏发电有限公司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31,650,000.00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17.05</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3,165,000.00</w:t>
            </w:r>
          </w:p>
        </w:tc>
      </w:tr>
      <w:tr>
        <w:trPr>
          <w:trHeight w:val="35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盛宏永（九江）实业发展有限公司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22,300,000.00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12.01</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6,690,000.00</w:t>
            </w:r>
          </w:p>
        </w:tc>
      </w:tr>
      <w:tr>
        <w:trPr>
          <w:trHeight w:val="35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洛阳银润置业有限公司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15,873,508.32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8.55</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476,205.25</w:t>
            </w:r>
          </w:p>
        </w:tc>
      </w:tr>
      <w:tr>
        <w:trPr>
          <w:trHeight w:val="35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肥城盛阳新能源有限公司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13,784,580.00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7.43</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1,378,458.00</w:t>
            </w:r>
          </w:p>
        </w:tc>
      </w:tr>
      <w:tr>
        <w:trPr>
          <w:trHeight w:val="35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白山和丰置业有限公司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11,535,615.50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6.22</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1,730,342.33</w:t>
            </w:r>
          </w:p>
        </w:tc>
      </w:tr>
      <w:tr>
        <w:trPr>
          <w:trHeight w:val="360" w:hRule="exact"/>
        </w:trPr>
        <w:tc>
          <w:tcPr>
            <w:tcW w:w="324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95,143,703.82</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51.26</w:t>
            </w:r>
          </w:p>
        </w:tc>
        <w:tc>
          <w:tcPr>
            <w:tcW w:w="18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13,440,005.57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260" w:right="660"/>
        </w:sectPr>
      </w:pPr>
    </w:p>
    <w:p>
      <w:pPr>
        <w:pStyle w:val="Heading3"/>
        <w:spacing w:line="240" w:lineRule="auto"/>
        <w:ind w:left="153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3"/>
        <w:spacing w:line="240" w:lineRule="auto" w:before="56"/>
        <w:ind w:left="15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2284" w:val="left" w:leader="none"/>
        </w:tabs>
        <w:spacing w:line="240" w:lineRule="auto" w:before="58"/>
        <w:ind w:left="153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660"/>
          <w:cols w:num="2" w:equalWidth="0">
            <w:col w:w="4177" w:space="2345"/>
            <w:col w:w="446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16"/>
        <w:gridCol w:w="1114"/>
        <w:gridCol w:w="624"/>
        <w:gridCol w:w="1181"/>
        <w:gridCol w:w="804"/>
        <w:gridCol w:w="1277"/>
        <w:gridCol w:w="1208"/>
        <w:gridCol w:w="634"/>
        <w:gridCol w:w="1172"/>
        <w:gridCol w:w="814"/>
        <w:gridCol w:w="1097"/>
      </w:tblGrid>
      <w:tr>
        <w:trPr>
          <w:trHeight w:val="293"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50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9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816" w:type="dxa"/>
            <w:vMerge/>
            <w:tcBorders>
              <w:left w:val="single" w:sz="4" w:space="0" w:color="000000"/>
              <w:right w:val="single" w:sz="4" w:space="0" w:color="000000"/>
            </w:tcBorders>
          </w:tcPr>
          <w:p>
            <w:pP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6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9"/>
              <w:ind w:left="482" w:right="48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79"/>
              <w:ind w:left="391" w:right="39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816"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right="1"/>
              <w:jc w:val="center"/>
              <w:rPr>
                <w:rFonts w:ascii="宋体" w:hAnsi="宋体" w:cs="宋体" w:eastAsia="宋体" w:hint="default"/>
                <w:sz w:val="15"/>
                <w:szCs w:val="15"/>
              </w:rPr>
            </w:pPr>
            <w:r>
              <w:rPr>
                <w:rFonts w:ascii="宋体"/>
                <w:sz w:val="15"/>
              </w:rPr>
              <w:t>(%)</w:t>
            </w:r>
          </w:p>
        </w:tc>
        <w:tc>
          <w:tcPr>
            <w:tcW w:w="1277" w:type="dxa"/>
            <w:vMerge/>
            <w:tcBorders>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8"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right="1"/>
              <w:jc w:val="center"/>
              <w:rPr>
                <w:rFonts w:ascii="宋体" w:hAnsi="宋体" w:cs="宋体" w:eastAsia="宋体" w:hint="default"/>
                <w:sz w:val="15"/>
                <w:szCs w:val="15"/>
              </w:rPr>
            </w:pPr>
            <w:r>
              <w:rPr>
                <w:rFonts w:ascii="宋体"/>
                <w:sz w:val="15"/>
              </w:rPr>
              <w:t>(%)</w:t>
            </w:r>
          </w:p>
        </w:tc>
        <w:tc>
          <w:tcPr>
            <w:tcW w:w="1097" w:type="dxa"/>
            <w:vMerge/>
            <w:tcBorders>
              <w:left w:val="single" w:sz="4" w:space="0" w:color="000000"/>
              <w:bottom w:val="single" w:sz="4" w:space="0" w:color="000000"/>
              <w:right w:val="single" w:sz="4" w:space="0" w:color="000000"/>
            </w:tcBorders>
          </w:tcPr>
          <w:p>
            <w:pPr/>
          </w:p>
        </w:tc>
      </w:tr>
      <w:tr>
        <w:trPr>
          <w:trHeight w:val="98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w:t>
            </w:r>
          </w:p>
          <w:p>
            <w:pPr>
              <w:pStyle w:val="TableParagraph"/>
              <w:spacing w:line="240" w:lineRule="auto"/>
              <w:ind w:left="26" w:right="23"/>
              <w:jc w:val="both"/>
              <w:rPr>
                <w:rFonts w:ascii="宋体" w:hAnsi="宋体" w:cs="宋体" w:eastAsia="宋体" w:hint="default"/>
                <w:sz w:val="15"/>
                <w:szCs w:val="15"/>
              </w:rPr>
            </w:pPr>
            <w:r>
              <w:rPr>
                <w:rFonts w:ascii="宋体" w:hAnsi="宋体" w:cs="宋体" w:eastAsia="宋体" w:hint="default"/>
                <w:sz w:val="15"/>
                <w:szCs w:val="15"/>
              </w:rPr>
              <w:t>大并单独计</w:t>
            </w:r>
            <w:r>
              <w:rPr>
                <w:rFonts w:ascii="宋体" w:hAnsi="宋体" w:cs="宋体" w:eastAsia="宋体" w:hint="default"/>
                <w:spacing w:val="-69"/>
                <w:sz w:val="15"/>
                <w:szCs w:val="15"/>
              </w:rPr>
              <w:t> </w:t>
            </w:r>
            <w:r>
              <w:rPr>
                <w:rFonts w:ascii="宋体" w:hAnsi="宋体" w:cs="宋体" w:eastAsia="宋体" w:hint="default"/>
                <w:sz w:val="15"/>
                <w:szCs w:val="15"/>
              </w:rPr>
              <w:t>提坏账准备</w:t>
            </w:r>
            <w:r>
              <w:rPr>
                <w:rFonts w:ascii="宋体" w:hAnsi="宋体" w:cs="宋体" w:eastAsia="宋体" w:hint="default"/>
                <w:spacing w:val="-69"/>
                <w:sz w:val="15"/>
                <w:szCs w:val="15"/>
              </w:rPr>
              <w:t> </w:t>
            </w:r>
            <w:r>
              <w:rPr>
                <w:rFonts w:ascii="宋体" w:hAnsi="宋体" w:cs="宋体" w:eastAsia="宋体" w:hint="default"/>
                <w:sz w:val="15"/>
                <w:szCs w:val="15"/>
              </w:rPr>
              <w:t>的其他应收</w:t>
            </w:r>
            <w:r>
              <w:rPr>
                <w:rFonts w:ascii="宋体" w:hAnsi="宋体" w:cs="宋体" w:eastAsia="宋体" w:hint="default"/>
                <w:spacing w:val="-69"/>
                <w:sz w:val="15"/>
                <w:szCs w:val="15"/>
              </w:rPr>
              <w:t> </w:t>
            </w:r>
            <w:r>
              <w:rPr>
                <w:rFonts w:ascii="宋体" w:hAnsi="宋体" w:cs="宋体" w:eastAsia="宋体" w:hint="default"/>
                <w:sz w:val="15"/>
                <w:szCs w:val="15"/>
              </w:rPr>
              <w:t>款</w:t>
            </w:r>
          </w:p>
        </w:tc>
        <w:tc>
          <w:tcPr>
            <w:tcW w:w="111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816"/>
        <w:gridCol w:w="1114"/>
        <w:gridCol w:w="624"/>
        <w:gridCol w:w="1181"/>
        <w:gridCol w:w="804"/>
        <w:gridCol w:w="1277"/>
        <w:gridCol w:w="1208"/>
        <w:gridCol w:w="634"/>
        <w:gridCol w:w="1172"/>
        <w:gridCol w:w="814"/>
        <w:gridCol w:w="1097"/>
      </w:tblGrid>
      <w:tr>
        <w:trPr>
          <w:trHeight w:val="98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w:t>
            </w:r>
          </w:p>
          <w:p>
            <w:pPr>
              <w:pStyle w:val="TableParagraph"/>
              <w:spacing w:line="240" w:lineRule="auto"/>
              <w:ind w:left="26" w:right="23"/>
              <w:jc w:val="both"/>
              <w:rPr>
                <w:rFonts w:ascii="宋体" w:hAnsi="宋体" w:cs="宋体" w:eastAsia="宋体" w:hint="default"/>
                <w:sz w:val="15"/>
                <w:szCs w:val="15"/>
              </w:rPr>
            </w:pPr>
            <w:r>
              <w:rPr>
                <w:rFonts w:ascii="宋体" w:hAnsi="宋体" w:cs="宋体" w:eastAsia="宋体" w:hint="default"/>
                <w:sz w:val="15"/>
                <w:szCs w:val="15"/>
              </w:rPr>
              <w:t>特征组合计</w:t>
            </w:r>
            <w:r>
              <w:rPr>
                <w:rFonts w:ascii="宋体" w:hAnsi="宋体" w:cs="宋体" w:eastAsia="宋体" w:hint="default"/>
                <w:spacing w:val="-69"/>
                <w:sz w:val="15"/>
                <w:szCs w:val="15"/>
              </w:rPr>
              <w:t> </w:t>
            </w:r>
            <w:r>
              <w:rPr>
                <w:rFonts w:ascii="宋体" w:hAnsi="宋体" w:cs="宋体" w:eastAsia="宋体" w:hint="default"/>
                <w:sz w:val="15"/>
                <w:szCs w:val="15"/>
              </w:rPr>
              <w:t>提坏账准备</w:t>
            </w:r>
            <w:r>
              <w:rPr>
                <w:rFonts w:ascii="宋体" w:hAnsi="宋体" w:cs="宋体" w:eastAsia="宋体" w:hint="default"/>
                <w:spacing w:val="-69"/>
                <w:sz w:val="15"/>
                <w:szCs w:val="15"/>
              </w:rPr>
              <w:t> </w:t>
            </w:r>
            <w:r>
              <w:rPr>
                <w:rFonts w:ascii="宋体" w:hAnsi="宋体" w:cs="宋体" w:eastAsia="宋体" w:hint="default"/>
                <w:sz w:val="15"/>
                <w:szCs w:val="15"/>
              </w:rPr>
              <w:t>的其他应收</w:t>
            </w:r>
            <w:r>
              <w:rPr>
                <w:rFonts w:ascii="宋体" w:hAnsi="宋体" w:cs="宋体" w:eastAsia="宋体" w:hint="default"/>
                <w:spacing w:val="-69"/>
                <w:sz w:val="15"/>
                <w:szCs w:val="15"/>
              </w:rPr>
              <w:t> </w:t>
            </w:r>
            <w:r>
              <w:rPr>
                <w:rFonts w:ascii="宋体" w:hAnsi="宋体" w:cs="宋体" w:eastAsia="宋体" w:hint="default"/>
                <w:sz w:val="15"/>
                <w:szCs w:val="15"/>
              </w:rPr>
              <w:t>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177,896,613.04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92.23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11,969,575.84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165,927,037.2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199,002,773.09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93.48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2"/>
                <w:sz w:val="15"/>
              </w:rPr>
              <w:t>9,093,810.69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4.57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6"/>
              <w:jc w:val="right"/>
              <w:rPr>
                <w:rFonts w:ascii="宋体" w:hAnsi="宋体" w:cs="宋体" w:eastAsia="宋体" w:hint="default"/>
                <w:sz w:val="15"/>
                <w:szCs w:val="15"/>
              </w:rPr>
            </w:pPr>
            <w:r>
              <w:rPr>
                <w:rFonts w:ascii="宋体"/>
                <w:spacing w:val="-2"/>
                <w:sz w:val="15"/>
              </w:rPr>
              <w:t>189,908,962.4</w:t>
            </w:r>
          </w:p>
        </w:tc>
      </w:tr>
      <w:tr>
        <w:trPr>
          <w:trHeight w:val="98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w:t>
            </w:r>
          </w:p>
          <w:p>
            <w:pPr>
              <w:pStyle w:val="TableParagraph"/>
              <w:spacing w:line="240" w:lineRule="auto"/>
              <w:ind w:left="26" w:right="23"/>
              <w:jc w:val="both"/>
              <w:rPr>
                <w:rFonts w:ascii="宋体" w:hAnsi="宋体" w:cs="宋体" w:eastAsia="宋体" w:hint="default"/>
                <w:sz w:val="15"/>
                <w:szCs w:val="15"/>
              </w:rPr>
            </w:pPr>
            <w:r>
              <w:rPr>
                <w:rFonts w:ascii="宋体" w:hAnsi="宋体" w:cs="宋体" w:eastAsia="宋体" w:hint="default"/>
                <w:sz w:val="15"/>
                <w:szCs w:val="15"/>
              </w:rPr>
              <w:t>重大但单独</w:t>
            </w:r>
            <w:r>
              <w:rPr>
                <w:rFonts w:ascii="宋体" w:hAnsi="宋体" w:cs="宋体" w:eastAsia="宋体" w:hint="default"/>
                <w:spacing w:val="-69"/>
                <w:sz w:val="15"/>
                <w:szCs w:val="15"/>
              </w:rPr>
              <w:t> </w:t>
            </w:r>
            <w:r>
              <w:rPr>
                <w:rFonts w:ascii="宋体" w:hAnsi="宋体" w:cs="宋体" w:eastAsia="宋体" w:hint="default"/>
                <w:sz w:val="15"/>
                <w:szCs w:val="15"/>
              </w:rPr>
              <w:t>计提坏账准</w:t>
            </w:r>
            <w:r>
              <w:rPr>
                <w:rFonts w:ascii="宋体" w:hAnsi="宋体" w:cs="宋体" w:eastAsia="宋体" w:hint="default"/>
                <w:spacing w:val="-69"/>
                <w:sz w:val="15"/>
                <w:szCs w:val="15"/>
              </w:rPr>
              <w:t> </w:t>
            </w:r>
            <w:r>
              <w:rPr>
                <w:rFonts w:ascii="宋体" w:hAnsi="宋体" w:cs="宋体" w:eastAsia="宋体" w:hint="default"/>
                <w:sz w:val="15"/>
                <w:szCs w:val="15"/>
              </w:rPr>
              <w:t>备的其他应</w:t>
            </w:r>
            <w:r>
              <w:rPr>
                <w:rFonts w:ascii="宋体" w:hAnsi="宋体" w:cs="宋体" w:eastAsia="宋体" w:hint="default"/>
                <w:spacing w:val="-69"/>
                <w:sz w:val="15"/>
                <w:szCs w:val="15"/>
              </w:rPr>
              <w:t> </w:t>
            </w:r>
            <w:r>
              <w:rPr>
                <w:rFonts w:ascii="宋体" w:hAnsi="宋体" w:cs="宋体" w:eastAsia="宋体" w:hint="default"/>
                <w:sz w:val="15"/>
                <w:szCs w:val="15"/>
              </w:rPr>
              <w:t>收款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14,977,548.85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14,977,548.85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13,877,548.85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6.52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13,877,548.85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192,874,161.89</w:t>
            </w:r>
          </w:p>
        </w:tc>
        <w:tc>
          <w:tcPr>
            <w:tcW w:w="6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26,947,124.69</w:t>
            </w:r>
          </w:p>
        </w:tc>
        <w:tc>
          <w:tcPr>
            <w:tcW w:w="80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165,927,037.2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212,880,321.94</w:t>
            </w:r>
          </w:p>
        </w:tc>
        <w:tc>
          <w:tcPr>
            <w:tcW w:w="63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22,971,359.54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189,908,962.4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260" w:right="660"/>
        </w:sectPr>
      </w:pPr>
    </w:p>
    <w:p>
      <w:pPr>
        <w:pStyle w:val="BodyText"/>
        <w:spacing w:line="240" w:lineRule="auto" w:before="36"/>
        <w:ind w:left="1538" w:right="0"/>
        <w:jc w:val="left"/>
      </w:pPr>
      <w:r>
        <w:rPr>
          <w:spacing w:val="-2"/>
        </w:rPr>
        <w:t>组合中，按账龄分析法计提坏账准备的其他应收款：</w:t>
      </w:r>
    </w:p>
    <w:p>
      <w:pPr>
        <w:pStyle w:val="BodyText"/>
        <w:spacing w:line="240" w:lineRule="auto" w:before="56"/>
        <w:ind w:left="1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660"/>
          <w:cols w:num="2" w:equalWidth="0">
            <w:col w:w="6373" w:space="149"/>
            <w:col w:w="4468"/>
          </w:cols>
        </w:sectPr>
      </w:pPr>
    </w:p>
    <w:p>
      <w:pPr>
        <w:spacing w:line="240" w:lineRule="auto" w:before="4"/>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17,770,701.56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533,121.05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16,401,857.84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1,640,185.78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28,368,941.43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4,255,341.21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19,901,000.00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3,980,200.00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175,000.00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7,628,639.00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1,525,727.80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90,246,139.83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11,969,575.84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13.26</w:t>
            </w:r>
          </w:p>
        </w:tc>
      </w:tr>
    </w:tbl>
    <w:p>
      <w:pPr>
        <w:spacing w:line="240" w:lineRule="auto" w:before="7"/>
        <w:rPr>
          <w:rFonts w:ascii="宋体" w:hAnsi="宋体" w:cs="宋体" w:eastAsia="宋体" w:hint="default"/>
          <w:sz w:val="17"/>
          <w:szCs w:val="17"/>
        </w:rPr>
      </w:pPr>
    </w:p>
    <w:p>
      <w:pPr>
        <w:pStyle w:val="BodyText"/>
        <w:spacing w:line="240" w:lineRule="auto" w:before="36"/>
        <w:ind w:left="1538" w:right="0"/>
        <w:jc w:val="left"/>
      </w:pPr>
      <w:r>
        <w:rPr/>
        <w:t>组合中，采用其他方法计提坏账准备的其他应收款：</w:t>
      </w:r>
    </w:p>
    <w:p>
      <w:pPr>
        <w:pStyle w:val="BodyText"/>
        <w:tabs>
          <w:tab w:pos="2284" w:val="left" w:leader="none"/>
        </w:tabs>
        <w:spacing w:line="240" w:lineRule="auto" w:before="58"/>
        <w:ind w:left="15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2165"/>
        <w:gridCol w:w="1414"/>
        <w:gridCol w:w="962"/>
        <w:gridCol w:w="1071"/>
        <w:gridCol w:w="1476"/>
        <w:gridCol w:w="980"/>
        <w:gridCol w:w="996"/>
      </w:tblGrid>
      <w:tr>
        <w:trPr>
          <w:trHeight w:val="360" w:hRule="exact"/>
        </w:trPr>
        <w:tc>
          <w:tcPr>
            <w:tcW w:w="216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44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165" w:type="dxa"/>
            <w:vMerge/>
            <w:tcBorders>
              <w:left w:val="nil" w:sz="6" w:space="0" w:color="auto"/>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56,620.45</w:t>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1,658,671.59</w:t>
            </w:r>
          </w:p>
        </w:tc>
        <w:tc>
          <w:tcPr>
            <w:tcW w:w="98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宋体" w:hAnsi="宋体" w:cs="宋体" w:eastAsia="宋体" w:hint="default"/>
                <w:sz w:val="18"/>
                <w:szCs w:val="18"/>
              </w:rPr>
            </w:pPr>
            <w:r>
              <w:rPr>
                <w:rFonts w:ascii="宋体"/>
                <w:spacing w:val="-1"/>
                <w:sz w:val="18"/>
              </w:rPr>
              <w:t>87,593,852.76</w:t>
            </w:r>
            <w:r>
              <w:rPr>
                <w:rFonts w:ascii="宋体"/>
                <w:sz w:val="18"/>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116,004,640.70</w:t>
            </w:r>
          </w:p>
        </w:tc>
        <w:tc>
          <w:tcPr>
            <w:tcW w:w="98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21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87,650,473.21</w:t>
            </w:r>
          </w:p>
        </w:tc>
        <w:tc>
          <w:tcPr>
            <w:tcW w:w="962" w:type="dxa"/>
            <w:tcBorders>
              <w:top w:val="single" w:sz="4" w:space="0" w:color="000000"/>
              <w:left w:val="single" w:sz="4" w:space="0" w:color="000000"/>
              <w:bottom w:val="single" w:sz="12" w:space="0" w:color="000000"/>
              <w:right w:val="single" w:sz="4" w:space="0" w:color="000000"/>
            </w:tcBorders>
          </w:tcPr>
          <w:p>
            <w:pPr/>
          </w:p>
        </w:tc>
        <w:tc>
          <w:tcPr>
            <w:tcW w:w="1071"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117,663,312.29</w:t>
            </w:r>
          </w:p>
        </w:tc>
        <w:tc>
          <w:tcPr>
            <w:tcW w:w="980" w:type="dxa"/>
            <w:tcBorders>
              <w:top w:val="single" w:sz="4" w:space="0" w:color="000000"/>
              <w:left w:val="single" w:sz="4" w:space="0" w:color="000000"/>
              <w:bottom w:val="single" w:sz="12" w:space="0" w:color="000000"/>
              <w:right w:val="single" w:sz="4" w:space="0" w:color="000000"/>
            </w:tcBorders>
          </w:tcPr>
          <w:p>
            <w:pPr/>
          </w:p>
        </w:tc>
        <w:tc>
          <w:tcPr>
            <w:tcW w:w="99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27"/>
          <w:szCs w:val="27"/>
        </w:rPr>
      </w:pPr>
    </w:p>
    <w:p>
      <w:pPr>
        <w:pStyle w:val="BodyText"/>
        <w:spacing w:line="240" w:lineRule="auto" w:before="36"/>
        <w:ind w:left="1958" w:right="0"/>
        <w:jc w:val="left"/>
      </w:pPr>
      <w:r>
        <w:rPr/>
        <w:t>期末单项金额虽不重大但单项计提坏账准备的其他应收款</w:t>
      </w:r>
    </w:p>
    <w:p>
      <w:pPr>
        <w:spacing w:line="240" w:lineRule="auto" w:before="9"/>
        <w:rPr>
          <w:rFonts w:ascii="宋体" w:hAnsi="宋体" w:cs="宋体" w:eastAsia="宋体" w:hint="default"/>
          <w:sz w:val="11"/>
          <w:szCs w:val="11"/>
        </w:rPr>
      </w:pPr>
    </w:p>
    <w:tbl>
      <w:tblPr>
        <w:tblW w:w="0" w:type="auto"/>
        <w:jc w:val="left"/>
        <w:tblInd w:w="1509" w:type="dxa"/>
        <w:tblLayout w:type="fixed"/>
        <w:tblCellMar>
          <w:top w:w="0" w:type="dxa"/>
          <w:left w:w="0" w:type="dxa"/>
          <w:bottom w:w="0" w:type="dxa"/>
          <w:right w:w="0" w:type="dxa"/>
        </w:tblCellMar>
        <w:tblLook w:val="01E0"/>
      </w:tblPr>
      <w:tblGrid>
        <w:gridCol w:w="2283"/>
        <w:gridCol w:w="1418"/>
        <w:gridCol w:w="1416"/>
        <w:gridCol w:w="1135"/>
        <w:gridCol w:w="850"/>
        <w:gridCol w:w="1714"/>
      </w:tblGrid>
      <w:tr>
        <w:trPr>
          <w:trHeight w:val="487" w:hRule="exact"/>
        </w:trPr>
        <w:tc>
          <w:tcPr>
            <w:tcW w:w="22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698"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94"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17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48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宁波压力容器有限公司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4,246,436.14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4,246,436.14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多次催收未果，预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计难以收回</w:t>
            </w:r>
          </w:p>
        </w:tc>
      </w:tr>
      <w:tr>
        <w:trPr>
          <w:trHeight w:val="475"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上海东兴置业有限公司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2" w:right="0"/>
              <w:jc w:val="center"/>
              <w:rPr>
                <w:rFonts w:ascii="宋体" w:hAnsi="宋体" w:cs="宋体" w:eastAsia="宋体" w:hint="default"/>
                <w:sz w:val="18"/>
                <w:szCs w:val="18"/>
              </w:rPr>
            </w:pPr>
            <w:r>
              <w:rPr>
                <w:rFonts w:ascii="宋体"/>
                <w:sz w:val="18"/>
              </w:rPr>
              <w:t>2,900,000.00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2,900,000.00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100.00</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客</w:t>
            </w:r>
            <w:r>
              <w:rPr>
                <w:rFonts w:ascii="宋体" w:hAnsi="宋体" w:cs="宋体" w:eastAsia="宋体" w:hint="default"/>
                <w:spacing w:val="-52"/>
                <w:sz w:val="18"/>
                <w:szCs w:val="18"/>
              </w:rPr>
              <w:t> </w:t>
            </w:r>
            <w:r>
              <w:rPr>
                <w:rFonts w:ascii="宋体" w:hAnsi="宋体" w:cs="宋体" w:eastAsia="宋体" w:hint="default"/>
                <w:sz w:val="18"/>
                <w:szCs w:val="18"/>
              </w:rPr>
              <w:t>户</w:t>
            </w:r>
            <w:r>
              <w:rPr>
                <w:rFonts w:ascii="宋体" w:hAnsi="宋体" w:cs="宋体" w:eastAsia="宋体" w:hint="default"/>
                <w:spacing w:val="-52"/>
                <w:sz w:val="18"/>
                <w:szCs w:val="18"/>
              </w:rPr>
              <w:t> </w:t>
            </w:r>
            <w:r>
              <w:rPr>
                <w:rFonts w:ascii="宋体" w:hAnsi="宋体" w:cs="宋体" w:eastAsia="宋体" w:hint="default"/>
                <w:sz w:val="18"/>
                <w:szCs w:val="18"/>
              </w:rPr>
              <w:t>资</w:t>
            </w:r>
            <w:r>
              <w:rPr>
                <w:rFonts w:ascii="宋体" w:hAnsi="宋体" w:cs="宋体" w:eastAsia="宋体" w:hint="default"/>
                <w:spacing w:val="-50"/>
                <w:sz w:val="18"/>
                <w:szCs w:val="18"/>
              </w:rPr>
              <w:t> </w:t>
            </w:r>
            <w:r>
              <w:rPr>
                <w:rFonts w:ascii="宋体" w:hAnsi="宋体" w:cs="宋体" w:eastAsia="宋体" w:hint="default"/>
                <w:sz w:val="18"/>
                <w:szCs w:val="18"/>
              </w:rPr>
              <w:t>产</w:t>
            </w:r>
            <w:r>
              <w:rPr>
                <w:rFonts w:ascii="宋体" w:hAnsi="宋体" w:cs="宋体" w:eastAsia="宋体" w:hint="default"/>
                <w:spacing w:val="-52"/>
                <w:sz w:val="18"/>
                <w:szCs w:val="18"/>
              </w:rPr>
              <w:t> </w:t>
            </w:r>
            <w:r>
              <w:rPr>
                <w:rFonts w:ascii="宋体" w:hAnsi="宋体" w:cs="宋体" w:eastAsia="宋体" w:hint="default"/>
                <w:sz w:val="18"/>
                <w:szCs w:val="18"/>
              </w:rPr>
              <w:t>已</w:t>
            </w:r>
            <w:r>
              <w:rPr>
                <w:rFonts w:ascii="宋体" w:hAnsi="宋体" w:cs="宋体" w:eastAsia="宋体" w:hint="default"/>
                <w:spacing w:val="-52"/>
                <w:sz w:val="18"/>
                <w:szCs w:val="18"/>
              </w:rPr>
              <w:t> </w:t>
            </w:r>
            <w:r>
              <w:rPr>
                <w:rFonts w:ascii="宋体" w:hAnsi="宋体" w:cs="宋体" w:eastAsia="宋体" w:hint="default"/>
                <w:sz w:val="18"/>
                <w:szCs w:val="18"/>
              </w:rPr>
              <w:t>被</w:t>
            </w:r>
            <w:r>
              <w:rPr>
                <w:rFonts w:ascii="宋体" w:hAnsi="宋体" w:cs="宋体" w:eastAsia="宋体" w:hint="default"/>
                <w:spacing w:val="-52"/>
                <w:sz w:val="18"/>
                <w:szCs w:val="18"/>
              </w:rPr>
              <w:t> </w:t>
            </w:r>
            <w:r>
              <w:rPr>
                <w:rFonts w:ascii="宋体" w:hAnsi="宋体" w:cs="宋体" w:eastAsia="宋体" w:hint="default"/>
                <w:sz w:val="18"/>
                <w:szCs w:val="18"/>
              </w:rPr>
              <w:t>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算，预计难以收回</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上海晓磊设备出租公司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2,777,026.00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2,777,026.00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账龄较长，预计难</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周鹏程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18"/>
                <w:szCs w:val="18"/>
              </w:rPr>
            </w:pPr>
            <w:r>
              <w:rPr>
                <w:rFonts w:ascii="宋体"/>
                <w:sz w:val="18"/>
              </w:rPr>
              <w:t>2,200,952.25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2,200,952.25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100.00</w:t>
            </w:r>
          </w:p>
        </w:tc>
        <w:tc>
          <w:tcPr>
            <w:tcW w:w="171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账龄较长，预计难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487" w:hRule="exact"/>
        </w:trPr>
        <w:tc>
          <w:tcPr>
            <w:tcW w:w="2283"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上海华信世纪建筑工程有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122" w:right="0"/>
              <w:jc w:val="center"/>
              <w:rPr>
                <w:rFonts w:ascii="宋体" w:hAnsi="宋体" w:cs="宋体" w:eastAsia="宋体" w:hint="default"/>
                <w:sz w:val="18"/>
                <w:szCs w:val="18"/>
              </w:rPr>
            </w:pPr>
            <w:r>
              <w:rPr>
                <w:rFonts w:ascii="宋体"/>
                <w:sz w:val="18"/>
              </w:rPr>
              <w:t>1,500,000.00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1,500,000.00</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100.00</w:t>
            </w:r>
          </w:p>
        </w:tc>
        <w:tc>
          <w:tcPr>
            <w:tcW w:w="1714" w:type="dxa"/>
            <w:tcBorders>
              <w:top w:val="single" w:sz="4" w:space="0" w:color="000000"/>
              <w:left w:val="single" w:sz="4"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账龄较长，预计难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bl>
    <w:p>
      <w:pPr>
        <w:spacing w:after="0" w:line="234" w:lineRule="exact"/>
        <w:jc w:val="left"/>
        <w:rPr>
          <w:rFonts w:ascii="宋体" w:hAnsi="宋体" w:cs="宋体" w:eastAsia="宋体" w:hint="default"/>
          <w:sz w:val="18"/>
          <w:szCs w:val="18"/>
        </w:rPr>
        <w:sectPr>
          <w:type w:val="continuous"/>
          <w:pgSz w:w="11910" w:h="16840"/>
          <w:pgMar w:top="1120" w:bottom="1380" w:left="26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9" w:type="dxa"/>
        <w:tblLayout w:type="fixed"/>
        <w:tblCellMar>
          <w:top w:w="0" w:type="dxa"/>
          <w:left w:w="0" w:type="dxa"/>
          <w:bottom w:w="0" w:type="dxa"/>
          <w:right w:w="0" w:type="dxa"/>
        </w:tblCellMar>
        <w:tblLook w:val="01E0"/>
      </w:tblPr>
      <w:tblGrid>
        <w:gridCol w:w="2283"/>
        <w:gridCol w:w="1418"/>
        <w:gridCol w:w="1416"/>
        <w:gridCol w:w="1135"/>
        <w:gridCol w:w="850"/>
        <w:gridCol w:w="1714"/>
      </w:tblGrid>
      <w:tr>
        <w:trPr>
          <w:trHeight w:val="488" w:hRule="exact"/>
        </w:trPr>
        <w:tc>
          <w:tcPr>
            <w:tcW w:w="2283"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其他账龄较长已无法收回</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的小额应收款</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122" w:right="0"/>
              <w:jc w:val="center"/>
              <w:rPr>
                <w:rFonts w:ascii="宋体" w:hAnsi="宋体" w:cs="宋体" w:eastAsia="宋体" w:hint="default"/>
                <w:sz w:val="18"/>
                <w:szCs w:val="18"/>
              </w:rPr>
            </w:pPr>
            <w:r>
              <w:rPr>
                <w:rFonts w:ascii="宋体"/>
                <w:sz w:val="18"/>
              </w:rPr>
              <w:t>1,353,134.46</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119" w:right="0"/>
              <w:jc w:val="center"/>
              <w:rPr>
                <w:rFonts w:ascii="宋体" w:hAnsi="宋体" w:cs="宋体" w:eastAsia="宋体" w:hint="default"/>
                <w:sz w:val="18"/>
                <w:szCs w:val="18"/>
              </w:rPr>
            </w:pPr>
            <w:r>
              <w:rPr>
                <w:rFonts w:ascii="宋体"/>
                <w:sz w:val="18"/>
              </w:rPr>
              <w:t>1,353,134.46</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2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199" w:right="0"/>
              <w:jc w:val="left"/>
              <w:rPr>
                <w:rFonts w:ascii="宋体" w:hAnsi="宋体" w:cs="宋体" w:eastAsia="宋体" w:hint="default"/>
                <w:sz w:val="18"/>
                <w:szCs w:val="18"/>
              </w:rPr>
            </w:pPr>
            <w:r>
              <w:rPr>
                <w:rFonts w:ascii="宋体"/>
                <w:sz w:val="18"/>
              </w:rPr>
              <w:t>100.00</w:t>
            </w:r>
          </w:p>
        </w:tc>
        <w:tc>
          <w:tcPr>
            <w:tcW w:w="1714"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账龄较长，预计难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以收回</w:t>
            </w:r>
          </w:p>
        </w:tc>
      </w:tr>
      <w:tr>
        <w:trPr>
          <w:trHeight w:val="254" w:hRule="exact"/>
        </w:trPr>
        <w:tc>
          <w:tcPr>
            <w:tcW w:w="2283"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left="31" w:right="0"/>
              <w:jc w:val="center"/>
              <w:rPr>
                <w:rFonts w:ascii="宋体" w:hAnsi="宋体" w:cs="宋体" w:eastAsia="宋体" w:hint="default"/>
                <w:sz w:val="18"/>
                <w:szCs w:val="18"/>
              </w:rPr>
            </w:pPr>
            <w:r>
              <w:rPr>
                <w:rFonts w:ascii="宋体"/>
                <w:sz w:val="18"/>
              </w:rPr>
              <w:t>14,977,548.85</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08" w:lineRule="exact"/>
              <w:ind w:left="28" w:right="0"/>
              <w:jc w:val="center"/>
              <w:rPr>
                <w:rFonts w:ascii="宋体" w:hAnsi="宋体" w:cs="宋体" w:eastAsia="宋体" w:hint="default"/>
                <w:sz w:val="18"/>
                <w:szCs w:val="18"/>
              </w:rPr>
            </w:pPr>
            <w:r>
              <w:rPr>
                <w:rFonts w:ascii="宋体"/>
                <w:sz w:val="18"/>
              </w:rPr>
              <w:t>14,977,548.85</w:t>
            </w:r>
          </w:p>
        </w:tc>
        <w:tc>
          <w:tcPr>
            <w:tcW w:w="1135"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71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ind w:left="218"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left="218" w:right="1970"/>
        <w:jc w:val="left"/>
      </w:pPr>
      <w:r>
        <w:rPr/>
        <w:t>本期计提坏账准备金额</w:t>
      </w:r>
      <w:r>
        <w:rPr>
          <w:spacing w:val="-53"/>
        </w:rPr>
        <w:t> </w:t>
      </w:r>
      <w:r>
        <w:rPr>
          <w:rFonts w:ascii="Times New Roman" w:hAnsi="Times New Roman" w:cs="Times New Roman" w:eastAsia="Times New Roman" w:hint="default"/>
        </w:rPr>
        <w:t>3,975,765.15</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6" w:lineRule="exact"/>
        <w:ind w:left="218"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left="218" w:right="-1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56,620.45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1,658,671.59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87,593,852.76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116,004,640.70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对外单位的押金、保证金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8,329,994.00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15,570,925.00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96,893,694.68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79,646,084.65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192,874,161.89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212,880,321.94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3"/>
        <w:spacing w:line="240" w:lineRule="auto"/>
        <w:ind w:left="218" w:right="-1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14"/>
        <w:gridCol w:w="1333"/>
        <w:gridCol w:w="1344"/>
        <w:gridCol w:w="1308"/>
        <w:gridCol w:w="1743"/>
        <w:gridCol w:w="1654"/>
      </w:tblGrid>
      <w:tr>
        <w:trPr>
          <w:trHeight w:val="797"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400" w:right="39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宁波普利凯建</w:t>
            </w:r>
            <w:r>
              <w:rPr>
                <w:rFonts w:ascii="宋体" w:hAnsi="宋体" w:cs="宋体" w:eastAsia="宋体" w:hint="default"/>
                <w:sz w:val="21"/>
                <w:szCs w:val="21"/>
              </w:rPr>
            </w:r>
          </w:p>
          <w:p>
            <w:pPr>
              <w:pStyle w:val="TableParagraph"/>
              <w:spacing w:line="272" w:lineRule="exact" w:before="27"/>
              <w:ind w:left="26" w:right="108"/>
              <w:jc w:val="left"/>
              <w:rPr>
                <w:rFonts w:ascii="宋体" w:hAnsi="宋体" w:cs="宋体" w:eastAsia="宋体" w:hint="default"/>
                <w:sz w:val="21"/>
                <w:szCs w:val="21"/>
              </w:rPr>
            </w:pPr>
            <w:r>
              <w:rPr>
                <w:rFonts w:ascii="宋体" w:hAnsi="宋体" w:cs="宋体" w:eastAsia="宋体" w:hint="default"/>
                <w:spacing w:val="15"/>
                <w:sz w:val="21"/>
                <w:szCs w:val="21"/>
              </w:rPr>
              <w:t>筑科技有限公</w:t>
            </w:r>
            <w:r>
              <w:rPr>
                <w:rFonts w:ascii="宋体" w:hAnsi="宋体" w:cs="宋体" w:eastAsia="宋体" w:hint="default"/>
                <w:spacing w:val="-92"/>
                <w:sz w:val="21"/>
                <w:szCs w:val="21"/>
              </w:rPr>
              <w:t> </w:t>
            </w:r>
            <w:r>
              <w:rPr>
                <w:rFonts w:ascii="宋体" w:hAnsi="宋体" w:cs="宋体" w:eastAsia="宋体" w:hint="default"/>
                <w:sz w:val="21"/>
                <w:szCs w:val="21"/>
              </w:rPr>
              <w:t>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12.70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1,970,500.00</w:t>
            </w:r>
          </w:p>
        </w:tc>
      </w:tr>
      <w:tr>
        <w:trPr>
          <w:trHeight w:val="55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浙江栋梁新材</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4.67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270,000.00</w:t>
            </w:r>
          </w:p>
        </w:tc>
      </w:tr>
      <w:tr>
        <w:trPr>
          <w:trHeight w:val="55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上海东兴置业</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1.50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580,000.00</w:t>
            </w:r>
          </w:p>
        </w:tc>
      </w:tr>
      <w:tr>
        <w:trPr>
          <w:trHeight w:val="555"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上海晓磊设备</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2,777,026.00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1.44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555,405.20</w:t>
            </w:r>
          </w:p>
        </w:tc>
      </w:tr>
      <w:tr>
        <w:trPr>
          <w:trHeight w:val="283"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周鹏程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2,200,952.25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1.14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440,190.45</w:t>
            </w:r>
          </w:p>
        </w:tc>
      </w:tr>
      <w:tr>
        <w:trPr>
          <w:trHeight w:val="281"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41,377,978.25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7" w:right="0"/>
              <w:jc w:val="left"/>
              <w:rPr>
                <w:rFonts w:ascii="Times New Roman" w:hAnsi="Times New Roman" w:cs="Times New Roman" w:eastAsia="Times New Roman" w:hint="default"/>
                <w:sz w:val="21"/>
                <w:szCs w:val="21"/>
              </w:rPr>
            </w:pPr>
            <w:r>
              <w:rPr>
                <w:rFonts w:ascii="Times New Roman"/>
                <w:sz w:val="21"/>
              </w:rPr>
              <w:t>21.45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3,816,095.65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12"/>
        <w:rPr>
          <w:rFonts w:ascii="宋体" w:hAnsi="宋体" w:cs="宋体" w:eastAsia="宋体" w:hint="default"/>
          <w:sz w:val="15"/>
          <w:szCs w:val="15"/>
        </w:rPr>
      </w:pPr>
    </w:p>
    <w:p>
      <w:pPr>
        <w:pStyle w:val="Heading3"/>
        <w:spacing w:line="240" w:lineRule="auto" w:before="0"/>
        <w:ind w:left="2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21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3" w:hRule="exact"/>
        </w:trPr>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70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2,599,321,130.93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2,599,321,130.93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2,316,387,130.93</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2,316,387,130.93</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82"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557"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2"/>
                <w:sz w:val="21"/>
              </w:rPr>
              <w:t>37,112,252.34</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2"/>
                <w:sz w:val="21"/>
              </w:rPr>
              <w:t>37,112,252.34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41,325,773.56</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41,325,773.56</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2,636,433,383.27</w:t>
            </w:r>
          </w:p>
        </w:tc>
        <w:tc>
          <w:tcPr>
            <w:tcW w:w="52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2,636,433,383.27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2,357,712,904.49</w:t>
            </w:r>
          </w:p>
        </w:tc>
        <w:tc>
          <w:tcPr>
            <w:tcW w:w="538"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2,357,712,904.49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980" w:right="1040"/>
        </w:sectPr>
      </w:pPr>
    </w:p>
    <w:p>
      <w:pPr>
        <w:pStyle w:val="Heading3"/>
        <w:spacing w:line="240" w:lineRule="auto"/>
        <w:ind w:left="81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81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511" w:space="4011"/>
            <w:col w:w="3368"/>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803"/>
        <w:gridCol w:w="1688"/>
        <w:gridCol w:w="1529"/>
        <w:gridCol w:w="1320"/>
        <w:gridCol w:w="1688"/>
        <w:gridCol w:w="744"/>
        <w:gridCol w:w="739"/>
      </w:tblGrid>
      <w:tr>
        <w:trPr>
          <w:trHeight w:val="1100"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56" w:right="15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51" w:right="15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浙江广天构件股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33,049,636.73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82,800,000.00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115,849,636.73</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宁波市明州建筑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设计院有限公司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4,436,076.54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3" w:right="0"/>
              <w:jc w:val="center"/>
              <w:rPr>
                <w:rFonts w:ascii="Times New Roman" w:hAnsi="Times New Roman" w:cs="Times New Roman" w:eastAsia="Times New Roman" w:hint="default"/>
                <w:sz w:val="21"/>
                <w:szCs w:val="21"/>
              </w:rPr>
            </w:pPr>
            <w:r>
              <w:rPr>
                <w:rFonts w:ascii="Times New Roman"/>
                <w:sz w:val="21"/>
              </w:rPr>
              <w:t>5,500,000.00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9,936,076.54</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浙江广天重工设</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备有限公司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宁波市政工程建</w:t>
            </w:r>
          </w:p>
          <w:p>
            <w:pPr>
              <w:pStyle w:val="TableParagraph"/>
              <w:spacing w:line="240" w:lineRule="auto"/>
              <w:ind w:left="101" w:right="99"/>
              <w:jc w:val="left"/>
              <w:rPr>
                <w:rFonts w:ascii="宋体" w:hAnsi="宋体" w:cs="宋体" w:eastAsia="宋体" w:hint="default"/>
                <w:sz w:val="21"/>
                <w:szCs w:val="21"/>
              </w:rPr>
            </w:pPr>
            <w:r>
              <w:rPr>
                <w:rFonts w:ascii="宋体" w:hAnsi="宋体" w:cs="宋体" w:eastAsia="宋体" w:hint="default"/>
                <w:spacing w:val="15"/>
                <w:sz w:val="21"/>
                <w:szCs w:val="21"/>
              </w:rPr>
              <w:t>设集团股份有限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652,843,500.00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190,475,000.00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843,318,500.00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宁波冶金勘察设</w:t>
            </w:r>
          </w:p>
          <w:p>
            <w:pPr>
              <w:pStyle w:val="TableParagraph"/>
              <w:spacing w:line="272" w:lineRule="exact" w:before="27"/>
              <w:ind w:left="101" w:right="99"/>
              <w:jc w:val="left"/>
              <w:rPr>
                <w:rFonts w:ascii="宋体" w:hAnsi="宋体" w:cs="宋体" w:eastAsia="宋体" w:hint="default"/>
                <w:sz w:val="21"/>
                <w:szCs w:val="21"/>
              </w:rPr>
            </w:pPr>
            <w:r>
              <w:rPr>
                <w:rFonts w:ascii="宋体" w:hAnsi="宋体" w:cs="宋体" w:eastAsia="宋体" w:hint="default"/>
                <w:spacing w:val="15"/>
                <w:sz w:val="21"/>
                <w:szCs w:val="21"/>
              </w:rPr>
              <w:t>计研究股份有限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81,662,900.00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81,662,900.00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芜湖宁建建筑工</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1,000,000.00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温州宁建投资有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45,000,000.00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45,000,000.00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上海雍胜投资管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31,200,000.00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3" w:right="0"/>
              <w:jc w:val="center"/>
              <w:rPr>
                <w:rFonts w:ascii="Times New Roman" w:hAnsi="Times New Roman" w:cs="Times New Roman" w:eastAsia="Times New Roman" w:hint="default"/>
                <w:sz w:val="21"/>
                <w:szCs w:val="21"/>
              </w:rPr>
            </w:pPr>
            <w:r>
              <w:rPr>
                <w:rFonts w:ascii="Times New Roman"/>
                <w:sz w:val="21"/>
              </w:rPr>
              <w:t>5,159,000.00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36,359,000.00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宁波建工工程集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1,000,017,077.55</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1,000,017,077.55</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宁波建工投资有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上海安旌投资管</w:t>
            </w:r>
          </w:p>
          <w:p>
            <w:pPr>
              <w:pStyle w:val="TableParagraph"/>
              <w:spacing w:line="275" w:lineRule="exact"/>
              <w:ind w:left="101"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宁波建工建乐工</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328,177,940.11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328,177,940.11</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温州宁建金科投</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51,000,000.00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51,000,000.00</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2,316,387,130.93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283,934,000.00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1,000,000.00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2,599,321,130.93</w:t>
            </w:r>
          </w:p>
        </w:tc>
        <w:tc>
          <w:tcPr>
            <w:tcW w:w="74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980" w:right="1040"/>
        </w:sectPr>
      </w:pPr>
    </w:p>
    <w:p>
      <w:pPr>
        <w:pStyle w:val="Heading3"/>
        <w:spacing w:line="240" w:lineRule="auto"/>
        <w:ind w:left="81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8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353" w:space="3169"/>
            <w:col w:w="336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3"/>
        <w:gridCol w:w="1046"/>
        <w:gridCol w:w="761"/>
        <w:gridCol w:w="672"/>
        <w:gridCol w:w="787"/>
        <w:gridCol w:w="708"/>
        <w:gridCol w:w="708"/>
        <w:gridCol w:w="785"/>
        <w:gridCol w:w="775"/>
        <w:gridCol w:w="761"/>
        <w:gridCol w:w="768"/>
        <w:gridCol w:w="734"/>
      </w:tblGrid>
      <w:tr>
        <w:trPr>
          <w:trHeight w:val="28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8"/>
              <w:ind w:left="348" w:right="35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046" w:type="dxa"/>
            <w:vMerge w:val="restart"/>
            <w:tcBorders>
              <w:top w:val="single" w:sz="4" w:space="0" w:color="000000"/>
              <w:left w:val="single" w:sz="4" w:space="0" w:color="000000"/>
              <w:right w:val="single" w:sz="4" w:space="0" w:color="000000"/>
            </w:tcBorders>
          </w:tcPr>
          <w:p>
            <w:pPr>
              <w:pStyle w:val="TableParagraph"/>
              <w:spacing w:line="240" w:lineRule="auto" w:before="108"/>
              <w:ind w:left="307" w:right="30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before="108"/>
              <w:ind w:left="165" w:right="16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4" w:type="dxa"/>
            <w:vMerge w:val="restart"/>
            <w:tcBorders>
              <w:top w:val="single" w:sz="4" w:space="0" w:color="000000"/>
              <w:left w:val="single" w:sz="4" w:space="0" w:color="000000"/>
              <w:right w:val="single" w:sz="4" w:space="0" w:color="000000"/>
            </w:tcBorders>
          </w:tcPr>
          <w:p>
            <w:pPr>
              <w:pStyle w:val="TableParagraph"/>
              <w:spacing w:line="245" w:lineRule="exact"/>
              <w:ind w:left="15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7"/>
              <w:ind w:left="151" w:right="149"/>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p>
        </w:tc>
      </w:tr>
      <w:tr>
        <w:trPr>
          <w:trHeight w:val="555" w:hRule="exact"/>
        </w:trPr>
        <w:tc>
          <w:tcPr>
            <w:tcW w:w="1133"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追加</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法下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发放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133"/>
        <w:gridCol w:w="1046"/>
        <w:gridCol w:w="761"/>
        <w:gridCol w:w="672"/>
        <w:gridCol w:w="787"/>
        <w:gridCol w:w="708"/>
        <w:gridCol w:w="708"/>
        <w:gridCol w:w="785"/>
        <w:gridCol w:w="775"/>
        <w:gridCol w:w="761"/>
        <w:gridCol w:w="768"/>
        <w:gridCol w:w="734"/>
      </w:tblGrid>
      <w:tr>
        <w:trPr>
          <w:trHeight w:val="1100"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both"/>
              <w:rPr>
                <w:rFonts w:ascii="宋体" w:hAnsi="宋体" w:cs="宋体" w:eastAsia="宋体" w:hint="default"/>
                <w:sz w:val="21"/>
                <w:szCs w:val="21"/>
              </w:rPr>
            </w:pPr>
            <w:r>
              <w:rPr>
                <w:rFonts w:ascii="宋体" w:hAnsi="宋体" w:cs="宋体" w:eastAsia="宋体" w:hint="default"/>
                <w:sz w:val="21"/>
                <w:szCs w:val="21"/>
              </w:rPr>
              <w:t>确认</w:t>
            </w:r>
          </w:p>
          <w:p>
            <w:pPr>
              <w:pStyle w:val="TableParagraph"/>
              <w:spacing w:line="237" w:lineRule="auto"/>
              <w:ind w:left="175" w:right="179"/>
              <w:jc w:val="both"/>
              <w:rPr>
                <w:rFonts w:ascii="宋体" w:hAnsi="宋体" w:cs="宋体" w:eastAsia="宋体" w:hint="default"/>
                <w:sz w:val="21"/>
                <w:szCs w:val="21"/>
              </w:rPr>
            </w:pP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收益</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6"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1"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96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4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宁波</w:t>
            </w:r>
            <w:r>
              <w:rPr>
                <w:rFonts w:ascii="宋体" w:hAnsi="宋体" w:cs="宋体" w:eastAsia="宋体" w:hint="default"/>
                <w:spacing w:val="-73"/>
                <w:sz w:val="21"/>
                <w:szCs w:val="21"/>
              </w:rPr>
              <w:t> </w:t>
            </w:r>
            <w:r>
              <w:rPr>
                <w:rFonts w:ascii="宋体" w:hAnsi="宋体" w:cs="宋体" w:eastAsia="宋体" w:hint="default"/>
                <w:spacing w:val="11"/>
                <w:sz w:val="21"/>
                <w:szCs w:val="21"/>
              </w:rPr>
              <w:t>普利</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pacing w:val="11"/>
                <w:sz w:val="21"/>
                <w:szCs w:val="21"/>
              </w:rPr>
              <w:t>凯建</w:t>
            </w:r>
            <w:r>
              <w:rPr>
                <w:rFonts w:ascii="宋体" w:hAnsi="宋体" w:cs="宋体" w:eastAsia="宋体" w:hint="default"/>
                <w:spacing w:val="-75"/>
                <w:sz w:val="21"/>
                <w:szCs w:val="21"/>
              </w:rPr>
              <w:t> </w:t>
            </w:r>
            <w:r>
              <w:rPr>
                <w:rFonts w:ascii="宋体" w:hAnsi="宋体" w:cs="宋体" w:eastAsia="宋体" w:hint="default"/>
                <w:spacing w:val="11"/>
                <w:sz w:val="21"/>
                <w:szCs w:val="21"/>
              </w:rPr>
              <w:t>筑科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技有</w:t>
            </w:r>
            <w:r>
              <w:rPr>
                <w:rFonts w:ascii="宋体" w:hAnsi="宋体" w:cs="宋体" w:eastAsia="宋体" w:hint="default"/>
                <w:spacing w:val="-75"/>
                <w:sz w:val="21"/>
                <w:szCs w:val="21"/>
              </w:rPr>
              <w:t> </w:t>
            </w:r>
            <w:r>
              <w:rPr>
                <w:rFonts w:ascii="宋体" w:hAnsi="宋体" w:cs="宋体" w:eastAsia="宋体" w:hint="default"/>
                <w:spacing w:val="11"/>
                <w:sz w:val="21"/>
                <w:szCs w:val="21"/>
              </w:rPr>
              <w:t>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9" w:right="0"/>
              <w:jc w:val="left"/>
              <w:rPr>
                <w:rFonts w:ascii="Times New Roman" w:hAnsi="Times New Roman" w:cs="Times New Roman" w:eastAsia="Times New Roman" w:hint="default"/>
                <w:sz w:val="21"/>
                <w:szCs w:val="21"/>
              </w:rPr>
            </w:pPr>
            <w:r>
              <w:rPr>
                <w:rFonts w:ascii="Times New Roman"/>
                <w:sz w:val="21"/>
              </w:rPr>
              <w:t>41,325,7</w:t>
            </w:r>
          </w:p>
          <w:p>
            <w:pPr>
              <w:pStyle w:val="TableParagraph"/>
              <w:spacing w:line="240" w:lineRule="auto" w:before="1"/>
              <w:ind w:left="460" w:right="0"/>
              <w:jc w:val="left"/>
              <w:rPr>
                <w:rFonts w:ascii="Times New Roman" w:hAnsi="Times New Roman" w:cs="Times New Roman" w:eastAsia="Times New Roman" w:hint="default"/>
                <w:sz w:val="21"/>
                <w:szCs w:val="21"/>
              </w:rPr>
            </w:pPr>
            <w:r>
              <w:rPr>
                <w:rFonts w:ascii="Times New Roman"/>
                <w:sz w:val="21"/>
              </w:rPr>
              <w:t>73.56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-4,213</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,521.2</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37,11</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2,252.</w:t>
            </w:r>
          </w:p>
          <w:p>
            <w:pPr>
              <w:pStyle w:val="TableParagraph"/>
              <w:spacing w:line="241" w:lineRule="exact"/>
              <w:ind w:left="441" w:right="0"/>
              <w:jc w:val="left"/>
              <w:rPr>
                <w:rFonts w:ascii="Times New Roman" w:hAnsi="Times New Roman" w:cs="Times New Roman" w:eastAsia="Times New Roman" w:hint="default"/>
                <w:sz w:val="21"/>
                <w:szCs w:val="21"/>
              </w:rPr>
            </w:pPr>
            <w:r>
              <w:rPr>
                <w:rFonts w:ascii="Times New Roman"/>
                <w:sz w:val="21"/>
              </w:rPr>
              <w:t>34</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9" w:right="0"/>
              <w:jc w:val="left"/>
              <w:rPr>
                <w:rFonts w:ascii="Times New Roman" w:hAnsi="Times New Roman" w:cs="Times New Roman" w:eastAsia="Times New Roman" w:hint="default"/>
                <w:sz w:val="21"/>
                <w:szCs w:val="21"/>
              </w:rPr>
            </w:pPr>
            <w:r>
              <w:rPr>
                <w:rFonts w:ascii="Times New Roman"/>
                <w:sz w:val="21"/>
              </w:rPr>
              <w:t>41,325,7</w:t>
            </w:r>
          </w:p>
          <w:p>
            <w:pPr>
              <w:pStyle w:val="TableParagraph"/>
              <w:spacing w:line="240" w:lineRule="auto" w:before="1"/>
              <w:ind w:left="460" w:right="0"/>
              <w:jc w:val="left"/>
              <w:rPr>
                <w:rFonts w:ascii="Times New Roman" w:hAnsi="Times New Roman" w:cs="Times New Roman" w:eastAsia="Times New Roman" w:hint="default"/>
                <w:sz w:val="21"/>
                <w:szCs w:val="21"/>
              </w:rPr>
            </w:pPr>
            <w:r>
              <w:rPr>
                <w:rFonts w:ascii="Times New Roman"/>
                <w:sz w:val="21"/>
              </w:rPr>
              <w:t>73.56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-4,213</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,521.2</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37,11</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2,252.</w:t>
            </w:r>
          </w:p>
          <w:p>
            <w:pPr>
              <w:pStyle w:val="TableParagraph"/>
              <w:spacing w:line="241" w:lineRule="exact"/>
              <w:ind w:left="441" w:right="0"/>
              <w:jc w:val="left"/>
              <w:rPr>
                <w:rFonts w:ascii="Times New Roman" w:hAnsi="Times New Roman" w:cs="Times New Roman" w:eastAsia="Times New Roman" w:hint="default"/>
                <w:sz w:val="21"/>
                <w:szCs w:val="21"/>
              </w:rPr>
            </w:pPr>
            <w:r>
              <w:rPr>
                <w:rFonts w:ascii="Times New Roman"/>
                <w:sz w:val="21"/>
              </w:rPr>
              <w:t>34</w:t>
            </w:r>
          </w:p>
        </w:tc>
        <w:tc>
          <w:tcPr>
            <w:tcW w:w="73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9" w:right="0"/>
              <w:jc w:val="left"/>
              <w:rPr>
                <w:rFonts w:ascii="Times New Roman" w:hAnsi="Times New Roman" w:cs="Times New Roman" w:eastAsia="Times New Roman" w:hint="default"/>
                <w:sz w:val="21"/>
                <w:szCs w:val="21"/>
              </w:rPr>
            </w:pPr>
            <w:r>
              <w:rPr>
                <w:rFonts w:ascii="Times New Roman"/>
                <w:sz w:val="21"/>
              </w:rPr>
              <w:t>41,325,7</w:t>
            </w:r>
          </w:p>
          <w:p>
            <w:pPr>
              <w:pStyle w:val="TableParagraph"/>
              <w:spacing w:line="240" w:lineRule="auto" w:before="1"/>
              <w:ind w:left="460" w:right="0"/>
              <w:jc w:val="left"/>
              <w:rPr>
                <w:rFonts w:ascii="Times New Roman" w:hAnsi="Times New Roman" w:cs="Times New Roman" w:eastAsia="Times New Roman" w:hint="default"/>
                <w:sz w:val="21"/>
                <w:szCs w:val="21"/>
              </w:rPr>
            </w:pPr>
            <w:r>
              <w:rPr>
                <w:rFonts w:ascii="Times New Roman"/>
                <w:sz w:val="21"/>
              </w:rPr>
              <w:t>73.56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-4,213</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,521.2</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37,11</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2,252.</w:t>
            </w:r>
          </w:p>
          <w:p>
            <w:pPr>
              <w:pStyle w:val="TableParagraph"/>
              <w:spacing w:line="241" w:lineRule="exact"/>
              <w:ind w:left="441" w:right="0"/>
              <w:jc w:val="left"/>
              <w:rPr>
                <w:rFonts w:ascii="Times New Roman" w:hAnsi="Times New Roman" w:cs="Times New Roman" w:eastAsia="Times New Roman" w:hint="default"/>
                <w:sz w:val="21"/>
                <w:szCs w:val="21"/>
              </w:rPr>
            </w:pPr>
            <w:r>
              <w:rPr>
                <w:rFonts w:ascii="Times New Roman"/>
                <w:sz w:val="21"/>
              </w:rPr>
              <w:t>34</w:t>
            </w:r>
          </w:p>
        </w:tc>
        <w:tc>
          <w:tcPr>
            <w:tcW w:w="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980" w:right="1040"/>
        </w:sectPr>
      </w:pPr>
    </w:p>
    <w:p>
      <w:pPr>
        <w:pStyle w:val="Heading3"/>
        <w:spacing w:line="240" w:lineRule="auto"/>
        <w:ind w:left="81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660" w:val="left" w:leader="none"/>
        </w:tabs>
        <w:spacing w:line="240" w:lineRule="auto" w:before="58"/>
        <w:ind w:left="8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353" w:space="3169"/>
            <w:col w:w="336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782"/>
        <w:gridCol w:w="1606"/>
        <w:gridCol w:w="1604"/>
        <w:gridCol w:w="1529"/>
        <w:gridCol w:w="1529"/>
      </w:tblGrid>
      <w:tr>
        <w:trPr>
          <w:trHeight w:val="281" w:hRule="exact"/>
        </w:trPr>
        <w:tc>
          <w:tcPr>
            <w:tcW w:w="2782"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82"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403,926,725.21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366,773,971.08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519,760,493.76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526,637,870.06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6,372,138.10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737,379.04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4,344,930.11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697,379.04</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410,298,863.31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367,511,350.12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524,105,423.87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527,335,249.10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Heading3"/>
        <w:spacing w:line="240" w:lineRule="auto"/>
        <w:ind w:left="81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8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t>币种：人民币</w:t>
      </w:r>
    </w:p>
    <w:p>
      <w:pPr>
        <w:spacing w:after="0" w:line="240" w:lineRule="auto"/>
        <w:jc w:val="left"/>
        <w:sectPr>
          <w:type w:val="continuous"/>
          <w:pgSz w:w="11910" w:h="16840"/>
          <w:pgMar w:top="1120" w:bottom="1380" w:left="980" w:right="1040"/>
          <w:cols w:num="2" w:equalWidth="0">
            <w:col w:w="2218" w:space="4304"/>
            <w:col w:w="3368"/>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225,837,220.00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17,804,700.00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-4,213,521.22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-4,212,504.57</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50,975.33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15,026,700.00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236,701,374.11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13,592,195.43</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8"/>
          <w:pgSz w:w="11910" w:h="16840"/>
          <w:pgMar w:footer="1195" w:header="882" w:top="1120" w:bottom="1380" w:left="1580" w:right="1040"/>
        </w:sectPr>
      </w:pPr>
    </w:p>
    <w:p>
      <w:pPr>
        <w:pStyle w:val="Heading3"/>
        <w:tabs>
          <w:tab w:pos="1057" w:val="left" w:leader="none"/>
        </w:tabs>
        <w:spacing w:line="240" w:lineRule="auto"/>
        <w:ind w:left="218" w:right="-19"/>
        <w:jc w:val="left"/>
        <w:rPr>
          <w:b w:val="0"/>
          <w:bCs w:val="0"/>
        </w:rPr>
      </w:pPr>
      <w:r>
        <w:rPr/>
        <w:t>十六、</w:t>
        <w:tab/>
        <w:t>补充资料</w:t>
      </w:r>
      <w:r>
        <w:rPr>
          <w:b w:val="0"/>
          <w:bCs w:val="0"/>
        </w:rPr>
      </w:r>
    </w:p>
    <w:p>
      <w:pPr>
        <w:pStyle w:val="Heading3"/>
        <w:spacing w:line="240" w:lineRule="auto" w:before="58"/>
        <w:ind w:left="21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964" w:val="left" w:leader="none"/>
        </w:tabs>
        <w:spacing w:line="240" w:lineRule="auto" w:before="56"/>
        <w:ind w:left="21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288,922.42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14,990,489.30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18,964,329.00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30,240,873.05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-1,452,684.88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-16,028,420.34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-474,850.10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46,528,658.45</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82" w:lineRule="exact" w:before="36"/>
        <w:ind w:left="218" w:right="0"/>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9"/>
        <w:ind w:left="218"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65" w:lineRule="exact"/>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left="218"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8.51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0.2192</w:t>
            </w:r>
          </w:p>
        </w:tc>
        <w:tc>
          <w:tcPr>
            <w:tcW w:w="21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6.66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0.1715</w:t>
            </w:r>
          </w:p>
        </w:tc>
        <w:tc>
          <w:tcPr>
            <w:tcW w:w="21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ind w:left="218"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3"/>
        <w:spacing w:line="240" w:lineRule="auto" w:before="0"/>
        <w:ind w:left="218" w:right="246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76" w:val="left" w:leader="none"/>
        </w:tabs>
        <w:spacing w:line="240" w:lineRule="auto" w:before="58"/>
        <w:ind w:left="218"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59"/>
          <w:pgSz w:w="11910" w:h="16840"/>
          <w:pgMar w:footer="1195" w:header="882" w:top="1120" w:bottom="1380" w:left="1580" w:right="1040"/>
          <w:pgNumType w:start="16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1"/>
          <w:szCs w:val="21"/>
        </w:rPr>
      </w:pPr>
    </w:p>
    <w:p>
      <w:pPr>
        <w:pStyle w:val="BodyText"/>
        <w:spacing w:line="314" w:lineRule="auto" w:before="36"/>
        <w:ind w:left="5239" w:right="148" w:firstLine="2256"/>
        <w:jc w:val="left"/>
      </w:pPr>
      <w:r>
        <w:rPr>
          <w:spacing w:val="-1"/>
        </w:rPr>
        <w:t>董事长：徐文卫</w:t>
      </w:r>
      <w:r>
        <w:rPr>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0"/>
        <w:jc w:val="left"/>
      </w:pPr>
      <w:r>
        <w:rPr/>
        <w:t>□适用 √不适用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 w:name="MS UI Gothic">
    <w:altName w:val="MS UI Gothic"/>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5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53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53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53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53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53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4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53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953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53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53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53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53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53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53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53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53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53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53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3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3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3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3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52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52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53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53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5411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54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5380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953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5370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53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5358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53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5346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953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531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53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838"/>
      <w:outlineLvl w:val="2"/>
    </w:pPr>
    <w:rPr>
      <w:rFonts w:ascii="宋体" w:hAnsi="宋体" w:eastAsia="宋体"/>
      <w:sz w:val="24"/>
      <w:szCs w:val="24"/>
    </w:rPr>
  </w:style>
  <w:style w:styleId="Heading3" w:type="paragraph">
    <w:name w:val="Heading 3"/>
    <w:basedOn w:val="Normal"/>
    <w:uiPriority w:val="1"/>
    <w:qFormat/>
    <w:pPr>
      <w:spacing w:before="36"/>
      <w:ind w:left="21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licc@jiangong.com.cn" TargetMode="External"/><Relationship Id="rId8" Type="http://schemas.openxmlformats.org/officeDocument/2006/relationships/hyperlink" Target="mailto:veichxh@163.com" TargetMode="External"/><Relationship Id="rId9" Type="http://schemas.openxmlformats.org/officeDocument/2006/relationships/hyperlink" Target="http://www.jiangong.com.cn/" TargetMode="External"/><Relationship Id="rId10" Type="http://schemas.openxmlformats.org/officeDocument/2006/relationships/hyperlink" Target="mailto:nbjg601789@163.com" TargetMode="External"/><Relationship Id="rId11" Type="http://schemas.openxmlformats.org/officeDocument/2006/relationships/hyperlink" Target="http://www.sse.com.cn/" TargetMode="External"/><Relationship Id="rId12" Type="http://schemas.openxmlformats.org/officeDocument/2006/relationships/image" Target="media/image1.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baike.so.com/doc/1253613-1325811.html" TargetMode="External"/><Relationship Id="rId16" Type="http://schemas.openxmlformats.org/officeDocument/2006/relationships/hyperlink" Target="https://baike.so.com/doc/5605623-5818232.html" TargetMode="Externa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jpe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image" Target="media/image5.jpeg"/><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4.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5.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footer" Target="footer31.xml"/><Relationship Id="rId53" Type="http://schemas.openxmlformats.org/officeDocument/2006/relationships/header" Target="header6.xml"/><Relationship Id="rId54" Type="http://schemas.openxmlformats.org/officeDocument/2006/relationships/footer" Target="footer32.xml"/><Relationship Id="rId55" Type="http://schemas.openxmlformats.org/officeDocument/2006/relationships/footer" Target="footer33.xml"/><Relationship Id="rId56" Type="http://schemas.openxmlformats.org/officeDocument/2006/relationships/footer" Target="footer34.xml"/><Relationship Id="rId57" Type="http://schemas.openxmlformats.org/officeDocument/2006/relationships/footer" Target="footer35.xml"/><Relationship Id="rId58" Type="http://schemas.openxmlformats.org/officeDocument/2006/relationships/footer" Target="footer36.xml"/><Relationship Id="rId59"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2020-05-03T05:26:07Z</dcterms:created>
  <dcterms:modified xsi:type="dcterms:W3CDTF">2020-05-03T05:26:07Z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